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版本号：GCZB2026-04-039-02-L20260507001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附属中学二号公寓楼外立面改造项目(二次)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GCZB2026-04-039-02-L</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附属中学二号公寓楼外立面改造项目(二次)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GCZB2026-04-039-02-L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附属中学二号公寓楼外立面改造项目(二次)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对西北大学附属中学二号学生公寓楼外立面进行系统性改造，消除现有面层老化、破损等问题，提升建筑外观品质与校园整体环境，并增强外墙的耐久性、防水性及安全性，改善学生居住环境的视觉与使用体验，详见采购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采购包1（附属中学二号公寓楼外立面改造项目）：属于专门面向中小企业采购。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2025年5月（含5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4、社会保障资金缴纳证明：提供2025年5月（含5月）以来任意时间段的社会保障资金缴存单据或社保机构开具的社会保险参保缴费情况证明。依法不需要缴纳社会保障资金的供应商应提供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8、建筑资质：具备建设行政主管部门核发的建筑装修装饰工程专业承包二级资质及以上资质；</w:t>
      </w:r>
    </w:p>
    <w:p>
      <w:pPr>
        <w:pStyle w:val="null3"/>
      </w:pPr>
      <w:r>
        <w:rPr>
          <w:rFonts w:ascii="仿宋_GB2312" w:hAnsi="仿宋_GB2312" w:cs="仿宋_GB2312" w:eastAsia="仿宋_GB2312"/>
        </w:rPr>
        <w:t>9、安全生产许可证：具备有效的安全生产许可证；</w:t>
      </w:r>
    </w:p>
    <w:p>
      <w:pPr>
        <w:pStyle w:val="null3"/>
      </w:pPr>
      <w:r>
        <w:rPr>
          <w:rFonts w:ascii="仿宋_GB2312" w:hAnsi="仿宋_GB2312" w:cs="仿宋_GB2312" w:eastAsia="仿宋_GB2312"/>
        </w:rPr>
        <w:t>10、项目经理：拟派项目经理须具备建筑工程专业二级（含二级）及以上建造师资格，同时具备有效的安全生产考核合格证（建安B证），且无在建项目（提供无在建工程承诺书）；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13、陕西省建筑市场监管与诚信信息发布平台：省外企业须在“陕西省建筑市场监管与诚信信息发布平台”企业库可查询（附完整的查询结果截图加盖供应商公章）。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A100602墙面涂料，A10060299其他墙面涂料，依据标准：HJ2537水性涂料</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采购包1保证金金额：11,400.00元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说明：说明：1.本采购包履约保证金为合同金额的5.0% 说明：供应商凭成交通知书向采购人缴纳成交金额的5%作为履约保证金。 2.缴纳信息： 户名：西北大学 开户银行：交通银行西安学府大街支行 账号： 611301015018001145006 3.履约保证金汇款后，可持银行回执到西北大学采购与招标办公室换取收据。待合同执行完毕、项目验收合格后凭验收单和缴款收据，履约保证金予以无息退还。如遇下列情况之一者，履约保证金不予退还，作为对采购人的赔偿： （1）合同签订后不能按合同时限要求完工的； （2）项目与合同不符或验收不合格的；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 20% 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踏勘时间：2026-05-15 09:00:00</w:t>
            </w:r>
          </w:p>
          <w:p>
            <w:pPr>
              <w:pStyle w:val="null3"/>
              <w:ind w:firstLine="975"/>
            </w:pPr>
            <w:r>
              <w:rPr>
                <w:rFonts w:ascii="仿宋_GB2312" w:hAnsi="仿宋_GB2312" w:cs="仿宋_GB2312" w:eastAsia="仿宋_GB2312"/>
              </w:rPr>
              <w:t>踏勘地点：西北大学附属中学桃园校区</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联系电话号码：18109276013</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联系电话：15389063039（569761717@qq.com）</w:t>
      </w:r>
    </w:p>
    <w:p>
      <w:pPr>
        <w:pStyle w:val="null3"/>
      </w:pPr>
      <w:r>
        <w:rPr>
          <w:rFonts w:ascii="仿宋_GB2312" w:hAnsi="仿宋_GB2312" w:cs="仿宋_GB2312" w:eastAsia="仿宋_GB2312"/>
        </w:rPr>
        <w:t>地址：西安市莲湖区高新一路正信大厦A座24楼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569,390.75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附属中学二号公寓楼外立面改造项目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标的名称：附属中学二号公寓楼外立面改造项目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项目内容：</w:t>
            </w:r>
            <w:r>
              <w:rPr>
                <w:rFonts w:ascii="仿宋_GB2312" w:hAnsi="仿宋_GB2312" w:cs="仿宋_GB2312" w:eastAsia="仿宋_GB2312"/>
              </w:rPr>
              <w:t>本项目工程涵盖二号公寓楼外立面的全部施工内容，包括人工、材料、机械、管理费、利润、措施费、税金等所有费用。</w:t>
            </w:r>
            <w:r>
              <w:rPr>
                <w:rFonts w:ascii="仿宋_GB2312" w:hAnsi="仿宋_GB2312" w:cs="仿宋_GB2312" w:eastAsia="仿宋_GB2312"/>
              </w:rPr>
              <w:t>真石漆及无机涂料工程完成后，整体外观应达到色泽一致、无漏涂、无透底、无起皮、无掉粉、无反碱、无裂缝。</w:t>
            </w:r>
            <w:r>
              <w:rPr>
                <w:rFonts w:ascii="仿宋_GB2312" w:hAnsi="仿宋_GB2312" w:cs="仿宋_GB2312" w:eastAsia="仿宋_GB2312"/>
              </w:rPr>
              <w:t>主要包含以下内容，详见工程量清单。</w:t>
            </w:r>
          </w:p>
          <w:p>
            <w:pPr>
              <w:pStyle w:val="null3"/>
            </w:pPr>
            <w:r>
              <w:rPr>
                <w:rFonts w:ascii="仿宋_GB2312" w:hAnsi="仿宋_GB2312" w:cs="仿宋_GB2312" w:eastAsia="仿宋_GB2312"/>
              </w:rPr>
              <w:t>本次改造施工范围为二号学生公寓楼所有外立面，包括但不限于以下全流程工作：</w:t>
            </w:r>
          </w:p>
          <w:p>
            <w:pPr>
              <w:pStyle w:val="null3"/>
            </w:pPr>
            <w:r>
              <w:rPr>
                <w:rFonts w:ascii="仿宋_GB2312" w:hAnsi="仿宋_GB2312" w:cs="仿宋_GB2312" w:eastAsia="仿宋_GB2312"/>
              </w:rPr>
              <w:t>（一）拆除工程</w:t>
            </w:r>
          </w:p>
          <w:p>
            <w:pPr>
              <w:pStyle w:val="null3"/>
            </w:pPr>
            <w:r>
              <w:rPr>
                <w:rFonts w:ascii="仿宋_GB2312" w:hAnsi="仿宋_GB2312" w:cs="仿宋_GB2312" w:eastAsia="仿宋_GB2312"/>
              </w:rPr>
              <w:t>1.</w:t>
            </w:r>
            <w:r>
              <w:rPr>
                <w:rFonts w:ascii="仿宋_GB2312" w:hAnsi="仿宋_GB2312" w:cs="仿宋_GB2312" w:eastAsia="仿宋_GB2312"/>
              </w:rPr>
              <w:t>铲除原有外墙及阳台天棚的旧涂层、腻子层至坚实基层。</w:t>
            </w:r>
          </w:p>
          <w:p>
            <w:pPr>
              <w:pStyle w:val="null3"/>
            </w:pPr>
            <w:r>
              <w:rPr>
                <w:rFonts w:ascii="仿宋_GB2312" w:hAnsi="仿宋_GB2312" w:cs="仿宋_GB2312" w:eastAsia="仿宋_GB2312"/>
              </w:rPr>
              <w:t>2.</w:t>
            </w:r>
            <w:r>
              <w:rPr>
                <w:rFonts w:ascii="仿宋_GB2312" w:hAnsi="仿宋_GB2312" w:cs="仿宋_GB2312" w:eastAsia="仿宋_GB2312"/>
              </w:rPr>
              <w:t>安全拆除并整理外墙上的废旧构件、管线等。</w:t>
            </w:r>
          </w:p>
          <w:p>
            <w:pPr>
              <w:pStyle w:val="null3"/>
            </w:pPr>
            <w:r>
              <w:rPr>
                <w:rFonts w:ascii="仿宋_GB2312" w:hAnsi="仿宋_GB2312" w:cs="仿宋_GB2312" w:eastAsia="仿宋_GB2312"/>
              </w:rPr>
              <w:t>3.</w:t>
            </w:r>
            <w:r>
              <w:rPr>
                <w:rFonts w:ascii="仿宋_GB2312" w:hAnsi="仿宋_GB2312" w:cs="仿宋_GB2312" w:eastAsia="仿宋_GB2312"/>
              </w:rPr>
              <w:t>将所有拆除产生的建筑垃圾按要求装袋，并清运至政府部门指定的合法消纳场所，确保施工现场及周边道路整洁。</w:t>
            </w:r>
          </w:p>
          <w:p>
            <w:pPr>
              <w:pStyle w:val="null3"/>
            </w:pPr>
            <w:r>
              <w:rPr>
                <w:rFonts w:ascii="仿宋_GB2312" w:hAnsi="仿宋_GB2312" w:cs="仿宋_GB2312" w:eastAsia="仿宋_GB2312"/>
              </w:rPr>
              <w:t>（二）外墙面做法</w:t>
            </w:r>
          </w:p>
          <w:p>
            <w:pPr>
              <w:pStyle w:val="null3"/>
            </w:pPr>
            <w:r>
              <w:rPr>
                <w:rFonts w:ascii="仿宋_GB2312" w:hAnsi="仿宋_GB2312" w:cs="仿宋_GB2312" w:eastAsia="仿宋_GB2312"/>
              </w:rPr>
              <w:t>外墙真石漆做法</w:t>
            </w:r>
          </w:p>
          <w:p>
            <w:pPr>
              <w:pStyle w:val="null3"/>
            </w:pPr>
            <w:r>
              <w:rPr>
                <w:rFonts w:ascii="仿宋_GB2312" w:hAnsi="仿宋_GB2312" w:cs="仿宋_GB2312" w:eastAsia="仿宋_GB2312"/>
              </w:rPr>
              <w:t>1.铲除原墙面破损、空鼓、开裂部分，修补平整（滚涂墙固，抗裂砂浆挂钢丝网），基层清理干净</w:t>
            </w:r>
          </w:p>
          <w:p>
            <w:pPr>
              <w:pStyle w:val="null3"/>
            </w:pPr>
            <w:r>
              <w:rPr>
                <w:rFonts w:ascii="仿宋_GB2312" w:hAnsi="仿宋_GB2312" w:cs="仿宋_GB2312" w:eastAsia="仿宋_GB2312"/>
              </w:rPr>
              <w:t>2.砂浆干透后外墙表面整体清洁,整体滚涂外墙界面剂</w:t>
            </w:r>
          </w:p>
          <w:p>
            <w:pPr>
              <w:pStyle w:val="null3"/>
            </w:pPr>
            <w:r>
              <w:rPr>
                <w:rFonts w:ascii="仿宋_GB2312" w:hAnsi="仿宋_GB2312" w:cs="仿宋_GB2312" w:eastAsia="仿宋_GB2312"/>
              </w:rPr>
              <w:t>3.聚合物抗裂砂浆找平层(3-5mm),批刮两遍并整面压入耐碱玻纤网格布</w:t>
            </w:r>
          </w:p>
          <w:p>
            <w:pPr>
              <w:pStyle w:val="null3"/>
            </w:pPr>
            <w:r>
              <w:rPr>
                <w:rFonts w:ascii="仿宋_GB2312" w:hAnsi="仿宋_GB2312" w:cs="仿宋_GB2312" w:eastAsia="仿宋_GB2312"/>
              </w:rPr>
              <w:t>4.批刮外墙柔性防水腻子2遍,找平、打磨</w:t>
            </w:r>
          </w:p>
          <w:p>
            <w:pPr>
              <w:pStyle w:val="null3"/>
            </w:pPr>
            <w:r>
              <w:rPr>
                <w:rFonts w:ascii="仿宋_GB2312" w:hAnsi="仿宋_GB2312" w:cs="仿宋_GB2312" w:eastAsia="仿宋_GB2312"/>
              </w:rPr>
              <w:t>5.依次喷涂抗碱封闭底漆,中涂和仿石漆主材两遍,干透后喷涂罩面漆</w:t>
            </w:r>
          </w:p>
          <w:p>
            <w:pPr>
              <w:pStyle w:val="null3"/>
            </w:pPr>
            <w:r>
              <w:rPr>
                <w:rFonts w:ascii="仿宋_GB2312" w:hAnsi="仿宋_GB2312" w:cs="仿宋_GB2312" w:eastAsia="仿宋_GB2312"/>
              </w:rPr>
              <w:t>6.含窗口、阳台板底设置PVC线槽滴水线</w:t>
            </w:r>
          </w:p>
          <w:p>
            <w:pPr>
              <w:pStyle w:val="null3"/>
            </w:pPr>
            <w:r>
              <w:rPr>
                <w:rFonts w:ascii="仿宋_GB2312" w:hAnsi="仿宋_GB2312" w:cs="仿宋_GB2312" w:eastAsia="仿宋_GB2312"/>
              </w:rPr>
              <w:t>外墙防水涂料做法</w:t>
            </w:r>
          </w:p>
          <w:p>
            <w:pPr>
              <w:pStyle w:val="null3"/>
            </w:pPr>
            <w:r>
              <w:rPr>
                <w:rFonts w:ascii="仿宋_GB2312" w:hAnsi="仿宋_GB2312" w:cs="仿宋_GB2312" w:eastAsia="仿宋_GB2312"/>
              </w:rPr>
              <w:t>1.白色防水无机涂料</w:t>
            </w:r>
          </w:p>
          <w:p>
            <w:pPr>
              <w:pStyle w:val="null3"/>
            </w:pPr>
            <w:r>
              <w:rPr>
                <w:rFonts w:ascii="仿宋_GB2312" w:hAnsi="仿宋_GB2312" w:cs="仿宋_GB2312" w:eastAsia="仿宋_GB2312"/>
              </w:rPr>
              <w:t>2.满刮2mm厚耐水腻子分遍找平</w:t>
            </w:r>
          </w:p>
          <w:p>
            <w:pPr>
              <w:pStyle w:val="null3"/>
            </w:pPr>
            <w:r>
              <w:rPr>
                <w:rFonts w:ascii="仿宋_GB2312" w:hAnsi="仿宋_GB2312" w:cs="仿宋_GB2312" w:eastAsia="仿宋_GB2312"/>
              </w:rPr>
              <w:t>3.3mm厚底基防裂腻子分遍找平</w:t>
            </w:r>
          </w:p>
          <w:p>
            <w:pPr>
              <w:pStyle w:val="null3"/>
            </w:pPr>
            <w:r>
              <w:rPr>
                <w:rFonts w:ascii="仿宋_GB2312" w:hAnsi="仿宋_GB2312" w:cs="仿宋_GB2312" w:eastAsia="仿宋_GB2312"/>
              </w:rPr>
              <w:t>4.界面剂1道</w:t>
            </w:r>
          </w:p>
          <w:p>
            <w:pPr>
              <w:pStyle w:val="null3"/>
            </w:pPr>
            <w:r>
              <w:rPr>
                <w:rFonts w:ascii="仿宋_GB2312" w:hAnsi="仿宋_GB2312" w:cs="仿宋_GB2312" w:eastAsia="仿宋_GB2312"/>
              </w:rPr>
              <w:t>5.满贴涂塑中碱玻璃纤维网格布一层,用石膏粘结剂横向粘贴</w:t>
            </w:r>
          </w:p>
          <w:p>
            <w:pPr>
              <w:pStyle w:val="null3"/>
            </w:pPr>
            <w:r>
              <w:rPr>
                <w:rFonts w:ascii="仿宋_GB2312" w:hAnsi="仿宋_GB2312" w:cs="仿宋_GB2312" w:eastAsia="仿宋_GB2312"/>
              </w:rPr>
              <w:t>6.原砂浆基层或结构层</w:t>
            </w:r>
          </w:p>
          <w:p>
            <w:pPr>
              <w:pStyle w:val="null3"/>
            </w:pPr>
            <w:r>
              <w:rPr>
                <w:rFonts w:ascii="仿宋_GB2312" w:hAnsi="仿宋_GB2312" w:cs="仿宋_GB2312" w:eastAsia="仿宋_GB2312"/>
              </w:rPr>
              <w:t>7.部位：阳台隔板、栏板内侧</w:t>
            </w:r>
          </w:p>
          <w:p>
            <w:pPr>
              <w:pStyle w:val="null3"/>
            </w:pPr>
            <w:r>
              <w:rPr>
                <w:rFonts w:ascii="仿宋_GB2312" w:hAnsi="仿宋_GB2312" w:cs="仿宋_GB2312" w:eastAsia="仿宋_GB2312"/>
              </w:rPr>
              <w:t>阳台及挑檐底天棚做法</w:t>
            </w:r>
          </w:p>
          <w:p>
            <w:pPr>
              <w:pStyle w:val="null3"/>
            </w:pPr>
            <w:r>
              <w:rPr>
                <w:rFonts w:ascii="仿宋_GB2312" w:hAnsi="仿宋_GB2312" w:cs="仿宋_GB2312" w:eastAsia="仿宋_GB2312"/>
              </w:rPr>
              <w:t>1.防腐防霉无机涂料</w:t>
            </w:r>
          </w:p>
          <w:p>
            <w:pPr>
              <w:pStyle w:val="null3"/>
            </w:pPr>
            <w:r>
              <w:rPr>
                <w:rFonts w:ascii="仿宋_GB2312" w:hAnsi="仿宋_GB2312" w:cs="仿宋_GB2312" w:eastAsia="仿宋_GB2312"/>
              </w:rPr>
              <w:t>2.2mm厚耐水腻子分遍找平</w:t>
            </w:r>
          </w:p>
          <w:p>
            <w:pPr>
              <w:pStyle w:val="null3"/>
            </w:pPr>
            <w:r>
              <w:rPr>
                <w:rFonts w:ascii="仿宋_GB2312" w:hAnsi="仿宋_GB2312" w:cs="仿宋_GB2312" w:eastAsia="仿宋_GB2312"/>
              </w:rPr>
              <w:t>3.1.5mm厚聚合物水泥防水涂料</w:t>
            </w:r>
          </w:p>
          <w:p>
            <w:pPr>
              <w:pStyle w:val="null3"/>
            </w:pPr>
            <w:r>
              <w:rPr>
                <w:rFonts w:ascii="仿宋_GB2312" w:hAnsi="仿宋_GB2312" w:cs="仿宋_GB2312" w:eastAsia="仿宋_GB2312"/>
              </w:rPr>
              <w:t>4.3mm厚底基防裂腻子分遍找平</w:t>
            </w:r>
          </w:p>
          <w:p>
            <w:pPr>
              <w:pStyle w:val="null3"/>
            </w:pPr>
            <w:r>
              <w:rPr>
                <w:rFonts w:ascii="仿宋_GB2312" w:hAnsi="仿宋_GB2312" w:cs="仿宋_GB2312" w:eastAsia="仿宋_GB2312"/>
              </w:rPr>
              <w:t>5.界面剂1道</w:t>
            </w:r>
          </w:p>
          <w:p>
            <w:pPr>
              <w:pStyle w:val="null3"/>
            </w:pPr>
            <w:r>
              <w:rPr>
                <w:rFonts w:ascii="仿宋_GB2312" w:hAnsi="仿宋_GB2312" w:cs="仿宋_GB2312" w:eastAsia="仿宋_GB2312"/>
              </w:rPr>
              <w:t>6.原始面层拆除清理至砂浆层,局部刮腻子找平（空鼓、破损部位进行铲除修补平整）</w:t>
            </w:r>
          </w:p>
          <w:p>
            <w:pPr>
              <w:pStyle w:val="null3"/>
            </w:pPr>
            <w:r>
              <w:rPr>
                <w:rFonts w:ascii="仿宋_GB2312" w:hAnsi="仿宋_GB2312" w:cs="仿宋_GB2312" w:eastAsia="仿宋_GB2312"/>
              </w:rPr>
              <w:t>（三）</w:t>
            </w:r>
            <w:r>
              <w:rPr>
                <w:rFonts w:ascii="仿宋_GB2312" w:hAnsi="仿宋_GB2312" w:cs="仿宋_GB2312" w:eastAsia="仿宋_GB2312"/>
              </w:rPr>
              <w:t>相关附属工程</w:t>
            </w:r>
          </w:p>
          <w:p>
            <w:pPr>
              <w:pStyle w:val="null3"/>
            </w:pPr>
            <w:r>
              <w:rPr>
                <w:rFonts w:ascii="仿宋_GB2312" w:hAnsi="仿宋_GB2312" w:cs="仿宋_GB2312" w:eastAsia="仿宋_GB2312"/>
              </w:rPr>
              <w:t>1.</w:t>
            </w:r>
            <w:r>
              <w:rPr>
                <w:rFonts w:ascii="仿宋_GB2312" w:hAnsi="仿宋_GB2312" w:cs="仿宋_GB2312" w:eastAsia="仿宋_GB2312"/>
              </w:rPr>
              <w:t>对外墙的变形缝进行检修、清理，</w:t>
            </w:r>
            <w:r>
              <w:rPr>
                <w:rFonts w:ascii="仿宋_GB2312" w:hAnsi="仿宋_GB2312" w:cs="仿宋_GB2312" w:eastAsia="仿宋_GB2312"/>
              </w:rPr>
              <w:t>采用铝合金盖板</w:t>
            </w:r>
            <w:r>
              <w:rPr>
                <w:rFonts w:ascii="仿宋_GB2312" w:hAnsi="仿宋_GB2312" w:cs="仿宋_GB2312" w:eastAsia="仿宋_GB2312"/>
              </w:rPr>
              <w:t>按规范进行更</w:t>
            </w:r>
            <w:r>
              <w:rPr>
                <w:rFonts w:ascii="仿宋_GB2312" w:hAnsi="仿宋_GB2312" w:cs="仿宋_GB2312" w:eastAsia="仿宋_GB2312"/>
              </w:rPr>
              <w:t>换</w:t>
            </w:r>
            <w:r>
              <w:rPr>
                <w:rFonts w:ascii="仿宋_GB2312" w:hAnsi="仿宋_GB2312" w:cs="仿宋_GB2312" w:eastAsia="仿宋_GB2312"/>
              </w:rPr>
              <w:t>处理。</w:t>
            </w:r>
          </w:p>
          <w:p>
            <w:pPr>
              <w:pStyle w:val="null3"/>
            </w:pPr>
            <w:r>
              <w:rPr>
                <w:rFonts w:ascii="仿宋_GB2312" w:hAnsi="仿宋_GB2312" w:cs="仿宋_GB2312" w:eastAsia="仿宋_GB2312"/>
              </w:rPr>
              <w:t>2.拆除原有落水管后更换为UPVC100塑料落水管</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对外墙上的各类管线进行统一整理、规整、固定，做到整齐有序、安全隐蔽。</w:t>
            </w:r>
          </w:p>
          <w:p>
            <w:pPr>
              <w:pStyle w:val="null3"/>
            </w:pPr>
            <w:r>
              <w:rPr>
                <w:rFonts w:ascii="仿宋_GB2312" w:hAnsi="仿宋_GB2312" w:cs="仿宋_GB2312" w:eastAsia="仿宋_GB2312"/>
              </w:rPr>
              <w:t>（四）</w:t>
            </w:r>
            <w:r>
              <w:rPr>
                <w:rFonts w:ascii="仿宋_GB2312" w:hAnsi="仿宋_GB2312" w:cs="仿宋_GB2312" w:eastAsia="仿宋_GB2312"/>
              </w:rPr>
              <w:t>现场清理与成品保护</w:t>
            </w:r>
          </w:p>
          <w:p>
            <w:pPr>
              <w:pStyle w:val="null3"/>
            </w:pPr>
            <w:r>
              <w:rPr>
                <w:rFonts w:ascii="仿宋_GB2312" w:hAnsi="仿宋_GB2312" w:cs="仿宋_GB2312" w:eastAsia="仿宋_GB2312"/>
              </w:rPr>
              <w:t>1.</w:t>
            </w:r>
            <w:r>
              <w:rPr>
                <w:rFonts w:ascii="仿宋_GB2312" w:hAnsi="仿宋_GB2312" w:cs="仿宋_GB2312" w:eastAsia="仿宋_GB2312"/>
              </w:rPr>
              <w:t>施工过程中及结束后，须及时清理施工现场，做到工完场清。</w:t>
            </w:r>
          </w:p>
          <w:p>
            <w:pPr>
              <w:pStyle w:val="null3"/>
            </w:pPr>
            <w:r>
              <w:rPr>
                <w:rFonts w:ascii="仿宋_GB2312" w:hAnsi="仿宋_GB2312" w:cs="仿宋_GB2312" w:eastAsia="仿宋_GB2312"/>
              </w:rPr>
              <w:t>2.</w:t>
            </w:r>
            <w:r>
              <w:rPr>
                <w:rFonts w:ascii="仿宋_GB2312" w:hAnsi="仿宋_GB2312" w:cs="仿宋_GB2312" w:eastAsia="仿宋_GB2312"/>
              </w:rPr>
              <w:t>对周边绿化、道路、其他建筑及本楼门窗等设施采取有效保护措施，避免施工污染或损坏。</w:t>
            </w:r>
          </w:p>
          <w:p>
            <w:pPr>
              <w:pStyle w:val="null3"/>
            </w:pPr>
            <w:r>
              <w:rPr>
                <w:rFonts w:ascii="仿宋_GB2312" w:hAnsi="仿宋_GB2312" w:cs="仿宋_GB2312" w:eastAsia="仿宋_GB2312"/>
                <w:sz w:val="21"/>
              </w:rPr>
              <w:t>3.工程</w:t>
            </w:r>
            <w:r>
              <w:rPr>
                <w:rFonts w:ascii="仿宋_GB2312" w:hAnsi="仿宋_GB2312" w:cs="仿宋_GB2312" w:eastAsia="仿宋_GB2312"/>
                <w:sz w:val="21"/>
              </w:rPr>
              <w:t>竣工移交前，负责已完工程的清洁与成品保护。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其他技术要求见施工图</w:t>
            </w:r>
            <w:r>
              <w:rPr>
                <w:rFonts w:ascii="仿宋_GB2312" w:hAnsi="仿宋_GB2312" w:cs="仿宋_GB2312" w:eastAsia="仿宋_GB2312"/>
                <w:sz w:val="24"/>
              </w:rPr>
              <w:t>和工程量清单</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本项目最高限价：</w:t>
            </w:r>
            <w:r>
              <w:rPr>
                <w:rFonts w:ascii="仿宋_GB2312" w:hAnsi="仿宋_GB2312" w:cs="仿宋_GB2312" w:eastAsia="仿宋_GB2312"/>
                <w:sz w:val="21"/>
                <w:b/>
                <w:shd w:fill="FFFF00" w:val="clear"/>
              </w:rPr>
              <w:t>569390.75元。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1.符合国家相关质量要求及验收标准，严格遵守《建筑装饰装修工程质量验收标准》（GB50210）等相关规范。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1.工期：合同签订后30日历天。 2.付款方式：本项目无预付款，工程竣工验收合格后付至合同金额的80%；待学校审计后支付至审定金额的100%。但前期支付金额超过审定金额的成交人应当退还。 3.质量标准：本工程质量应达到国家质量评定合格标准并符合甲方的使用需要。 安全文明：严格按照安全文明施工标准进行管理，全封闭施工，严格执行施工规范、安全操作规程、防火安全规定、环境保护规定。 4.质保期：验收合格后60个月。</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om）,发送时务必备注项目名称+项目编号。 2、为顺利推进政府采购电子化交易平台应用工作，供应商需要在线提交所有通过电子化交易平台实施的政府采购项目的响应文件，同时，线下提交响应文件正本壹份、副本壹份、电子版壹份（U盘一份，标明供应商名称，随正本密封）。若电子响应文件与纸质响应文件不一致的，以电子响应文件为准；若正本和副本不符，以正本为准。线下递交文件时间：详见本项目磋商公告文件截止时间；线下递交文件地点：西安市莲湖区高新一路5号正信大厦A座24楼。3、如开具电子保函请将电子保函发送至569761717@qq.com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含5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提供2025年5月（含5月）以来任意时间段的社会保障资金缴存单据或社保机构开具的社会保险参保缴费情况证明。依法不需要缴纳社会保障资金的供应商应提供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具备建设行政主管部门核发的建筑装修装饰工程专业承包二级资质及以上资质；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具备有效的安全生产许可证；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政府采购评审中出现下列情形之一的，磋商小组应当启动异常低价投标审查程序： ①响应报价低于全部通过符合性审查供应商响应报价平均值50%的，即响应报价&lt;全部通过符合性审查供应商响应报价平均值×50%； ②响应报价低于通过符合性审查的次低报价供应商响应报价50%的，即响应报价&lt;通过符合性审查的次低报价供应商响应报价×50%； ③响应报价低于采购项目最高限价45%的，即响应报价&lt;采购项目最高限价×45%；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（3）投标报价未超出采购预算或招标文件规定的最高限价。</w:t>
            </w:r>
          </w:p>
        </w:tc>
        <w:tc>
          <w:tcPr>
            <w:tcW w:type="dxa" w:w="1661"/>
          </w:tcPr>
          <w:p>
            <w:pPr>
              <w:pStyle w:val="null3"/>
            </w:pPr>
            <w:r>
              <w:rPr>
                <w:rFonts w:ascii="仿宋_GB2312" w:hAnsi="仿宋_GB2312" w:cs="仿宋_GB2312" w:eastAsia="仿宋_GB2312"/>
              </w:rPr>
              <w:t>1报价表.docx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合同价款 ①本项目采用固定综合单价合同。 ②综合单价修正系数： 修正系数=磋商最终报价/首次报价。 2.变更、签证价款①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 3.付款方式：待工程竣工验收合格后付至合同金额的80%；经学校审计后付至审定金额的100%；但前期支付金额超过审定金额的成交人应当退还。</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已标价工程量清单的扉页（仅指投标总价扉页）需加盖有注册或登记在工程造价咨询企业的造价人员签字并盖执业印章</w:t>
            </w:r>
          </w:p>
        </w:tc>
        <w:tc>
          <w:tcPr>
            <w:tcW w:type="dxa" w:w="1661"/>
          </w:tcPr>
          <w:p>
            <w:pPr>
              <w:pStyle w:val="null3"/>
            </w:pPr>
            <w:r>
              <w:rPr>
                <w:rFonts w:ascii="仿宋_GB2312" w:hAnsi="仿宋_GB2312" w:cs="仿宋_GB2312" w:eastAsia="仿宋_GB2312"/>
              </w:rPr>
              <w:t>响应文件封面 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供应商提供针对本项目的整体施工方案，内容至少包括①施工整体流程，关键部位施工方案(至少包含施工准备工作、施工方法及措施) ；②施工工艺；③劳动力配置计划；④施工现场设施保护及成品保护方案。施工方案应符合采购项目特点及要求，描述详尽且有利于项目实施。 上述4项内容，每提供1项内容计1.5分，每项内容存在1处瑕疵扣0.5分；满分6分。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供应商提供针对本项目的施工组织设计，内容至少包括①施工资源投入计划（劳动力、机械设备和主要材料的投入计划）；②新技术、新产品、新工艺、新材料的应用；③工程竣工验收、结算、移交的组织和配合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供应商针对本项目工期要求及施工特点，提供针对本项目的施工进度计划，内容至少包括①工程总进度施工计划安排；②提供施工进度计划横道图；③进度控制保证措施。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工程质量保障方案</w:t>
            </w:r>
          </w:p>
        </w:tc>
        <w:tc>
          <w:tcPr>
            <w:tcW w:type="dxa" w:w="2492"/>
          </w:tcPr>
          <w:p>
            <w:pPr>
              <w:pStyle w:val="null3"/>
            </w:pPr>
            <w:r>
              <w:rPr>
                <w:rFonts w:ascii="仿宋_GB2312" w:hAnsi="仿宋_GB2312" w:cs="仿宋_GB2312" w:eastAsia="仿宋_GB2312"/>
              </w:rPr>
              <w:t>供应商提供针对本项目的工程质量保障方案，内容至少包括①施工前期、中期、后期质量保障措施；②质量全过程检查制度；③关键点及重难点分析及应对措施。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安全文明环保施工方案</w:t>
            </w:r>
          </w:p>
        </w:tc>
        <w:tc>
          <w:tcPr>
            <w:tcW w:type="dxa" w:w="2492"/>
          </w:tcPr>
          <w:p>
            <w:pPr>
              <w:pStyle w:val="null3"/>
            </w:pPr>
            <w:r>
              <w:rPr>
                <w:rFonts w:ascii="仿宋_GB2312" w:hAnsi="仿宋_GB2312" w:cs="仿宋_GB2312" w:eastAsia="仿宋_GB2312"/>
              </w:rPr>
              <w:t>供应商提供针对本项目的安全文明施工方案，内容至少包括①安全管理组织机构、安全生产管理制度及安全保障措施；②文明施工与环境管理的组织机构及文明施工与现场环境保护的控制措施；③垃圾处理。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供应商提供针对本项目的组织机构，内容至少包括①组织机构框架及岗位设置；②项目人员构成情况（岗位设置、专业种类及能力、有技术职称的人员比例）。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项目经理及业绩</w:t>
            </w:r>
          </w:p>
        </w:tc>
        <w:tc>
          <w:tcPr>
            <w:tcW w:type="dxa" w:w="2492"/>
          </w:tcPr>
          <w:p>
            <w:pPr>
              <w:pStyle w:val="null3"/>
            </w:pPr>
            <w:r>
              <w:rPr>
                <w:rFonts w:ascii="仿宋_GB2312" w:hAnsi="仿宋_GB2312" w:cs="仿宋_GB2312" w:eastAsia="仿宋_GB2312"/>
              </w:rPr>
              <w:t>1.项目经理具有工程类高级及以上职称的得2分，中级职称的得1分，其他的不得分。注：需提供身份证、职称证。 2.项目经理具有类似项目（需包含施工改造）经验，每提供1份2023年5月1日至今业绩得1分，最高3分。注：需提供合同或验收报告或中标公告截图，且合同或验收报告或中标公告截图中能显示项目经理的名字。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主要材料清单</w:t>
            </w:r>
          </w:p>
        </w:tc>
        <w:tc>
          <w:tcPr>
            <w:tcW w:type="dxa" w:w="2492"/>
          </w:tcPr>
          <w:p>
            <w:pPr>
              <w:pStyle w:val="null3"/>
            </w:pPr>
            <w:r>
              <w:rPr>
                <w:rFonts w:ascii="仿宋_GB2312" w:hAnsi="仿宋_GB2312" w:cs="仿宋_GB2312" w:eastAsia="仿宋_GB2312"/>
              </w:rPr>
              <w:t>供应商针对本项目主要材料需求，提供本项目施工所需主要材料清单，品目完整，品牌明确完整计4.5分，内容不完整或品牌不明确不计分。 主要材料至少包含盖板、水泥砂浆、防水涂料、墙面涂料、落水管材。</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主要材料货源渠道</w:t>
            </w:r>
          </w:p>
        </w:tc>
        <w:tc>
          <w:tcPr>
            <w:tcW w:type="dxa" w:w="2492"/>
          </w:tcPr>
          <w:p>
            <w:pPr>
              <w:pStyle w:val="null3"/>
            </w:pPr>
            <w:r>
              <w:rPr>
                <w:rFonts w:ascii="仿宋_GB2312" w:hAnsi="仿宋_GB2312" w:cs="仿宋_GB2312" w:eastAsia="仿宋_GB2312"/>
              </w:rPr>
              <w:t>供应商提供本项目施工所须主要材料（盖板、水泥砂浆、防水涂料、墙面涂料、落水管材）货源渠道证明，包括但不限于销售协议或厂家授权等。每提供一个产品计0.5分，满分2.5分。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主要材料选型说明</w:t>
            </w:r>
          </w:p>
        </w:tc>
        <w:tc>
          <w:tcPr>
            <w:tcW w:type="dxa" w:w="2492"/>
          </w:tcPr>
          <w:p>
            <w:pPr>
              <w:pStyle w:val="null3"/>
            </w:pPr>
            <w:r>
              <w:rPr>
                <w:rFonts w:ascii="仿宋_GB2312" w:hAnsi="仿宋_GB2312" w:cs="仿宋_GB2312" w:eastAsia="仿宋_GB2312"/>
              </w:rPr>
              <w:t>供应商提供本项目施工所供主材选型说明（需包括规格型号、技术说明或制作工艺等）及质量保障措施、检测报告证明。 产品符合项目特征，资料齐全，满足项目实施要求，无瑕疵：7分； 内容每存在1处瑕疵扣1分； 内容存在7处及以上瑕疵或未提供计0分。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主材质量保证承诺</w:t>
            </w:r>
          </w:p>
        </w:tc>
        <w:tc>
          <w:tcPr>
            <w:tcW w:type="dxa" w:w="2492"/>
          </w:tcPr>
          <w:p>
            <w:pPr>
              <w:pStyle w:val="null3"/>
            </w:pPr>
            <w:r>
              <w:rPr>
                <w:rFonts w:ascii="仿宋_GB2312" w:hAnsi="仿宋_GB2312" w:cs="仿宋_GB2312" w:eastAsia="仿宋_GB2312"/>
              </w:rPr>
              <w:t>供应商提供施工所须主要材料无假冒产品、无翻新产品的书面承诺并加盖供应商公章，得2分。 注：未提供承诺书不得分，承诺书格式自拟。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在基础质保期（60个月即5年）的基础上，每增加1年，得1分，本项满分5分。注：仅满足基础质保期（5年）不得分。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供应商需根据自身实力和项目特点提供针对性的维保方案。 1.提供详细的维保人员名单，联系电话，并提供7X24小时服务响应的书面承诺得2分。（承诺书格式自拟） 2.维保方案（包括但不限于维保内容、维保方式、巡检等）（1）方案内容详细，措施具体，可行性强得3分；（2）方案内容较为详细，措施相对具体，有一定的可行性得2分； （3）方案内容简陋，缺乏措施，可行性差得1分； 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环保</w:t>
            </w:r>
          </w:p>
        </w:tc>
        <w:tc>
          <w:tcPr>
            <w:tcW w:type="dxa" w:w="2492"/>
          </w:tcPr>
          <w:p>
            <w:pPr>
              <w:pStyle w:val="null3"/>
            </w:pPr>
            <w:r>
              <w:rPr>
                <w:rFonts w:ascii="仿宋_GB2312" w:hAnsi="仿宋_GB2312" w:cs="仿宋_GB2312" w:eastAsia="仿宋_GB2312"/>
              </w:rPr>
              <w:t>供应商拟投入本项目主要材料产品中每有一项为环境标志产品经国家认证的得1分，最多得3分。（以经国家确定的认证机构出具的、处于有效期内的节能产品、环境标志产品认证证书为准。）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提供2023年5月1日至今类似项目业绩，以合同扫描件加盖公章为准。每提供1份得1分，最多5分，未提供得0分。注：业绩以合同为准，时间以合同签订时间为准，提供合同（至少包括封面、内容页、盖章页）。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40分。其他供应商的价格分按照下列公式计算：磋商报价得分=(磋商基准价/磋商报价)×40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详见附件：1报价表.docx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详见附件：西北大学附属中学二号公寓楼外立面改造项目合同模版.docx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