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版本号：DX2026--121.1B120260520001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2026年西安市“网络中国节”“节气里的大美西安”系列主题活动(二次)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DX2026--121.1B1</w:t>
      </w:r>
      <w:r>
        <w:br/>
      </w:r>
      <w:r>
        <w:br/>
      </w:r>
      <w:r>
        <w:br/>
      </w:r>
    </w:p>
    <w:p>
      <w:pPr>
        <w:pStyle w:val="null3"/>
        <w:jc w:val="center"/>
        <w:outlineLvl w:val="2"/>
      </w:pPr>
      <w:r>
        <w:rPr>
          <w:rFonts w:ascii="仿宋_GB2312" w:hAnsi="仿宋_GB2312" w:cs="仿宋_GB2312" w:eastAsia="仿宋_GB2312"/>
          <w:sz w:val="28"/>
          <w:b/>
        </w:rPr>
        <w:t>中共西安市委网络安全和信息化委员会办公室</w:t>
      </w:r>
    </w:p>
    <w:p>
      <w:pPr>
        <w:pStyle w:val="null3"/>
        <w:jc w:val="center"/>
        <w:outlineLvl w:val="2"/>
      </w:pPr>
      <w:r>
        <w:rPr>
          <w:rFonts w:ascii="仿宋_GB2312" w:hAnsi="仿宋_GB2312" w:cs="仿宋_GB2312" w:eastAsia="仿宋_GB2312"/>
          <w:sz w:val="28"/>
          <w:b/>
        </w:rPr>
        <w:t>陕西笃信招标有限公司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陕西笃信招标有限公司</w:t>
      </w:r>
      <w:r>
        <w:rPr>
          <w:rFonts w:ascii="仿宋_GB2312" w:hAnsi="仿宋_GB2312" w:cs="仿宋_GB2312" w:eastAsia="仿宋_GB2312"/>
        </w:rPr>
        <w:t>（以下简称“代理机构”）受</w:t>
      </w:r>
      <w:r>
        <w:rPr>
          <w:rFonts w:ascii="仿宋_GB2312" w:hAnsi="仿宋_GB2312" w:cs="仿宋_GB2312" w:eastAsia="仿宋_GB2312"/>
        </w:rPr>
        <w:t>中共西安市委网络安全和信息化委员会办公室</w:t>
      </w:r>
      <w:r>
        <w:rPr>
          <w:rFonts w:ascii="仿宋_GB2312" w:hAnsi="仿宋_GB2312" w:cs="仿宋_GB2312" w:eastAsia="仿宋_GB2312"/>
        </w:rPr>
        <w:t>委托，拟对</w:t>
      </w:r>
      <w:r>
        <w:rPr>
          <w:rFonts w:ascii="仿宋_GB2312" w:hAnsi="仿宋_GB2312" w:cs="仿宋_GB2312" w:eastAsia="仿宋_GB2312"/>
        </w:rPr>
        <w:t>2026年西安市“网络中国节”“节气里的大美西安”系列主题活动(二次)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DX2026--121.1B1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2026年西安市“网络中国节”“节气里的大美西安”系列主题活动(二次)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中共西安市委网络安全和信息化委员会办公室2026年西安市“网络中国节”“节气里的大美西安”系列主题活动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采购包1（2026年西安市“网络中国节”“节气里的大美西安”系列主题活动）：属于专门面向中小企业采购。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1、政府采购法第二十二条规定：（1）具备独立承担民事责任的能力：提供营业执照或相关证明材料。 （2）具有良好的商业信誉和健全的财务会计制度：提供项目招标日前一期的财务审计报告（至少包括资产负债表、利润表、现金流量表、所有者权益变动表及其附注，成立时间至提交响应文件截止时间不足一年的可提供成立后任意时段的资产负债表）/内控审计报告。 （3）有依法缴纳税收和社会保障资金的良好记录：提供投标截止日前6个月内任意时间段的税收及社保缴纳证明。 （4）参加政府采购活动前三年内，在经营活动中没有重大违法记录的书面声明。 （5）出具履行合同所必需的设备和专业技术能力的书面声明。</w:t>
      </w:r>
    </w:p>
    <w:p>
      <w:pPr>
        <w:pStyle w:val="null3"/>
      </w:pPr>
      <w:r>
        <w:rPr>
          <w:rFonts w:ascii="仿宋_GB2312" w:hAnsi="仿宋_GB2312" w:cs="仿宋_GB2312" w:eastAsia="仿宋_GB2312"/>
        </w:rPr>
        <w:t>2、法定代表人授权委托书：法定代表人授权书（附法定代表人、被授权人身份证复印件）及被授权人本单位证明（投标截止前六个月内投标供应商为其缴纳的任意一个月的养老保险缴纳证明）；法定代表人参加只需提供本人身份证；其他形式供应商参照法人企业执行。</w:t>
      </w:r>
    </w:p>
    <w:p>
      <w:pPr>
        <w:pStyle w:val="null3"/>
      </w:pPr>
      <w:r>
        <w:rPr>
          <w:rFonts w:ascii="仿宋_GB2312" w:hAnsi="仿宋_GB2312" w:cs="仿宋_GB2312" w:eastAsia="仿宋_GB2312"/>
        </w:rPr>
        <w:t>3、信用记录：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以评审现场查询记录为准）</w:t>
      </w:r>
    </w:p>
    <w:p>
      <w:pPr>
        <w:pStyle w:val="null3"/>
      </w:pPr>
      <w:r>
        <w:rPr>
          <w:rFonts w:ascii="仿宋_GB2312" w:hAnsi="仿宋_GB2312" w:cs="仿宋_GB2312" w:eastAsia="仿宋_GB2312"/>
        </w:rPr>
        <w:t>4、非联合体投标：本项目不接受联合体投标，不得转包、分包或以其它联营挂靠形式分包给其他单位或个人，提供承诺函（格式自拟）。</w:t>
      </w:r>
    </w:p>
    <w:p>
      <w:pPr>
        <w:pStyle w:val="null3"/>
      </w:pPr>
      <w:r>
        <w:rPr>
          <w:rFonts w:ascii="仿宋_GB2312" w:hAnsi="仿宋_GB2312" w:cs="仿宋_GB2312" w:eastAsia="仿宋_GB2312"/>
        </w:rPr>
        <w:t>5、控股管理关系：单位负责人为同一人或者存在控股、管理关系的不同单位，不得参加同一项目投标，提供承诺函（格式自拟）。</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中共西安市委网络安全和信息化委员会办公室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凤城八路99号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029-86782939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陕西笃信招标有限公司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西安市经济技术开发区凤城十一路与文景路十字文景商务广场B座8层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张亚娜、刘艳娇、聂肖、王雪艳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029-86253389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采购包1：259,000.00元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国家发展改革委办公厅关于招标代理服务收费有关问题的通知》（发改价格[2003]857号）、《国家发展改革委关于进一步放开建设项目专业服务价格的通知》收取。注：代理服务费不足6000元的，按6000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中共西安市委网络安全和信息化委员会办公室</w:t>
      </w:r>
      <w:r>
        <w:rPr>
          <w:rFonts w:ascii="仿宋_GB2312" w:hAnsi="仿宋_GB2312" w:cs="仿宋_GB2312" w:eastAsia="仿宋_GB2312"/>
        </w:rPr>
        <w:t>和</w:t>
      </w:r>
      <w:r>
        <w:rPr>
          <w:rFonts w:ascii="仿宋_GB2312" w:hAnsi="仿宋_GB2312" w:cs="仿宋_GB2312" w:eastAsia="仿宋_GB2312"/>
        </w:rPr>
        <w:t>陕西笃信招标有限公司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中共西安市委网络安全和信息化委员会办公室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陕西笃信招标有限公司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中共西安市委网络安全和信息化委员会办公室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陕西笃信招标有限公司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符合国家相关质量标准或行业标准。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联系人：张亚娜、刘艳娇、聂肖、王雪艳</w:t>
      </w:r>
    </w:p>
    <w:p>
      <w:pPr>
        <w:pStyle w:val="null3"/>
      </w:pPr>
      <w:r>
        <w:rPr>
          <w:rFonts w:ascii="仿宋_GB2312" w:hAnsi="仿宋_GB2312" w:cs="仿宋_GB2312" w:eastAsia="仿宋_GB2312"/>
        </w:rPr>
        <w:t>联系电话：029-86253389</w:t>
      </w:r>
    </w:p>
    <w:p>
      <w:pPr>
        <w:pStyle w:val="null3"/>
      </w:pPr>
      <w:r>
        <w:rPr>
          <w:rFonts w:ascii="仿宋_GB2312" w:hAnsi="仿宋_GB2312" w:cs="仿宋_GB2312" w:eastAsia="仿宋_GB2312"/>
        </w:rPr>
        <w:t>地址：西安市经济技术开发区凤城十一路与文景路十字文景商务广场B座8层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中共西安市委网络安全和信息化委员会办公室2026年西安市“网络中国节”“节气里的大美西安”系列主题活动。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259,000.00</w:t>
      </w:r>
    </w:p>
    <w:p>
      <w:pPr>
        <w:pStyle w:val="null3"/>
      </w:pPr>
      <w:r>
        <w:rPr>
          <w:rFonts w:ascii="仿宋_GB2312" w:hAnsi="仿宋_GB2312" w:cs="仿宋_GB2312" w:eastAsia="仿宋_GB2312"/>
        </w:rPr>
        <w:t>采购包最高限价（元）: 259,000.00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2026年西安市网络中国节节气里的大美西安系列主题活动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259,000.00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标的名称：2026年西安市网络中国节节气里的大美西安系列主题活动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一、活动目标</w:t>
            </w:r>
          </w:p>
          <w:p>
            <w:pPr>
              <w:pStyle w:val="null3"/>
              <w:ind w:firstLine="400"/>
            </w:pPr>
            <w:r>
              <w:rPr>
                <w:rFonts w:ascii="仿宋_GB2312" w:hAnsi="仿宋_GB2312" w:cs="仿宋_GB2312" w:eastAsia="仿宋_GB2312"/>
              </w:rPr>
              <w:t>将七个传统节日、二十四节气等作为传承中华优秀传统文化、讲好中国故事的重要载体，打造具有广泛影响力的网络文化品牌，创新策划、创意表达，大力弘扬社会主义核心价值观，引导广大网民特别是青少年在互动参与中坚定文化自信、涵养国家情怀、凝聚奋进共识，有力推动中华优秀传统文化网上传承发展。</w:t>
            </w:r>
          </w:p>
          <w:p>
            <w:pPr>
              <w:pStyle w:val="null3"/>
            </w:pPr>
            <w:r>
              <w:rPr>
                <w:rFonts w:ascii="仿宋_GB2312" w:hAnsi="仿宋_GB2312" w:cs="仿宋_GB2312" w:eastAsia="仿宋_GB2312"/>
                <w:b/>
              </w:rPr>
              <w:t>二、活动内容</w:t>
            </w:r>
          </w:p>
          <w:p>
            <w:pPr>
              <w:pStyle w:val="null3"/>
            </w:pPr>
            <w:r>
              <w:rPr>
                <w:rFonts w:ascii="仿宋_GB2312" w:hAnsi="仿宋_GB2312" w:cs="仿宋_GB2312" w:eastAsia="仿宋_GB2312"/>
                <w:b/>
              </w:rPr>
              <w:t>（一）</w:t>
            </w:r>
            <w:r>
              <w:rPr>
                <w:rFonts w:ascii="仿宋_GB2312" w:hAnsi="仿宋_GB2312" w:cs="仿宋_GB2312" w:eastAsia="仿宋_GB2312"/>
                <w:b/>
              </w:rPr>
              <w:t>“网络中国节”系列主题活动。</w:t>
            </w:r>
          </w:p>
          <w:p>
            <w:pPr>
              <w:pStyle w:val="null3"/>
            </w:pPr>
            <w:r>
              <w:rPr>
                <w:rFonts w:ascii="仿宋_GB2312" w:hAnsi="仿宋_GB2312" w:cs="仿宋_GB2312" w:eastAsia="仿宋_GB2312"/>
              </w:rPr>
              <w:t>在春节、元宵节、清明节、端午节、七夕节、中秋节、重阳节等七个传统节日期间集中开展</w:t>
            </w:r>
            <w:r>
              <w:rPr>
                <w:rFonts w:ascii="仿宋_GB2312" w:hAnsi="仿宋_GB2312" w:cs="仿宋_GB2312" w:eastAsia="仿宋_GB2312"/>
              </w:rPr>
              <w:t>“网络中国节”系列主题活动，推出形式多样的融媒体产品及线上线下网络文化活动，引导广大网民树立和坚持正确的历史观、民族观、国家观、文化观。集中展示我市传承弘扬中华优秀传统文化的丰硕成果，积极营造传承中华文明、传播优秀传统文化的浓厚社会氛围。</w:t>
            </w:r>
          </w:p>
          <w:p>
            <w:pPr>
              <w:pStyle w:val="null3"/>
            </w:pPr>
            <w:r>
              <w:rPr>
                <w:rFonts w:ascii="仿宋_GB2312" w:hAnsi="仿宋_GB2312" w:cs="仿宋_GB2312" w:eastAsia="仿宋_GB2312"/>
                <w:b/>
              </w:rPr>
              <w:t>（二）</w:t>
            </w:r>
            <w:r>
              <w:rPr>
                <w:rFonts w:ascii="仿宋_GB2312" w:hAnsi="仿宋_GB2312" w:cs="仿宋_GB2312" w:eastAsia="仿宋_GB2312"/>
                <w:b/>
              </w:rPr>
              <w:t>“节气里的大美西安”系列主题活动。</w:t>
            </w:r>
          </w:p>
          <w:p>
            <w:pPr>
              <w:pStyle w:val="null3"/>
              <w:ind w:firstLine="400"/>
            </w:pPr>
            <w:r>
              <w:rPr>
                <w:rFonts w:ascii="仿宋_GB2312" w:hAnsi="仿宋_GB2312" w:cs="仿宋_GB2312" w:eastAsia="仿宋_GB2312"/>
              </w:rPr>
              <w:t>聚焦中华文化瑰宝、人类非物质文化遗产</w:t>
            </w:r>
            <w:r>
              <w:rPr>
                <w:rFonts w:ascii="仿宋_GB2312" w:hAnsi="仿宋_GB2312" w:cs="仿宋_GB2312" w:eastAsia="仿宋_GB2312"/>
              </w:rPr>
              <w:t>——“二十四节气”，从天文与人文、时空与空间、农事与民俗、非遗与传承等多个角度，挖掘节气文化中蕴含的思想观念、人文精神、道德规范，展现节气文化对人们生活的温润滋养，讲好节气里的西安故事、西安智慧。选取有代表性的自然景观、生产生活场景开展线下互动活动，生动展示人与自然和谐共生、人民生活幸福安康的宜居西安。</w:t>
            </w:r>
          </w:p>
          <w:p>
            <w:pPr>
              <w:pStyle w:val="null3"/>
              <w:ind w:firstLine="400"/>
            </w:pPr>
            <w:r>
              <w:rPr>
                <w:rFonts w:ascii="仿宋_GB2312" w:hAnsi="仿宋_GB2312" w:cs="仿宋_GB2312" w:eastAsia="仿宋_GB2312"/>
              </w:rPr>
              <w:t>根据上一年度活动合同截止时间，今年活动实际执行时间从</w:t>
            </w:r>
            <w:r>
              <w:rPr>
                <w:rFonts w:ascii="仿宋_GB2312" w:hAnsi="仿宋_GB2312" w:cs="仿宋_GB2312" w:eastAsia="仿宋_GB2312"/>
              </w:rPr>
              <w:t>2026年芒种开始，至2027年小满为止。计划制作拍摄三期</w:t>
            </w:r>
            <w:r>
              <w:rPr>
                <w:rFonts w:ascii="仿宋_GB2312" w:hAnsi="仿宋_GB2312" w:cs="仿宋_GB2312" w:eastAsia="仿宋_GB2312"/>
              </w:rPr>
              <w:t>AI</w:t>
            </w:r>
            <w:r>
              <w:rPr>
                <w:rFonts w:ascii="仿宋_GB2312" w:hAnsi="仿宋_GB2312" w:cs="仿宋_GB2312" w:eastAsia="仿宋_GB2312"/>
              </w:rPr>
              <w:t>和实景结合的视频短片，以</w:t>
            </w:r>
            <w:r>
              <w:rPr>
                <w:rFonts w:ascii="仿宋_GB2312" w:hAnsi="仿宋_GB2312" w:cs="仿宋_GB2312" w:eastAsia="仿宋_GB2312"/>
              </w:rPr>
              <w:t>“长安好时节”为主题，以节日与节气为纽带，每期聚焦一个代表人物、一个节日（节气）、一个故事，用“小切口”展现幸福西安主题。举办三场线下互动体验活动，联合学校、社区、非遗体检中心、新农村农业示范点等公共空间，以传统节日节气为纽带，传递人文关怀，促进社会融合，扩大活动品牌影响力；春节制作拍摄双语视频短片1期，与全球同胞共贺新春；制作发布</w:t>
            </w:r>
            <w:r>
              <w:rPr>
                <w:rFonts w:ascii="仿宋_GB2312" w:hAnsi="仿宋_GB2312" w:cs="仿宋_GB2312" w:eastAsia="仿宋_GB2312"/>
              </w:rPr>
              <w:t>AI</w:t>
            </w:r>
            <w:r>
              <w:rPr>
                <w:rFonts w:ascii="仿宋_GB2312" w:hAnsi="仿宋_GB2312" w:cs="仿宋_GB2312" w:eastAsia="仿宋_GB2312"/>
              </w:rPr>
              <w:t>海报、图文信息等内容，开设</w:t>
            </w:r>
            <w:r>
              <w:rPr>
                <w:rFonts w:ascii="仿宋_GB2312" w:hAnsi="仿宋_GB2312" w:cs="仿宋_GB2312" w:eastAsia="仿宋_GB2312"/>
              </w:rPr>
              <w:t>“二十四节气里的大美西安”专题专栏集纳展示。</w:t>
            </w:r>
          </w:p>
          <w:p>
            <w:pPr>
              <w:pStyle w:val="null3"/>
            </w:pPr>
            <w:r>
              <w:rPr>
                <w:rFonts w:ascii="仿宋_GB2312" w:hAnsi="仿宋_GB2312" w:cs="仿宋_GB2312" w:eastAsia="仿宋_GB2312"/>
                <w:b/>
              </w:rPr>
              <w:t>三、传播矩阵及效果</w:t>
            </w:r>
          </w:p>
          <w:p>
            <w:pPr>
              <w:pStyle w:val="null3"/>
              <w:ind w:firstLine="400"/>
            </w:pPr>
            <w:r>
              <w:rPr>
                <w:rFonts w:ascii="仿宋_GB2312" w:hAnsi="仿宋_GB2312" w:cs="仿宋_GB2312" w:eastAsia="仿宋_GB2312"/>
              </w:rPr>
              <w:t>一是制作推出爆款融媒体产品，在人民网、新华网、国际在线、西部网、群众新闻网、华商网、西安新闻网、西安发布等中央重点新闻网站驻陕频道及省市网络媒体呈现；</w:t>
            </w:r>
          </w:p>
          <w:p>
            <w:pPr>
              <w:pStyle w:val="null3"/>
              <w:ind w:firstLine="400"/>
            </w:pPr>
            <w:r>
              <w:rPr>
                <w:rFonts w:ascii="仿宋_GB2312" w:hAnsi="仿宋_GB2312" w:cs="仿宋_GB2312" w:eastAsia="仿宋_GB2312"/>
              </w:rPr>
              <w:t>二是整合社交媒体资源优势和渠道，依托全媒体矩阵，在两微一端、头条、抖音等平台投放传播，实现融合传播扩散，形成规模传播效应；</w:t>
            </w:r>
          </w:p>
          <w:p>
            <w:pPr>
              <w:pStyle w:val="null3"/>
              <w:ind w:firstLine="400"/>
            </w:pPr>
            <w:r>
              <w:rPr>
                <w:rFonts w:ascii="仿宋_GB2312" w:hAnsi="仿宋_GB2312" w:cs="仿宋_GB2312" w:eastAsia="仿宋_GB2312"/>
              </w:rPr>
              <w:t>三是拓展海外传播，充分调动各网站平台和自媒体在海外社交平台设立的账号，用好节日节气文化载体，向境外网民展现瑰丽多彩的中国传统节日文化和民间习俗。</w:t>
            </w:r>
          </w:p>
          <w:p>
            <w:pPr>
              <w:pStyle w:val="null3"/>
              <w:ind w:firstLine="400"/>
            </w:pPr>
            <w:r>
              <w:rPr>
                <w:rFonts w:ascii="仿宋_GB2312" w:hAnsi="仿宋_GB2312" w:cs="仿宋_GB2312" w:eastAsia="仿宋_GB2312"/>
              </w:rPr>
              <w:t>四是深入实施</w:t>
            </w:r>
            <w:r>
              <w:rPr>
                <w:rFonts w:ascii="仿宋_GB2312" w:hAnsi="仿宋_GB2312" w:cs="仿宋_GB2312" w:eastAsia="仿宋_GB2312"/>
              </w:rPr>
              <w:t>“网民共创计划”，发现和团结一批优秀传统文化爱好创作者，广泛动员网民、网络社会组织、互联网企业等网络社会多元主体共同参与策划、传播、互动，不断增强活动的影响力和覆盖面，切实提升活动实效。</w:t>
            </w:r>
          </w:p>
          <w:p>
            <w:pPr>
              <w:pStyle w:val="null3"/>
            </w:pPr>
            <w:r>
              <w:rPr>
                <w:rFonts w:ascii="仿宋_GB2312" w:hAnsi="仿宋_GB2312" w:cs="仿宋_GB2312" w:eastAsia="仿宋_GB2312"/>
                <w:b/>
              </w:rPr>
              <w:t>四、活动说明</w:t>
            </w:r>
          </w:p>
          <w:tbl>
            <w:tblPr>
              <w:tblBorders>
                <w:top w:val="none" w:color="000000" w:sz="4"/>
                <w:left w:val="none" w:color="000000" w:sz="4"/>
                <w:bottom w:val="none" w:color="000000" w:sz="4"/>
                <w:right w:val="none" w:color="000000" w:sz="4"/>
                <w:insideH w:val="none"/>
                <w:insideV w:val="none"/>
              </w:tblBorders>
            </w:tblPr>
            <w:tblGrid>
              <w:gridCol w:w="301"/>
              <w:gridCol w:w="362"/>
              <w:gridCol w:w="1493"/>
              <w:gridCol w:w="395"/>
            </w:tblGrid>
            <w:tr>
              <w:tc>
                <w:tcPr>
                  <w:tcW w:type="dxa" w:w="3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3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项目</w:t>
                  </w:r>
                </w:p>
              </w:tc>
              <w:tc>
                <w:tcPr>
                  <w:tcW w:type="dxa" w:w="14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具体规格</w:t>
                  </w:r>
                </w:p>
              </w:tc>
              <w:tc>
                <w:tcPr>
                  <w:tcW w:type="dxa" w:w="3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r>
            <w:tr>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视频</w:t>
                  </w: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90秒</w:t>
                  </w:r>
                  <w:r>
                    <w:rPr>
                      <w:rFonts w:ascii="仿宋_GB2312" w:hAnsi="仿宋_GB2312" w:cs="仿宋_GB2312" w:eastAsia="仿宋_GB2312"/>
                      <w:sz w:val="21"/>
                    </w:rPr>
                    <w:t>AI</w:t>
                  </w:r>
                  <w:r>
                    <w:rPr>
                      <w:rFonts w:ascii="仿宋_GB2312" w:hAnsi="仿宋_GB2312" w:cs="仿宋_GB2312" w:eastAsia="仿宋_GB2312"/>
                      <w:sz w:val="21"/>
                    </w:rPr>
                    <w:t>和实景结合的视频，包括选题策划、实景拍摄、脚本撰写、字幕、翻译审校、剪辑、配音调色等</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3期</w:t>
                  </w:r>
                </w:p>
              </w:tc>
            </w:tr>
            <w:tr>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视频</w:t>
                  </w: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2分钟左右双语视频短片，包括实景拍摄、脚本撰写、字幕、翻译审校、剪辑、配音调色等</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1期</w:t>
                  </w:r>
                </w:p>
              </w:tc>
            </w:tr>
            <w:tr>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海报</w:t>
                  </w: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创意海报</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30张</w:t>
                  </w:r>
                </w:p>
              </w:tc>
            </w:tr>
            <w:tr>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直播</w:t>
                  </w: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活动现场直播</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1场</w:t>
                  </w:r>
                </w:p>
              </w:tc>
            </w:tr>
            <w:tr>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线下</w:t>
                  </w:r>
                </w:p>
                <w:p>
                  <w:pPr>
                    <w:pStyle w:val="null3"/>
                    <w:jc w:val="center"/>
                  </w:pPr>
                  <w:r>
                    <w:rPr>
                      <w:rFonts w:ascii="仿宋_GB2312" w:hAnsi="仿宋_GB2312" w:cs="仿宋_GB2312" w:eastAsia="仿宋_GB2312"/>
                      <w:sz w:val="21"/>
                    </w:rPr>
                    <w:t>活动</w:t>
                  </w: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举办活动、场地租赁、邀请嘉宾和媒体、主持人、现场翻译、场地布置搭建、物料制作、音响话筒等设备、活动宣传推广等支持</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3场</w:t>
                  </w:r>
                </w:p>
              </w:tc>
            </w:tr>
            <w:tr>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宣发</w:t>
                  </w: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开设专题专栏，国内外平台视频账号多平台宣发，同时联动其他媒体、自媒体宣传推广等</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全年，</w:t>
                  </w:r>
                  <w:r>
                    <w:rPr>
                      <w:rFonts w:ascii="仿宋_GB2312" w:hAnsi="仿宋_GB2312" w:cs="仿宋_GB2312" w:eastAsia="仿宋_GB2312"/>
                      <w:sz w:val="21"/>
                      <w:color w:val="000000"/>
                    </w:rPr>
                    <w:t>30期</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按照采购需求配备服务项目专业技术人员。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供应商根据采购需求提供所需的相应设备。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合同签订之日起至2027年6月5日。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符合国家相关质量标准或行业标准。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合同签订完毕并收到供应商开具的等额合法有效的增值税正式发票之日起</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完成专题搭建、2场线下活动、1期视频、12个节气和4个中国传统节日后，收到供应商开具的等额合法有效的增值税正式发票之日起</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20.00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项目全部履约完成后，绩效目标已完成并出具验收报告，收到供应商开具的等额合法有效的增值税正式发票之日起</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详见采购合同附件。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通过电子化交易系统协商，供应商需在电子化交易系统上传响应的文件。成交供应商领取中标（成交）通知书时，向采购代理机构提供一正两副纸质响应文件及电子版1份（签字盖章扫描PDF和word文档格式，U盘存储）。 2.供应商应自协商文件递交截止时间起至磋商结束，保持在线状态。 3.响应文件中凡是需要法定代表人盖章之处，由分支机构参与磋商时，单位负责人均参照执行（法定代表人授权书由单位负责人签授）。 4.本项目付款以合同约定为准。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提供政府采购政策等证明材料</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政府采购法第二十二条规定</w:t>
            </w:r>
          </w:p>
        </w:tc>
        <w:tc>
          <w:tcPr>
            <w:tcW w:type="dxa" w:w="3322"/>
          </w:tcPr>
          <w:p>
            <w:pPr>
              <w:pStyle w:val="null3"/>
            </w:pPr>
            <w:r>
              <w:rPr>
                <w:rFonts w:ascii="仿宋_GB2312" w:hAnsi="仿宋_GB2312" w:cs="仿宋_GB2312" w:eastAsia="仿宋_GB2312"/>
              </w:rPr>
              <w:t>（1）具备独立承担民事责任的能力：提供营业执照或相关证明材料。 （2）具有良好的商业信誉和健全的财务会计制度：提供项目招标日前一期的财务审计报告（至少包括资产负债表、利润表、现金流量表、所有者权益变动表及其附注，成立时间至提交响应文件截止时间不足一年的可提供成立后任意时段的资产负债表）/内控审计报告。 （3）有依法缴纳税收和社会保障资金的良好记录：提供投标截止日前6个月内任意时间段的税收及社保缴纳证明。 （4）参加政府采购活动前三年内，在经营活动中没有重大违法记录的书面声明。 （5）出具履行合同所必需的设备和专业技术能力的书面声明。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书（附法定代表人、被授权人身份证复印件）及被授权人本单位证明（投标截止前六个月内投标供应商为其缴纳的任意一个月的养老保险缴纳证明）；法定代表人参加只需提供本人身份证；其他形式供应商参照法人企业执行。</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以评审现场查询记录为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本项目不接受联合体投标，不得转包、分包或以其它联营挂靠形式分包给其他单位或个人，提供承诺函（格式自拟）。</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单位负责人为同一人或者存在控股、管理关系的不同单位，不得参加同一项目投标，提供承诺函（格式自拟）。</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一、评审中出现下列情形之一的，磋商小组应当启动异常低价投标审查程序： 1.磋商报价低于全部通过符合性审查供应商磋商报价平均值50%的，即磋商报价&lt;全部通过符合性审查供应商磋商报价平均值×50%； 2.磋商报价低于通过符合性审查的次低报价供应商磋商报价50%的，即磋商报价&lt;通过符合性审查的次低报价供应商磋商报价×50%； 3.磋商报价低于采购项目最高限价45%的，即磋商报价&lt;采购项目最高限价×45%； 4.磋商小组基于专业判断，认为供应商报价过低，有可能影响产品质量或者不能诚信履约的其他情形。 相关法律法规对供应商报价有规定的，从其规定。 二、磋商小组应当要求相关供应商在评审现场合理的时间内对磋商价格作出解释，提供项目具体成本测算等与报价合理性相关的书面说明及必要的证明材料，包括但不限于原材料成本、人工成本、制造费用等，给予相关供应商的合理时间一般不少于30分钟。磋商小组依据专业经验，参考同类项目中标（成交）价格、类似产品市场价格水平、行业人工费用标准、国家有关部门指导行业协会发布的行业平均成本等情况，对报价合理性进行判断。 三、磋商小组提交的相关说明和证明材料，应当加盖供应商（法定名称）电子印章，在磋商小组要求的时间内通过项目电子化交易系统进行提交，否则提交的相关证明材料无效。供应商不能提供书面说明、证明材料，或者提供的书面说明、证明材料不能证明其报价合理性的，磋商小组应当将其作为无效投标处理。</w:t>
            </w:r>
          </w:p>
        </w:tc>
        <w:tc>
          <w:tcPr>
            <w:tcW w:type="dxa" w:w="1661"/>
          </w:tcPr>
          <w:p>
            <w:pPr>
              <w:pStyle w:val="null3"/>
            </w:pPr>
            <w:r>
              <w:rPr>
                <w:rFonts w:ascii="仿宋_GB2312" w:hAnsi="仿宋_GB2312" w:cs="仿宋_GB2312" w:eastAsia="仿宋_GB2312"/>
              </w:rPr>
              <w:t>费用组成明细表 第一次磋商报价表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磋商报价表</w:t>
            </w:r>
          </w:p>
        </w:tc>
        <w:tc>
          <w:tcPr>
            <w:tcW w:type="dxa" w:w="3322"/>
          </w:tcPr>
          <w:p>
            <w:pPr>
              <w:pStyle w:val="null3"/>
            </w:pPr>
            <w:r>
              <w:rPr>
                <w:rFonts w:ascii="仿宋_GB2312" w:hAnsi="仿宋_GB2312" w:cs="仿宋_GB2312" w:eastAsia="仿宋_GB2312"/>
              </w:rPr>
              <w:t>1.磋商报价符合唯一性要求； 2.磋商报价表填写符合要求； 3.计量单位、报价货币均符合磋商文件要求； 4.未超出采购预算或磋商文件规定的最高限价。</w:t>
            </w:r>
          </w:p>
        </w:tc>
        <w:tc>
          <w:tcPr>
            <w:tcW w:type="dxa" w:w="1661"/>
          </w:tcPr>
          <w:p>
            <w:pPr>
              <w:pStyle w:val="null3"/>
            </w:pPr>
            <w:r>
              <w:rPr>
                <w:rFonts w:ascii="仿宋_GB2312" w:hAnsi="仿宋_GB2312" w:cs="仿宋_GB2312" w:eastAsia="仿宋_GB2312"/>
              </w:rPr>
              <w:t>费用组成明细表 第一次磋商报价表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1.完全理解并接受《供应商廉洁自律承诺书》内容； 2.完全理解并接受《供应商企业关系关联承诺书》内容； 3.完全理解并接受《承诺书》内容。</w:t>
            </w:r>
          </w:p>
        </w:tc>
        <w:tc>
          <w:tcPr>
            <w:tcW w:type="dxa" w:w="1661"/>
          </w:tcPr>
          <w:p>
            <w:pPr>
              <w:pStyle w:val="null3"/>
            </w:pPr>
            <w:r>
              <w:rPr>
                <w:rFonts w:ascii="仿宋_GB2312" w:hAnsi="仿宋_GB2312" w:cs="仿宋_GB2312" w:eastAsia="仿宋_GB2312"/>
              </w:rPr>
              <w:t>供应商企业关系关联承诺书 承诺书 供应商廉洁自律承诺书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无其他磋商文件或法规明确规定响应无效的事项，没有不符合磋商文件规定的被视为无效响应的其他条款。</w:t>
            </w:r>
          </w:p>
        </w:tc>
        <w:tc>
          <w:tcPr>
            <w:tcW w:type="dxa" w:w="1661"/>
          </w:tcPr>
          <w:p>
            <w:pPr>
              <w:pStyle w:val="null3"/>
            </w:pPr>
            <w:r>
              <w:rPr>
                <w:rFonts w:ascii="仿宋_GB2312" w:hAnsi="仿宋_GB2312" w:cs="仿宋_GB2312" w:eastAsia="仿宋_GB2312"/>
              </w:rPr>
              <w:t>供应商认为有必要补充说明的事项</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供应商对响应文件质量保证、服务期限、合同条款等商务要求进行响应，完全满足采购需求得3分，不满足或存在负偏离不得分。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商务条款响应偏差表</w:t>
            </w:r>
          </w:p>
          <w:p>
            <w:pPr>
              <w:pStyle w:val="null3"/>
            </w:pPr>
            <w:r>
              <w:rPr>
                <w:rFonts w:ascii="仿宋_GB2312" w:hAnsi="仿宋_GB2312" w:cs="仿宋_GB2312" w:eastAsia="仿宋_GB2312"/>
              </w:rPr>
              <w:t>服务内容响应偏差表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针对本项目提供详细的实施方案，包括但不限于： ①对项目的理解及重难点分析； ②“网络中国节”系列主题活动实施方案； ③“节气里的大美西安”系列主题活动实施方案； ④活动宣传推广方案； 二、评审标准 上述五项评审内容中： 每一项方案内容满足本项目采购需求，符合实际情况、方案详实，有针对性和可操作性，得5分； 方案内容合理，涵盖上述维度，得3分； 方案内容粗略，无针对性，得1分； 未提供响应方案内容，得0分。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①项目质量保障措施； ②进度计划安排； ③响应时效保障措施； ④安全保障措施； ⑤针对本项目提供应急预案（不限于技术故障、活动延期、人员变动、项目风险、极端天气等各类特殊情况）。 二、评审标准 上述五项评审内容中： 每一项方案内容满足本项目采购需求，符合实际情况、方案详实，有针对性和可操作性，得5分； 方案内容合理，涵盖上述维度，得3分； 方案内容粗略，无针对性，得1分； 未提供响应方案内容，得0分。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设备设施配备</w:t>
            </w:r>
          </w:p>
        </w:tc>
        <w:tc>
          <w:tcPr>
            <w:tcW w:type="dxa" w:w="2492"/>
          </w:tcPr>
          <w:p>
            <w:pPr>
              <w:pStyle w:val="null3"/>
            </w:pPr>
            <w:r>
              <w:rPr>
                <w:rFonts w:ascii="仿宋_GB2312" w:hAnsi="仿宋_GB2312" w:cs="仿宋_GB2312" w:eastAsia="仿宋_GB2312"/>
              </w:rPr>
              <w:t>一、评审内容 提供针对本项目实施过程中拟采用的设备设施。 二、评审标准 设备齐全完备、配置科学合理，完全满足活动全流程需求，证明材料详实充分，支撑性强，得4分； 设备配备合理，可满足活动核心及拓展需求，证明材料齐全，得3分； 设备配备满足基本活动需求，证明材料有缺失，得2分； 设备配备简略，无证明资料，得1分； 未提供设备设施，得0分。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①有专业的运营团队，团队人员数量、分工合理，岗位职责明确； ②人员管理制度。 二、评审标准 上述两项评审内容中： 人员配备齐全专业，且符合实际情况，组织结构清晰、方案详实，有针对性和可操作性，得5分； 人员配备方案合理，涵盖上述维度，得3分； 人员岗位配置粗略，方案内容简单粗糙，无明显针对性，得1分； 未提供响应方案，得0分。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针对本项目提供详细的服务承诺，包括但不限于： ①制定完善的各项规章制度等内容; ②针对本项目的服务质量保证承诺。 二、评审标准 上述两项评审内容中： 每一项方案内容满足本项目采购需求，符合实际情况、方案详实，有针对性和可操作性，得5分； 方案内容合理，涵盖上述维度，得3分； 方案内容粗略，无针对性，得1分； 未提供响应方案内容，得0分。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 针对本项目提供合理化建议。 二、评审标准 建议完全贴合项目实际需求，针对性极强，实施后能显著提升效率、降低成本得3分； 建议符合项目方向，对项目的改善作用有限得2分； 虽有建议，缺乏可行性与实操性得1分； 未提供建议得0分。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供应商提供2023年4月1日至今类似项目业绩合同（以合同签订时间为准）；一个业绩得2分，最高得10分； 评审依据：提供完整合同复印件并加盖公章。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第一次磋商报价表</w:t>
            </w:r>
          </w:p>
          <w:p>
            <w:pPr>
              <w:pStyle w:val="null3"/>
            </w:pPr>
            <w:r>
              <w:rPr>
                <w:rFonts w:ascii="仿宋_GB2312" w:hAnsi="仿宋_GB2312" w:cs="仿宋_GB2312" w:eastAsia="仿宋_GB2312"/>
              </w:rPr>
              <w:t>费用组成明细表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满足磋商文件要求,以本次最低有效磋商报价总价为基准价，其价格分为满分。报价得分=（评审基准价／总报价）×15%×100。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第一次磋商报价表</w:t>
            </w:r>
          </w:p>
          <w:p>
            <w:pPr>
              <w:pStyle w:val="null3"/>
            </w:pPr>
            <w:r>
              <w:rPr>
                <w:rFonts w:ascii="仿宋_GB2312" w:hAnsi="仿宋_GB2312" w:cs="仿宋_GB2312" w:eastAsia="仿宋_GB2312"/>
              </w:rPr>
              <w:t>费用组成明细表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详见附件：第一次磋商报价表</w:t>
      </w:r>
    </w:p>
    <w:p>
      <w:pPr>
        <w:pStyle w:val="null3"/>
        <w:ind w:firstLine="960"/>
      </w:pPr>
      <w:r>
        <w:rPr>
          <w:rFonts w:ascii="仿宋_GB2312" w:hAnsi="仿宋_GB2312" w:cs="仿宋_GB2312" w:eastAsia="仿宋_GB2312"/>
        </w:rPr>
        <w:t>详见附件：服务内容响应偏差表</w:t>
      </w:r>
    </w:p>
    <w:p>
      <w:pPr>
        <w:pStyle w:val="null3"/>
        <w:ind w:firstLine="960"/>
      </w:pPr>
      <w:r>
        <w:rPr>
          <w:rFonts w:ascii="仿宋_GB2312" w:hAnsi="仿宋_GB2312" w:cs="仿宋_GB2312" w:eastAsia="仿宋_GB2312"/>
        </w:rPr>
        <w:t>详见附件：费用组成明细表</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详见附件：提供政府采购政策等证明材料</w:t>
      </w:r>
    </w:p>
    <w:p>
      <w:pPr>
        <w:pStyle w:val="null3"/>
        <w:ind w:firstLine="960"/>
      </w:pPr>
      <w:r>
        <w:rPr>
          <w:rFonts w:ascii="仿宋_GB2312" w:hAnsi="仿宋_GB2312" w:cs="仿宋_GB2312" w:eastAsia="仿宋_GB2312"/>
        </w:rPr>
        <w:t>详见附件：商务条款响应偏差表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详见附件：近年业绩的有关证明材料</w:t>
      </w:r>
    </w:p>
    <w:p>
      <w:pPr>
        <w:pStyle w:val="null3"/>
        <w:ind w:firstLine="960"/>
      </w:pPr>
      <w:r>
        <w:rPr>
          <w:rFonts w:ascii="仿宋_GB2312" w:hAnsi="仿宋_GB2312" w:cs="仿宋_GB2312" w:eastAsia="仿宋_GB2312"/>
        </w:rPr>
        <w:t>详见附件：供应商企业关系关联承诺书</w:t>
      </w:r>
    </w:p>
    <w:p>
      <w:pPr>
        <w:pStyle w:val="null3"/>
        <w:ind w:firstLine="960"/>
      </w:pPr>
      <w:r>
        <w:rPr>
          <w:rFonts w:ascii="仿宋_GB2312" w:hAnsi="仿宋_GB2312" w:cs="仿宋_GB2312" w:eastAsia="仿宋_GB2312"/>
        </w:rPr>
        <w:t>详见附件：供应商廉洁自律承诺书</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详见附件：供应商认为有必要补充说明的事项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