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09D20">
      <w:pPr>
        <w:pStyle w:val="3"/>
        <w:shd w:val="clear"/>
        <w:bidi w:val="0"/>
        <w:spacing w:line="360" w:lineRule="auto"/>
        <w:rPr>
          <w:highlight w:val="none"/>
        </w:rPr>
      </w:pPr>
      <w:r>
        <w:rPr>
          <w:rFonts w:hint="eastAsia"/>
          <w:highlight w:val="none"/>
        </w:rPr>
        <w:t>第一次磋商报价表</w:t>
      </w:r>
    </w:p>
    <w:tbl>
      <w:tblPr>
        <w:tblStyle w:val="4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1A3DE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1D0DF8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2E4D02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42B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1D9BD3F5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068C4817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F6EE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7D9EE3C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4B314F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7221E0C4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4F6E1DD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3297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643E3FF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48566C17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BBD7E85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7B70A5E0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12421508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5A3D9178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5E589C6E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1408302D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591FD553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E794BAF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D5B82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3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2026-04-30T07:25:14Z</dcterms:created>
  <dc:creator>Administrator</dc:creator>
  <cp:lastModifiedBy>陕西笃信招标有限公司</cp:lastModifiedBy>
  <dcterms:modified xsi:type="dcterms:W3CDTF">2026-04-30T07:25:26Z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7B3EF72D514047B0BF281C2DF7572334_12</vt:lpwstr>
  </property>
</Properties>
</file>