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版本号：RH采字【20260809】号20260824001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环境生态与低碳、资源与化工、基础学科教学中心项目建筑节能、室内环境污染物等检测项目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RH采字【20260809】号</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环境生态与低碳、资源与化工、基础学科教学中心项目建筑节能、室内环境污染物等检测项目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RH采字【20260809】号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环境生态与低碳、资源与化工、基础学科教学中心项目建筑节能、室内环境污染物等检测项目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西安建筑科技大学环境生态与低碳、资源与化工、基础学科教学中心项目建筑节能、室内环境污染物等检测项目。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采购包1（环境生态与低碳、资源与化工、基础学科教学中心项目建筑节能、室内环境污染物等检测项目）：属于专门面向中小企业采购。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pPr>
      <w:r>
        <w:rPr>
          <w:rFonts w:ascii="仿宋_GB2312" w:hAnsi="仿宋_GB2312" w:cs="仿宋_GB2312" w:eastAsia="仿宋_GB2312"/>
        </w:rPr>
        <w:t>8、资质要求：供应商须具有省级及以上建设行政主管部门颁发的建设工程质量检测机构资质综合资质或建设工程质量检测机构资质专项资质（专项资质包含：建筑材料及构配件、主体结构及装饰装修、钢结构、建筑节能、建筑幕墙）及检验检测机构资质认定证书（CMA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石雨鑫、王倩倩、刘菲、张丰利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银行账号：3700024819200044620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代理服务费收费标准：参照国家计委颁布的《招标代理服务收费管理暂行办法》（计价格[2002]1980号）及发改办价格[2003]857号文件的规定标准的75%收取。户名：瑞恒项目管理有限公司 开户行：工行西安城南科技支行 账号：3700024819200044620。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西安建筑科技大学环境生态与低碳、资源与化工、基础学科教学中心项目建筑节能、室内环境污染物等检测项目。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环境生态与低碳、资源与化工、基础学科教学中心项目建筑节能、室内环境污染物等检测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标的名称：环境生态与低碳、资源与化工、基础学科教学中心项目建筑节能、室内环境污染物等检测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一、项目概述</w:t>
            </w:r>
          </w:p>
          <w:p>
            <w:pPr>
              <w:pStyle w:val="null3"/>
              <w:ind w:firstLine="420"/>
              <w:jc w:val="left"/>
            </w:pPr>
            <w:r>
              <w:rPr>
                <w:rFonts w:ascii="仿宋_GB2312" w:hAnsi="仿宋_GB2312" w:cs="仿宋_GB2312" w:eastAsia="仿宋_GB2312"/>
                <w:sz w:val="21"/>
                <w:color w:val="000000"/>
              </w:rPr>
              <w:t>西安建筑科技大学环境生态与低碳科研实验中心、资源与化工科研实验中心、基础学科教学实验中心项目均位于草堂校区内。</w:t>
            </w:r>
          </w:p>
          <w:p>
            <w:pPr>
              <w:pStyle w:val="null3"/>
              <w:ind w:firstLine="420"/>
              <w:jc w:val="left"/>
            </w:pPr>
            <w:r>
              <w:rPr>
                <w:rFonts w:ascii="仿宋_GB2312" w:hAnsi="仿宋_GB2312" w:cs="仿宋_GB2312" w:eastAsia="仿宋_GB2312"/>
                <w:sz w:val="21"/>
                <w:color w:val="000000"/>
              </w:rPr>
              <w:t>环境生态与低碳科研实验中心主要建设</w:t>
            </w:r>
            <w:r>
              <w:rPr>
                <w:rFonts w:ascii="仿宋_GB2312" w:hAnsi="仿宋_GB2312" w:cs="仿宋_GB2312" w:eastAsia="仿宋_GB2312"/>
                <w:sz w:val="21"/>
                <w:color w:val="000000"/>
              </w:rPr>
              <w:t>3栋科研实验楼，配套建设室外道路、综合管网、绿化、无障碍设施等，总建筑面积49001.33平方米，其中：1#楼建筑面积24107.1平方米，2#楼建筑面积3069.06平方米，3#楼建筑面积21825.17平方米。</w:t>
            </w:r>
          </w:p>
          <w:p>
            <w:pPr>
              <w:pStyle w:val="null3"/>
              <w:ind w:firstLine="420"/>
              <w:jc w:val="left"/>
            </w:pPr>
            <w:r>
              <w:rPr>
                <w:rFonts w:ascii="仿宋_GB2312" w:hAnsi="仿宋_GB2312" w:cs="仿宋_GB2312" w:eastAsia="仿宋_GB2312"/>
                <w:sz w:val="21"/>
                <w:color w:val="000000"/>
              </w:rPr>
              <w:t>资源与化工科研实验中心主要建设</w:t>
            </w:r>
            <w:r>
              <w:rPr>
                <w:rFonts w:ascii="仿宋_GB2312" w:hAnsi="仿宋_GB2312" w:cs="仿宋_GB2312" w:eastAsia="仿宋_GB2312"/>
                <w:sz w:val="21"/>
                <w:color w:val="000000"/>
              </w:rPr>
              <w:t>4#楼在内的教学实验用房、重点实验室，配套建设室外道路、铺装、综合管线、景观绿化等室外工程，总建筑面积41549.35平方米。</w:t>
            </w:r>
          </w:p>
          <w:p>
            <w:pPr>
              <w:pStyle w:val="null3"/>
              <w:ind w:firstLine="420"/>
              <w:jc w:val="left"/>
            </w:pPr>
            <w:r>
              <w:rPr>
                <w:rFonts w:ascii="仿宋_GB2312" w:hAnsi="仿宋_GB2312" w:cs="仿宋_GB2312" w:eastAsia="仿宋_GB2312"/>
                <w:sz w:val="21"/>
                <w:color w:val="000000"/>
              </w:rPr>
              <w:t>基础学科教学实验中心主要建设</w:t>
            </w:r>
            <w:r>
              <w:rPr>
                <w:rFonts w:ascii="仿宋_GB2312" w:hAnsi="仿宋_GB2312" w:cs="仿宋_GB2312" w:eastAsia="仿宋_GB2312"/>
                <w:sz w:val="21"/>
                <w:color w:val="000000"/>
              </w:rPr>
              <w:t>5#楼、6#楼（人防地下车库及其地上附属）两部分，配套建设室外道路、综合管线、绿化、无障碍设施等室外工程，总建筑面积37419.42平方米，其中：地上建筑面积30008.28平方米，地下建筑面积7411.14平方米。</w:t>
            </w:r>
          </w:p>
          <w:p>
            <w:pPr>
              <w:pStyle w:val="null3"/>
              <w:jc w:val="left"/>
            </w:pPr>
            <w:r>
              <w:rPr>
                <w:rFonts w:ascii="仿宋_GB2312" w:hAnsi="仿宋_GB2312" w:cs="仿宋_GB2312" w:eastAsia="仿宋_GB2312"/>
                <w:sz w:val="24"/>
                <w:b/>
                <w:color w:val="000000"/>
              </w:rPr>
              <w:t>二、服务内容和标准</w:t>
            </w:r>
          </w:p>
          <w:p>
            <w:pPr>
              <w:pStyle w:val="null3"/>
              <w:ind w:firstLine="422"/>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1）服务内容</w:t>
            </w:r>
          </w:p>
          <w:p>
            <w:pPr>
              <w:pStyle w:val="null3"/>
              <w:ind w:firstLine="420"/>
              <w:jc w:val="left"/>
            </w:pPr>
            <w:r>
              <w:rPr>
                <w:rFonts w:ascii="仿宋_GB2312" w:hAnsi="仿宋_GB2312" w:cs="仿宋_GB2312" w:eastAsia="仿宋_GB2312"/>
                <w:sz w:val="21"/>
                <w:color w:val="000000"/>
              </w:rPr>
              <w:t>为满足草堂校区环境生态与低碳科研实验中心、资源与化工科研实验中心、基础学科教学实验中心项目建筑节能检测、建筑幕墙检测、装饰装修及安装材料检测、建筑室内空气污染物检测等需要，拟委托第三方检测单位提供技术服务。具体检测项目如下：</w:t>
            </w:r>
          </w:p>
          <w:tbl>
            <w:tblPr>
              <w:tblBorders>
                <w:top w:val="none" w:color="000000" w:sz="4"/>
                <w:left w:val="none" w:color="000000" w:sz="4"/>
                <w:bottom w:val="none" w:color="000000" w:sz="4"/>
                <w:right w:val="none" w:color="000000" w:sz="4"/>
                <w:insideH w:val="none"/>
                <w:insideV w:val="none"/>
              </w:tblBorders>
            </w:tblPr>
            <w:tblGrid>
              <w:gridCol w:w="199"/>
              <w:gridCol w:w="432"/>
              <w:gridCol w:w="1144"/>
              <w:gridCol w:w="209"/>
              <w:gridCol w:w="223"/>
              <w:gridCol w:w="328"/>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材料名称</w:t>
                  </w:r>
                </w:p>
              </w:tc>
              <w:tc>
                <w:tcPr>
                  <w:tcW w:type="dxa" w:w="1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检测项目</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检验</w:t>
                  </w:r>
                </w:p>
                <w:p>
                  <w:pPr>
                    <w:pStyle w:val="null3"/>
                    <w:jc w:val="center"/>
                  </w:pPr>
                  <w:r>
                    <w:rPr>
                      <w:rFonts w:ascii="仿宋_GB2312" w:hAnsi="仿宋_GB2312" w:cs="仿宋_GB2312" w:eastAsia="仿宋_GB2312"/>
                      <w:sz w:val="21"/>
                      <w:b/>
                      <w:color w:val="000000"/>
                    </w:rPr>
                    <w:t>数量</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253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环境生态与低碳科研实验中心</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发泡混凝土</w:t>
                  </w:r>
                </w:p>
              </w:tc>
              <w:tc>
                <w:tcPr>
                  <w:tcW w:type="dxa" w:w="1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干密度、强度、吸水率、耐久性（抗渗试验）</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玻璃瓦</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透光、轻质、耐候、抗冲击</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XPS保温板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密度、导热系数、压缩强度、燃烧性能（</w:t>
                  </w:r>
                  <w:r>
                    <w:rPr>
                      <w:rFonts w:ascii="仿宋_GB2312" w:hAnsi="仿宋_GB2312" w:cs="仿宋_GB2312" w:eastAsia="仿宋_GB2312"/>
                      <w:sz w:val="21"/>
                      <w:color w:val="000000"/>
                    </w:rPr>
                    <w:t>B1）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密封胶</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密度、黏度、挤出性、表干时间、固化深度时间、耐高低温、低温柔性、紫外老化、耐酸碱、</w:t>
                  </w:r>
                  <w:r>
                    <w:rPr>
                      <w:rFonts w:ascii="仿宋_GB2312" w:hAnsi="仿宋_GB2312" w:cs="仿宋_GB2312" w:eastAsia="仿宋_GB2312"/>
                      <w:sz w:val="21"/>
                      <w:color w:val="000000"/>
                    </w:rPr>
                    <w:t>VOC 含量、甲醛释放量、污染性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结构胶</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邵氏硬度、标准条件拉伸粘结强度、相容性、剥离粘结性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力学性能、几何尺寸、铝塑复合板剥离强度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耐候胶</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邵氏硬度、结构胶标准条件下的拉伸粘结强度、相容性、剥离粘结性、石材用密封胶的污染性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幕墙用型材</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抗拉强度、抗剪强度、力学性能、几何尺寸</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现场检测</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锚固力现场拉拔试</w:t>
                  </w:r>
                  <w:r>
                    <w:rPr>
                      <w:rFonts w:ascii="仿宋_GB2312" w:hAnsi="仿宋_GB2312" w:cs="仿宋_GB2312" w:eastAsia="仿宋_GB2312"/>
                      <w:sz w:val="21"/>
                      <w:color w:val="000000"/>
                    </w:rPr>
                    <w:t>/锚栓拉拔力检验</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幕墙</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幕墙四性（气密性、水密性、抗风压性能、平面内变形、传热系数、玻璃的太阳得热系数、可见光透射比、中空玻璃密封性能）</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钢化玻璃</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表面应力、抗冲击、平整度、弯曲度</w:t>
                  </w:r>
                  <w:r>
                    <w:rPr>
                      <w:rFonts w:ascii="仿宋_GB2312" w:hAnsi="仿宋_GB2312" w:cs="仿宋_GB2312" w:eastAsia="仿宋_GB2312"/>
                      <w:sz w:val="21"/>
                      <w:color w:val="000000"/>
                    </w:rPr>
                    <w:t>、</w:t>
                  </w:r>
                  <w:r>
                    <w:rPr>
                      <w:rFonts w:ascii="仿宋_GB2312" w:hAnsi="仿宋_GB2312" w:cs="仿宋_GB2312" w:eastAsia="仿宋_GB2312"/>
                      <w:sz w:val="21"/>
                      <w:color w:val="000000"/>
                    </w:rPr>
                    <w:t>辐射率、透光率、遮阳系数、传热系数</w:t>
                  </w:r>
                  <w:r>
                    <w:rPr>
                      <w:rFonts w:ascii="仿宋_GB2312" w:hAnsi="仿宋_GB2312" w:cs="仿宋_GB2312" w:eastAsia="仿宋_GB2312"/>
                      <w:sz w:val="21"/>
                      <w:color w:val="000000"/>
                    </w:rPr>
                    <w:t>K 值、可见光透射比、中空露点</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防火涂料</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耐火极限</w:t>
                  </w:r>
                  <w:r>
                    <w:rPr>
                      <w:rFonts w:ascii="仿宋_GB2312" w:hAnsi="仿宋_GB2312" w:cs="仿宋_GB2312" w:eastAsia="仿宋_GB2312"/>
                      <w:sz w:val="21"/>
                      <w:color w:val="000000"/>
                    </w:rPr>
                    <w:t>3h、隔热性能、外观与容器状态、干燥时间、干膜厚度、粘结强度、干密度、抗压强度、等效热传导系数或等效热阻、与地面和面层的相容性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防腐涂料</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附着力、耐盐雾、耐酸碱、干膜厚度、施工性能、不挥发物含量</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防腐涂层、防火涂料厚度</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涂层厚度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钢结构焊缝无损检测（一级焊缝，二级焊缝）</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超声波探伤</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高强度螺栓连接副（大六角</w:t>
                  </w:r>
                  <w:r>
                    <w:rPr>
                      <w:rFonts w:ascii="仿宋_GB2312" w:hAnsi="仿宋_GB2312" w:cs="仿宋_GB2312" w:eastAsia="仿宋_GB2312"/>
                      <w:sz w:val="21"/>
                      <w:color w:val="000000"/>
                    </w:rPr>
                    <w:t>/ 扭剪型）</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扭矩系数、预拉力</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抗滑系数</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焊接材料（焊条、焊丝、焊剂）</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拉伸、冲击、强度、熔敷金属力学性能、化学分析</w:t>
                  </w:r>
                  <w:r>
                    <w:rPr>
                      <w:rFonts w:ascii="仿宋_GB2312" w:hAnsi="仿宋_GB2312" w:cs="仿宋_GB2312" w:eastAsia="仿宋_GB2312"/>
                      <w:sz w:val="21"/>
                      <w:color w:val="000000"/>
                    </w:rPr>
                    <w:t>5元素</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幕墙钢材</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力学性能（屈服强度、抗拉强度、断后伸长率</w:t>
                  </w:r>
                  <w:r>
                    <w:rPr>
                      <w:rFonts w:ascii="仿宋_GB2312" w:hAnsi="仿宋_GB2312" w:cs="仿宋_GB2312" w:eastAsia="仿宋_GB2312"/>
                      <w:sz w:val="21"/>
                      <w:color w:val="000000"/>
                    </w:rPr>
                    <w:t>)壁厚、材质合格性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普通螺栓、高强螺栓</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屈服强度、抗拉强度、断后伸长率、普通螺栓最小荷载</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装饰保温一体板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密度、导热系数、压缩强度、垂直于表面的抗拉强度、吸水率、燃烧性能（</w:t>
                  </w:r>
                  <w:r>
                    <w:rPr>
                      <w:rFonts w:ascii="仿宋_GB2312" w:hAnsi="仿宋_GB2312" w:cs="仿宋_GB2312" w:eastAsia="仿宋_GB2312"/>
                      <w:sz w:val="21"/>
                      <w:color w:val="000000"/>
                    </w:rPr>
                    <w:t>A1）、保温系统现场试验（保温板拉拔、保温板钻芯、保温钉拉拔）</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岩棉板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密度、导热系数、压缩强度、垂直于表面的抗拉强度、吸水率、燃烧性能（</w:t>
                  </w:r>
                  <w:r>
                    <w:rPr>
                      <w:rFonts w:ascii="仿宋_GB2312" w:hAnsi="仿宋_GB2312" w:cs="仿宋_GB2312" w:eastAsia="仿宋_GB2312"/>
                      <w:sz w:val="21"/>
                      <w:color w:val="000000"/>
                    </w:rPr>
                    <w:t>A1）、保温系统现场试验</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膨胀玻化微珠保温砂浆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常规、燃烧（</w:t>
                  </w:r>
                  <w:r>
                    <w:rPr>
                      <w:rFonts w:ascii="仿宋_GB2312" w:hAnsi="仿宋_GB2312" w:cs="仿宋_GB2312" w:eastAsia="仿宋_GB2312"/>
                      <w:sz w:val="21"/>
                      <w:color w:val="000000"/>
                    </w:rPr>
                    <w:t>A1）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无机纤维喷涂</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密度、导热系数、抗拉强度、燃烧性能、保温系统现场试验（无机纤维喷涂钻芯）</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网格布</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拉伸断裂强力和断裂伸长率</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粘结砂浆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拉伸粘结强度、压折比</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抹面</w:t>
                  </w:r>
                  <w:r>
                    <w:rPr>
                      <w:rFonts w:ascii="仿宋_GB2312" w:hAnsi="仿宋_GB2312" w:cs="仿宋_GB2312" w:eastAsia="仿宋_GB2312"/>
                      <w:sz w:val="21"/>
                      <w:color w:val="000000"/>
                    </w:rPr>
                    <w:t>/抗裂砂浆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拉伸粘结强度、压折比</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锚固件（保温钉）</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单个锚栓抗拉承载力</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现场检测</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外墙节能构造钻芯</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现场检测</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保温板拉拔</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断桥铝合金</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抗拉强度、伸长率</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传热系数</w:t>
                  </w:r>
                  <w:r>
                    <w:rPr>
                      <w:rFonts w:ascii="仿宋_GB2312" w:hAnsi="仿宋_GB2312" w:cs="仿宋_GB2312" w:eastAsia="仿宋_GB2312"/>
                      <w:sz w:val="21"/>
                      <w:color w:val="000000"/>
                    </w:rPr>
                    <w:t>K 值、可见光透射比、中空露点</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窗户</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窗户五性（气密性、水密性、抗风压、传热系数、中空露点）</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蒸压加气块混凝土块</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干密度、抗压强度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龙骨</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抗拉、屈服、伸长、静载试验</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力学性能、几何尺寸、剥离强度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石膏板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断裂荷载</w:t>
                  </w:r>
                  <w:r>
                    <w:rPr>
                      <w:rFonts w:ascii="仿宋_GB2312" w:hAnsi="仿宋_GB2312" w:cs="仿宋_GB2312" w:eastAsia="仿宋_GB2312"/>
                      <w:sz w:val="21"/>
                      <w:color w:val="000000"/>
                    </w:rPr>
                    <w:t>、燃烧性能（</w:t>
                  </w:r>
                  <w:r>
                    <w:rPr>
                      <w:rFonts w:ascii="仿宋_GB2312" w:hAnsi="仿宋_GB2312" w:cs="仿宋_GB2312" w:eastAsia="仿宋_GB2312"/>
                      <w:sz w:val="21"/>
                      <w:color w:val="000000"/>
                    </w:rPr>
                    <w:t>A1）、面密度、含水率</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阻燃板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燃烧等级（</w:t>
                  </w:r>
                  <w:r>
                    <w:rPr>
                      <w:rFonts w:ascii="仿宋_GB2312" w:hAnsi="仿宋_GB2312" w:cs="仿宋_GB2312" w:eastAsia="仿宋_GB2312"/>
                      <w:sz w:val="21"/>
                      <w:color w:val="000000"/>
                    </w:rPr>
                    <w:t>B1）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石材</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体积密度、吸水率、压缩强度、弯曲强度、放射性、抗冻性（冻融后压缩强度）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陶板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尺寸、外观、吸水率、弯曲强度、放射性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陶砖</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尺寸、外观、吸水率、弯曲强度、放射性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瓷砖</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吸水率、断裂模数、破坏强度、抗热震性、放射性、抗冻性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聚氯乙烯（</w:t>
                  </w:r>
                  <w:r>
                    <w:rPr>
                      <w:rFonts w:ascii="仿宋_GB2312" w:hAnsi="仿宋_GB2312" w:cs="仿宋_GB2312" w:eastAsia="仿宋_GB2312"/>
                      <w:sz w:val="21"/>
                      <w:color w:val="000000"/>
                    </w:rPr>
                    <w:t>PVC）卷材/块材</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外观与尺寸</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物理性能</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环保性能</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燃烧性能</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外墙饰面砖</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水泥基粘结料与所用外墙饰面砖的拉伸粘结强度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乳胶漆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容器中状态、表干时间、施工性、耐水性、耐洗刷性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真石漆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容器中状态、表干时间、施工性、耐水性、耐洗刷性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界面剂</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拉伸粘结强度、</w:t>
                  </w:r>
                  <w:r>
                    <w:rPr>
                      <w:rFonts w:ascii="仿宋_GB2312" w:hAnsi="仿宋_GB2312" w:cs="仿宋_GB2312" w:eastAsia="仿宋_GB2312"/>
                      <w:sz w:val="21"/>
                      <w:color w:val="000000"/>
                    </w:rPr>
                    <w:t>浸水后粘结强度保留率</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防水剂</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抗压强度比、抗渗压力比、外观、固含量</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防水砂浆</w:t>
                  </w:r>
                  <w:r>
                    <w:rPr>
                      <w:rFonts w:ascii="仿宋_GB2312" w:hAnsi="仿宋_GB2312" w:cs="仿宋_GB2312" w:eastAsia="仿宋_GB2312"/>
                      <w:sz w:val="21"/>
                      <w:color w:val="000000"/>
                    </w:rPr>
                    <w:t>/预拌砂浆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保水率、稠度损失率、抗压强度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轻集料混凝土配合比设计</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轻集料混凝土配合比验证</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轻集料混凝土</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抗压强度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腻子</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容器中状态、表干时间、施工性、粘结强度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ALC板材专用粘接剂</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保水率、凝结时间、抗折强度、抗压强度、拉伸粘结强度</w:t>
                  </w:r>
                  <w:r>
                    <w:rPr>
                      <w:rFonts w:ascii="仿宋_GB2312" w:hAnsi="仿宋_GB2312" w:cs="仿宋_GB2312" w:eastAsia="仿宋_GB2312"/>
                      <w:sz w:val="21"/>
                      <w:color w:val="000000"/>
                    </w:rPr>
                    <w:t>(与蒸压加气混凝土粘结)</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ALC板材</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抗压强度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灌浆料</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强度、流动度、泌水率、竖向膨胀率、凝结时间</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灌浆料试块</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抗折抗压强度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散热器</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单位散热量、金属热强度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离心玻璃棉</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导热系数、密度、燃烧性能、吸水率</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排风管道（硅酸盐纤维防火柔性卷材）</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耐火极限（</w:t>
                  </w:r>
                  <w:r>
                    <w:rPr>
                      <w:rFonts w:ascii="仿宋_GB2312" w:hAnsi="仿宋_GB2312" w:cs="仿宋_GB2312" w:eastAsia="仿宋_GB2312"/>
                      <w:sz w:val="21"/>
                      <w:color w:val="000000"/>
                    </w:rPr>
                    <w:t>2h）</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排风管道（</w:t>
                  </w:r>
                  <w:r>
                    <w:rPr>
                      <w:rFonts w:ascii="仿宋_GB2312" w:hAnsi="仿宋_GB2312" w:cs="仿宋_GB2312" w:eastAsia="仿宋_GB2312"/>
                      <w:sz w:val="21"/>
                      <w:color w:val="000000"/>
                    </w:rPr>
                    <w:t>pp阻燃风管）</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燃烧性能（</w:t>
                  </w:r>
                  <w:r>
                    <w:rPr>
                      <w:rFonts w:ascii="仿宋_GB2312" w:hAnsi="仿宋_GB2312" w:cs="仿宋_GB2312" w:eastAsia="仿宋_GB2312"/>
                      <w:sz w:val="21"/>
                      <w:color w:val="000000"/>
                    </w:rPr>
                    <w:t>B1级）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绝缘层厚度、线径、导体电阻</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绝缘层厚度、线径、导体电阻</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涂料、漆、瓷砖</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游离甲醛、挥发性有机物</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人造板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甲醛释放量</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室内环境污染物检测</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甲醛、苯、甲苯、二甲苯、氨、氡、</w:t>
                  </w:r>
                </w:p>
                <w:p>
                  <w:pPr>
                    <w:pStyle w:val="null3"/>
                    <w:jc w:val="left"/>
                  </w:pPr>
                  <w:r>
                    <w:rPr>
                      <w:rFonts w:ascii="仿宋_GB2312" w:hAnsi="仿宋_GB2312" w:cs="仿宋_GB2312" w:eastAsia="仿宋_GB2312"/>
                      <w:sz w:val="21"/>
                      <w:color w:val="000000"/>
                    </w:rPr>
                    <w:t>TVOC 浓度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49001.33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按规范要求设置检测点位</w:t>
                  </w:r>
                </w:p>
              </w:tc>
            </w:tr>
            <w:tr>
              <w:tc>
                <w:tcPr>
                  <w:tcW w:type="dxa" w:w="253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资源与化工科研实验中心</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水泥基防水涂料</w:t>
                  </w:r>
                </w:p>
              </w:tc>
              <w:tc>
                <w:tcPr>
                  <w:tcW w:type="dxa" w:w="1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抗渗压力、二次抗渗压力、粘结强度、减水率</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无机涂料</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物理性能、环保性能</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有机质、</w:t>
                  </w:r>
                  <w:r>
                    <w:rPr>
                      <w:rFonts w:ascii="仿宋_GB2312" w:hAnsi="仿宋_GB2312" w:cs="仿宋_GB2312" w:eastAsia="仿宋_GB2312"/>
                      <w:sz w:val="21"/>
                      <w:color w:val="000000"/>
                    </w:rPr>
                    <w:t>PH、杂质检测</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界面剂</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拉伸粘结强度、</w:t>
                  </w:r>
                  <w:r>
                    <w:rPr>
                      <w:rFonts w:ascii="仿宋_GB2312" w:hAnsi="仿宋_GB2312" w:cs="仿宋_GB2312" w:eastAsia="仿宋_GB2312"/>
                      <w:sz w:val="21"/>
                      <w:color w:val="000000"/>
                    </w:rPr>
                    <w:t>浸水后粘结强度保留率、</w:t>
                  </w:r>
                  <w:r>
                    <w:rPr>
                      <w:rFonts w:ascii="仿宋_GB2312" w:hAnsi="仿宋_GB2312" w:cs="仿宋_GB2312" w:eastAsia="仿宋_GB2312"/>
                      <w:sz w:val="21"/>
                      <w:color w:val="000000"/>
                    </w:rPr>
                    <w:t>吸水率降低率、</w:t>
                  </w:r>
                  <w:r>
                    <w:rPr>
                      <w:rFonts w:ascii="仿宋_GB2312" w:hAnsi="仿宋_GB2312" w:cs="仿宋_GB2312" w:eastAsia="仿宋_GB2312"/>
                      <w:sz w:val="21"/>
                      <w:color w:val="000000"/>
                    </w:rPr>
                    <w:t>表干时间、</w:t>
                  </w:r>
                  <w:r>
                    <w:rPr>
                      <w:rFonts w:ascii="仿宋_GB2312" w:hAnsi="仿宋_GB2312" w:cs="仿宋_GB2312" w:eastAsia="仿宋_GB2312"/>
                      <w:sz w:val="21"/>
                      <w:color w:val="000000"/>
                    </w:rPr>
                    <w:t>VOC、 游离甲醛</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灌浆料</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强度、流动度、泌水率、竖向膨胀率、凝结时间</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ALC板材专用粘接剂</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保水率、凝结时间、抗折强度、抗压强度、拉伸粘结强度</w:t>
                  </w:r>
                  <w:r>
                    <w:rPr>
                      <w:rFonts w:ascii="仿宋_GB2312" w:hAnsi="仿宋_GB2312" w:cs="仿宋_GB2312" w:eastAsia="仿宋_GB2312"/>
                      <w:sz w:val="21"/>
                      <w:color w:val="000000"/>
                    </w:rPr>
                    <w:t>(与蒸压加气混凝土粘结)</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ALC板材</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抗压强度、抗弯破坏荷载、抗冲击性能、吊挂力</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ALC板材固定件</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拉拔试验</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蒸压加气块混凝土块</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干密度、抗压强度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防水剂</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抗压强度比、抗渗压力比、外观、固含量</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透水砖</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抗压、抗冻、防滑</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预拌砂浆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保水率、抗压强度、拉伸粘结强度、抗渗等级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防水砂浆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抗压强度、稠度（</w:t>
                  </w:r>
                  <w:r>
                    <w:rPr>
                      <w:rFonts w:ascii="仿宋_GB2312" w:hAnsi="仿宋_GB2312" w:cs="仿宋_GB2312" w:eastAsia="仿宋_GB2312"/>
                      <w:sz w:val="21"/>
                      <w:color w:val="000000"/>
                    </w:rPr>
                    <w:t>2h稠度损失率）、配合比设计</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石材</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强度、吸水率、厚度、放射性、冻融</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断桥铝合金</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壁厚、隔热条材质、气密</w:t>
                  </w:r>
                  <w:r>
                    <w:rPr>
                      <w:rFonts w:ascii="仿宋_GB2312" w:hAnsi="仿宋_GB2312" w:cs="仿宋_GB2312" w:eastAsia="仿宋_GB2312"/>
                      <w:sz w:val="21"/>
                      <w:color w:val="000000"/>
                    </w:rPr>
                    <w:t>、水密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抗风压（门窗）</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防滑地砖</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外观、吸水率、抗裂、放射性、防滑性能、耐磨性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龙骨</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力学、镀层厚度、附着力、抗拉、屈服、伸长、</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石膏板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断裂荷载</w:t>
                  </w:r>
                  <w:r>
                    <w:rPr>
                      <w:rFonts w:ascii="仿宋_GB2312" w:hAnsi="仿宋_GB2312" w:cs="仿宋_GB2312" w:eastAsia="仿宋_GB2312"/>
                      <w:sz w:val="21"/>
                      <w:color w:val="000000"/>
                    </w:rPr>
                    <w:t>、燃烧性、能面密度、含水率</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轻集料混凝土配合比设计</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轻集料混凝土配合比验证</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轻集料混凝土</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干密度、强度、吸水率、耐久性、抗压强度、放射性内照射</w:t>
                  </w:r>
                  <w:r>
                    <w:rPr>
                      <w:rFonts w:ascii="仿宋_GB2312" w:hAnsi="仿宋_GB2312" w:cs="仿宋_GB2312" w:eastAsia="仿宋_GB2312"/>
                      <w:sz w:val="21"/>
                      <w:color w:val="000000"/>
                    </w:rPr>
                    <w:t>/ 外照射指数（节能、消防强制检测）</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泡沫混凝土配合比设计</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干密度、强度、吸水率、耐久性（抗冻</w:t>
                  </w:r>
                  <w:r>
                    <w:rPr>
                      <w:rFonts w:ascii="仿宋_GB2312" w:hAnsi="仿宋_GB2312" w:cs="仿宋_GB2312" w:eastAsia="仿宋_GB2312"/>
                      <w:sz w:val="21"/>
                      <w:color w:val="000000"/>
                    </w:rPr>
                    <w:t>)</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中空玻璃</w:t>
                  </w:r>
                  <w:r>
                    <w:rPr>
                      <w:rFonts w:ascii="仿宋_GB2312" w:hAnsi="仿宋_GB2312" w:cs="仿宋_GB2312" w:eastAsia="仿宋_GB2312"/>
                      <w:sz w:val="21"/>
                      <w:color w:val="000000"/>
                    </w:rPr>
                    <w:t>/钢化玻璃</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表面应力、抗冲击、平整度、弯曲度</w:t>
                  </w:r>
                  <w:r>
                    <w:rPr>
                      <w:rFonts w:ascii="仿宋_GB2312" w:hAnsi="仿宋_GB2312" w:cs="仿宋_GB2312" w:eastAsia="仿宋_GB2312"/>
                      <w:sz w:val="21"/>
                      <w:color w:val="000000"/>
                    </w:rPr>
                    <w:t>、</w:t>
                  </w:r>
                  <w:r>
                    <w:rPr>
                      <w:rFonts w:ascii="仿宋_GB2312" w:hAnsi="仿宋_GB2312" w:cs="仿宋_GB2312" w:eastAsia="仿宋_GB2312"/>
                      <w:sz w:val="21"/>
                      <w:color w:val="000000"/>
                    </w:rPr>
                    <w:t>辐射率、透光率、遮阳系数、传热系数</w:t>
                  </w:r>
                  <w:r>
                    <w:rPr>
                      <w:rFonts w:ascii="仿宋_GB2312" w:hAnsi="仿宋_GB2312" w:cs="仿宋_GB2312" w:eastAsia="仿宋_GB2312"/>
                      <w:sz w:val="21"/>
                      <w:color w:val="000000"/>
                    </w:rPr>
                    <w:t>K 值、可见光透射比、中空露点</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琉璃瓦</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透光、轻质、耐候、抗冲击</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pH值、不溶物、可溶物、氯化物、硫酸盐、碱含量</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外墙节能</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钻芯取样（实测厚度）、保温系统粘结强度现场拉拔复检</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腻子</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表干时间、初期干燥抗裂性、耐水性、粘结强度、容器中状态、施工性、低温贮存稳定性、打磨性、柔韧性、耐碱性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乳胶漆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物理性能、环保性能</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真石漆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物理性能、环保性能</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瓷砖</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吸水率、弯曲强度、粘结强度、放射性、抗冻性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力学性能、几何尺寸</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幕墙型材</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力学性能、几何尺寸</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后置埋件拉拔</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锚固承载力</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窗户</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气密性能、水密性能、抗风压性能、传热系数、玻璃的太阳得热系数、可见光透射比、中空玻璃密封性能</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幕墙</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气密性能、水密性能、抗风压性能、传热系数、玻璃的太阳得热系数、可见光透射比、中空玻璃密封性能</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岩棉板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热系数或热阻、密度、压缩强度或抗压强度、垂直于板面方向的抗拉强度、吸水率、传热系数及热阻、单位面积质量、拉伸粘结强度、燃烧性能（</w:t>
                  </w:r>
                  <w:r>
                    <w:rPr>
                      <w:rFonts w:ascii="仿宋_GB2312" w:hAnsi="仿宋_GB2312" w:cs="仿宋_GB2312" w:eastAsia="仿宋_GB2312"/>
                      <w:sz w:val="21"/>
                      <w:color w:val="000000"/>
                    </w:rPr>
                    <w:t>A1）、现场钻芯、拉拔、酸度系数</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装饰保温一体板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密度、导热系数、压缩强度、垂直于表面的抗拉强度、憎水率、燃烧性能（</w:t>
                  </w:r>
                  <w:r>
                    <w:rPr>
                      <w:rFonts w:ascii="仿宋_GB2312" w:hAnsi="仿宋_GB2312" w:cs="仿宋_GB2312" w:eastAsia="仿宋_GB2312"/>
                      <w:sz w:val="21"/>
                      <w:color w:val="000000"/>
                    </w:rPr>
                    <w:t>A1）、保温系统现场试验（保温板拉拔、保温板钻芯、保温钉拉拔）</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挤塑板</w:t>
                  </w:r>
                  <w:r>
                    <w:rPr>
                      <w:rFonts w:ascii="仿宋_GB2312" w:hAnsi="仿宋_GB2312" w:cs="仿宋_GB2312" w:eastAsia="仿宋_GB2312"/>
                      <w:sz w:val="21"/>
                      <w:color w:val="000000"/>
                    </w:rPr>
                    <w:t>/XPS保温板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热系数或热阻、密度、压缩强度或抗压强度、吸水率、传热系数及热阻、单位面积质量、燃烧性能（</w:t>
                  </w:r>
                  <w:r>
                    <w:rPr>
                      <w:rFonts w:ascii="仿宋_GB2312" w:hAnsi="仿宋_GB2312" w:cs="仿宋_GB2312" w:eastAsia="仿宋_GB2312"/>
                      <w:sz w:val="21"/>
                      <w:color w:val="000000"/>
                    </w:rPr>
                    <w:t>B1）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无机纤维喷涂</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密度、导热系数、抗拉强度、粘接强度、回弹率、防火性能（</w:t>
                  </w:r>
                  <w:r>
                    <w:rPr>
                      <w:rFonts w:ascii="仿宋_GB2312" w:hAnsi="仿宋_GB2312" w:cs="仿宋_GB2312" w:eastAsia="仿宋_GB2312"/>
                      <w:sz w:val="21"/>
                      <w:color w:val="000000"/>
                    </w:rPr>
                    <w:t>A1）、现场钻芯</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保温砂浆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抗压强度、干密度、导热系数、现场钻芯</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抗裂砂浆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拉伸粘结强度、压折比（或柔韧性）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粘结砂浆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拉伸粘接强度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网格布</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力学性能、抗腐蚀性能（耐碱拉伸断裂强力、耐碱拉伸断裂强力保留率）</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雨污水管</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环刚度（埋地用</w:t>
                  </w:r>
                  <w:r>
                    <w:rPr>
                      <w:rFonts w:ascii="仿宋_GB2312" w:hAnsi="仿宋_GB2312" w:cs="仿宋_GB2312" w:eastAsia="仿宋_GB2312"/>
                      <w:sz w:val="21"/>
                      <w:color w:val="000000"/>
                    </w:rPr>
                    <w:t>PE双壁波纹管）</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井盖</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承载能力、残余变形、抗冲击</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给排水管材管件</w:t>
                  </w:r>
                  <w:r>
                    <w:rPr>
                      <w:rFonts w:ascii="仿宋_GB2312" w:hAnsi="仿宋_GB2312" w:cs="仿宋_GB2312" w:eastAsia="仿宋_GB2312"/>
                      <w:sz w:val="21"/>
                      <w:color w:val="000000"/>
                    </w:rPr>
                    <w:t>/阀门</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壁厚、压力等级、卫生性能、环刚度</w:t>
                  </w:r>
                  <w:r>
                    <w:rPr>
                      <w:rFonts w:ascii="仿宋_GB2312" w:hAnsi="仿宋_GB2312" w:cs="仿宋_GB2312" w:eastAsia="仿宋_GB2312"/>
                      <w:sz w:val="21"/>
                      <w:color w:val="000000"/>
                    </w:rPr>
                    <w:t>/强度、严密性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导体电阻值、线径、绝缘层、导体电阻、阻燃等级（成束阻燃性能）</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导体电阻值、线径、绝缘层、导体电阻、阻燃等级（成束阻燃性能）</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暖气片</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单位散热量、金属热强度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膨胀玻化微珠保温砂浆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常规、燃烧（</w:t>
                  </w:r>
                  <w:r>
                    <w:rPr>
                      <w:rFonts w:ascii="仿宋_GB2312" w:hAnsi="仿宋_GB2312" w:cs="仿宋_GB2312" w:eastAsia="仿宋_GB2312"/>
                      <w:sz w:val="21"/>
                      <w:color w:val="000000"/>
                    </w:rPr>
                    <w:t>A1）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风机盘管</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供冷量、供热量、风量、水阻力、噪声及输入功率</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排风管道（镀锌钢板）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耐火极限（</w:t>
                  </w:r>
                  <w:r>
                    <w:rPr>
                      <w:rFonts w:ascii="仿宋_GB2312" w:hAnsi="仿宋_GB2312" w:cs="仿宋_GB2312" w:eastAsia="仿宋_GB2312"/>
                      <w:sz w:val="21"/>
                      <w:color w:val="000000"/>
                    </w:rPr>
                    <w:t>0.5、1h）</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排风管道（硅酸盐纤维防火柔性卷材）</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耐火极限（</w:t>
                  </w:r>
                  <w:r>
                    <w:rPr>
                      <w:rFonts w:ascii="仿宋_GB2312" w:hAnsi="仿宋_GB2312" w:cs="仿宋_GB2312" w:eastAsia="仿宋_GB2312"/>
                      <w:sz w:val="21"/>
                      <w:color w:val="000000"/>
                    </w:rPr>
                    <w:t>2h）</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排风管道（</w:t>
                  </w:r>
                  <w:r>
                    <w:rPr>
                      <w:rFonts w:ascii="仿宋_GB2312" w:hAnsi="仿宋_GB2312" w:cs="仿宋_GB2312" w:eastAsia="仿宋_GB2312"/>
                      <w:sz w:val="21"/>
                      <w:color w:val="000000"/>
                    </w:rPr>
                    <w:t>pp阻燃风管）</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燃烧性能（</w:t>
                  </w:r>
                  <w:r>
                    <w:rPr>
                      <w:rFonts w:ascii="仿宋_GB2312" w:hAnsi="仿宋_GB2312" w:cs="仿宋_GB2312" w:eastAsia="仿宋_GB2312"/>
                      <w:sz w:val="21"/>
                      <w:color w:val="000000"/>
                    </w:rPr>
                    <w:t>B1级）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热力入口的热计量装置</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热量表本体计量性能检测（流量传感器计量性能、重复性、压力损失）</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密封胶</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密度、黏度、挤出性、表干时间、固化深度时间、耐高低温、低温柔性、紫外老化、耐酸碱、</w:t>
                  </w:r>
                  <w:r>
                    <w:rPr>
                      <w:rFonts w:ascii="仿宋_GB2312" w:hAnsi="仿宋_GB2312" w:cs="仿宋_GB2312" w:eastAsia="仿宋_GB2312"/>
                      <w:sz w:val="21"/>
                      <w:color w:val="000000"/>
                    </w:rPr>
                    <w:t>VOC 含量、甲醛释放量</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耐候胶</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邵氏硬度、结构胶标准条件下的拉伸粘结强度、相容性、剥离粘结性、石材用密封胶的污染性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结构胶</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邵氏硬度、结构胶标准条件下的拉伸粘结强度、相容性、剥离粘结性、石材用密封胶的污染性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防火胶</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邵氏硬度、结构胶标准条件下的拉伸粘结强度、相容性、剥离粘结性、石材用密封胶的污染性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防静电地板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物理性能、环保性能、燃烧性能</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40*4铜质接地线(T2紫铜扁钢)</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导电性能、力学性能、抗拉强度（软态）、延伸率、硬度、接地工程专项</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型钢、钢板、角钢、镀锌钢板、镀锌带钢、热轧钢卷、等</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力学性能（屈服强度、抗拉强度、断后伸长率）、壁厚、材质合格性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焊接材料（焊条、焊丝、焊剂）</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拉伸、冲击、强度、熔敷金属力学性能、化学分析</w:t>
                  </w:r>
                  <w:r>
                    <w:rPr>
                      <w:rFonts w:ascii="仿宋_GB2312" w:hAnsi="仿宋_GB2312" w:cs="仿宋_GB2312" w:eastAsia="仿宋_GB2312"/>
                      <w:sz w:val="21"/>
                      <w:color w:val="000000"/>
                    </w:rPr>
                    <w:t>5元素</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涂料、漆、瓷砖</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游离甲醛、挥发性有机物</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人造板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甲醛释放量</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室内环境污染物检测</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甲醛、苯、甲苯、二甲苯、氨、氡、</w:t>
                  </w:r>
                </w:p>
                <w:p>
                  <w:pPr>
                    <w:pStyle w:val="null3"/>
                    <w:jc w:val="left"/>
                  </w:pPr>
                  <w:r>
                    <w:rPr>
                      <w:rFonts w:ascii="仿宋_GB2312" w:hAnsi="仿宋_GB2312" w:cs="仿宋_GB2312" w:eastAsia="仿宋_GB2312"/>
                      <w:sz w:val="21"/>
                      <w:color w:val="000000"/>
                    </w:rPr>
                    <w:t>TVOC 浓度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41549.35</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按规范要求设置检测点位</w:t>
                  </w:r>
                </w:p>
              </w:tc>
            </w:tr>
            <w:tr>
              <w:tc>
                <w:tcPr>
                  <w:tcW w:type="dxa" w:w="253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基础学科教学实验中心</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XPS保温板</w:t>
                  </w:r>
                </w:p>
              </w:tc>
              <w:tc>
                <w:tcPr>
                  <w:tcW w:type="dxa" w:w="1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密度、导热系数、压缩强度、燃烧性能</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发泡混凝土</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立方体抗压强度、导热系数</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装饰保温一体板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密度、导热系数、压缩强度、垂直于表面的抗拉强度、憎水率、燃烧性能、保温系统现场试验（保温板拉拔、保温板钻芯、保温钉拉拔）</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岩棉板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密度、导热系数、压缩强度、垂直于表面的抗拉强度、憎水率、燃烧性能、保温系统现场试验</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膨胀玻化微珠保温砂浆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常规、燃烧（</w:t>
                  </w:r>
                  <w:r>
                    <w:rPr>
                      <w:rFonts w:ascii="仿宋_GB2312" w:hAnsi="仿宋_GB2312" w:cs="仿宋_GB2312" w:eastAsia="仿宋_GB2312"/>
                      <w:sz w:val="21"/>
                      <w:color w:val="000000"/>
                    </w:rPr>
                    <w:t>A1）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无机纤维喷涂</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密度、导热系数、抗拉强度、燃烧性能、保温系统现场试验（无机纤维喷涂钻芯）</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网格布</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拉伸断裂强力和断裂伸长率</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粘结砂浆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拉伸粘结强度、压折比</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抹面</w:t>
                  </w:r>
                  <w:r>
                    <w:rPr>
                      <w:rFonts w:ascii="仿宋_GB2312" w:hAnsi="仿宋_GB2312" w:cs="仿宋_GB2312" w:eastAsia="仿宋_GB2312"/>
                      <w:sz w:val="21"/>
                      <w:color w:val="000000"/>
                    </w:rPr>
                    <w:t>/抗裂砂浆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拉伸粘结强度、压折比</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锚固件（保温钉）</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单个锚栓抗拉承载力</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现场检测</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外墙节能构造钻芯</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现场检测</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保温板拉拔</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硅酮密封胶</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邵氏硬度、结构胶标准条件下的拉伸粘结强度、相容性、剥离粘结性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幕墙用型材</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抗拉强度、抗剪强度、力学性能、几何尺寸</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现场检测</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锚固力现场拉拔试</w:t>
                  </w:r>
                  <w:r>
                    <w:rPr>
                      <w:rFonts w:ascii="仿宋_GB2312" w:hAnsi="仿宋_GB2312" w:cs="仿宋_GB2312" w:eastAsia="仿宋_GB2312"/>
                      <w:sz w:val="21"/>
                      <w:color w:val="000000"/>
                    </w:rPr>
                    <w:t>/锚栓拉拔力检验</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幕墙</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幕墙四性（气密性、水密性、抗风压性能、平面内变形）</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断桥铝合金</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抗拉强度、伸长率</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传热系数</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可见光透射比</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中空露点</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窗户</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窗户五性（气密性、水密性、抗风压、传热系数、中空露点）</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力学性能、几何尺寸</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龙骨</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静载试验</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石膏板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面密度、断裂荷载</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32"/>
                  <w:vMerge/>
                  <w:tcBorders>
                    <w:top w:val="none" w:color="000000" w:sz="4"/>
                    <w:left w:val="single" w:color="000000" w:sz="4"/>
                    <w:bottom w:val="single" w:color="000000" w:sz="4"/>
                    <w:right w:val="single" w:color="000000" w:sz="4"/>
                  </w:tcBorders>
                </w:tcP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燃烧等级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石材</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体积密度、吸水率、干燥压缩强度、弯曲强度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32"/>
                  <w:vMerge/>
                  <w:tcBorders>
                    <w:top w:val="none" w:color="000000" w:sz="4"/>
                    <w:left w:val="single" w:color="000000" w:sz="4"/>
                    <w:bottom w:val="single" w:color="000000" w:sz="4"/>
                    <w:right w:val="single" w:color="000000" w:sz="4"/>
                  </w:tcBorders>
                </w:tcP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放射性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32"/>
                  <w:vMerge/>
                  <w:tcBorders>
                    <w:top w:val="none" w:color="000000" w:sz="4"/>
                    <w:left w:val="single" w:color="000000" w:sz="4"/>
                    <w:bottom w:val="single" w:color="000000" w:sz="4"/>
                    <w:right w:val="single" w:color="000000" w:sz="4"/>
                  </w:tcBorders>
                </w:tcP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抗冻性（冻融后压缩强度）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陶板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尺寸、外观、吸水率、弯曲强度（破环强度、断裂模数）、放射性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陶砖</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尺寸、外观、吸水率、弯曲强度（破环强度、断裂模数）、放射性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瓷砖</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吸水率、断裂模数、破坏强度、抗热震性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32"/>
                  <w:vMerge/>
                  <w:tcBorders>
                    <w:top w:val="none" w:color="000000" w:sz="4"/>
                    <w:left w:val="single" w:color="000000" w:sz="4"/>
                    <w:bottom w:val="single" w:color="000000" w:sz="4"/>
                    <w:right w:val="single" w:color="000000" w:sz="4"/>
                  </w:tcBorders>
                </w:tcP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放射性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432"/>
                  <w:vMerge/>
                  <w:tcBorders>
                    <w:top w:val="none" w:color="000000" w:sz="4"/>
                    <w:left w:val="single" w:color="000000" w:sz="4"/>
                    <w:bottom w:val="single" w:color="000000" w:sz="4"/>
                    <w:right w:val="single" w:color="000000" w:sz="4"/>
                  </w:tcBorders>
                </w:tcP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抗冻性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乳胶漆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容器中状态、表干时间、施工性、耐水性、耐洗刷性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真石漆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容器中状态、表干时间、施工性、耐水性、耐洗刷性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界面剂</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拉伸粘结强度、</w:t>
                  </w:r>
                  <w:r>
                    <w:rPr>
                      <w:rFonts w:ascii="仿宋_GB2312" w:hAnsi="仿宋_GB2312" w:cs="仿宋_GB2312" w:eastAsia="仿宋_GB2312"/>
                      <w:sz w:val="21"/>
                      <w:color w:val="000000"/>
                    </w:rPr>
                    <w:t>浸水后粘结强度保留率</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防水剂</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抗压强度比、抗渗压力比、外观、固含量</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透水砖</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抗折、劈裂抗拉、透水</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防水砂浆</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保水率、稠度损失率、抗压强度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轻集料混凝土配合比</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轻集料混凝土</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抗压强度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白灰</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细度、体积安定性、钙镁含量</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腻子</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容器中状态、表干时间、施工性、粘结强度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ALC板材专用粘接剂</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保水率、凝结时间、抗折强度、抗压强度、拉伸粘结强度</w:t>
                  </w:r>
                  <w:r>
                    <w:rPr>
                      <w:rFonts w:ascii="仿宋_GB2312" w:hAnsi="仿宋_GB2312" w:cs="仿宋_GB2312" w:eastAsia="仿宋_GB2312"/>
                      <w:sz w:val="21"/>
                      <w:color w:val="000000"/>
                    </w:rPr>
                    <w:t>(与蒸压加气混凝土粘结)</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ALC板材</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抗压强度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防火涂料</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常规检测（在容器中的状态、表干时间、粘结强度）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防火涂料</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耐火极限</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防腐涂料</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施工性、涂膜外观、容器中状态、细度、不挥发物含量</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焊缝射线无损检测</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防火涂料厚度</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涂层厚度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高强螺栓扭矩</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高强螺栓抗滑移系数</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地脚锚栓</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屈服强度、抗拉强度、断后伸长率</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焊丝焊条</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化学分析</w:t>
                  </w:r>
                  <w:r>
                    <w:rPr>
                      <w:rFonts w:ascii="仿宋_GB2312" w:hAnsi="仿宋_GB2312" w:cs="仿宋_GB2312" w:eastAsia="仿宋_GB2312"/>
                      <w:sz w:val="21"/>
                      <w:color w:val="000000"/>
                    </w:rPr>
                    <w:t>5元素</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型钢、钢板、角钢、镀锌钢板、镀锌带钢、热轧钢卷</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力学性能（屈服强度、抗拉强度、断后伸长率）、壁厚、材质合格性</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灌浆料</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强度、流动度、泌水率、竖向膨胀率、凝结时间</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暖气片</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单位散热量、金属热强度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橡塑保温</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导热系数、密度、燃烧性能、吸水率</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离心玻璃棉</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导热系数、密度、燃烧性能、吸水率</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涂料、漆、瓷砖</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游离甲醛、挥发性有机物</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人造板</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甲醛释放量</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室内环境污染物检测</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甲醛、苯、甲苯、二甲苯、氨、氡、</w:t>
                  </w:r>
                </w:p>
                <w:p>
                  <w:pPr>
                    <w:pStyle w:val="null3"/>
                    <w:jc w:val="left"/>
                  </w:pPr>
                  <w:r>
                    <w:rPr>
                      <w:rFonts w:ascii="仿宋_GB2312" w:hAnsi="仿宋_GB2312" w:cs="仿宋_GB2312" w:eastAsia="仿宋_GB2312"/>
                      <w:sz w:val="21"/>
                      <w:color w:val="000000"/>
                    </w:rPr>
                    <w:t>TVOC 浓度</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37419.42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按规范要求设置检测点位</w:t>
                  </w:r>
                </w:p>
              </w:tc>
            </w:tr>
          </w:tbl>
          <w:p>
            <w:pPr>
              <w:pStyle w:val="null3"/>
              <w:ind w:firstLine="420"/>
              <w:jc w:val="left"/>
            </w:pPr>
            <w:r>
              <w:rPr>
                <w:rFonts w:ascii="仿宋_GB2312" w:hAnsi="仿宋_GB2312" w:cs="仿宋_GB2312" w:eastAsia="仿宋_GB2312"/>
                <w:sz w:val="21"/>
                <w:color w:val="000000"/>
              </w:rPr>
              <w:t>注：上述检测项目请各供应商依据相关规范、标准要求的检测内容及检测率和政府相关部门的检测验收要求结合本项目具体情况进行复核，保证检测项目内容符合国家现行相关规范、标准的要求和满足政府相关部门的要求。如有缺失或疑问请及时提出，若供应商成交后，提出此类问题，采购人不再另行支付费用。</w:t>
            </w:r>
          </w:p>
          <w:p>
            <w:pPr>
              <w:pStyle w:val="null3"/>
              <w:ind w:firstLine="422"/>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2）技术要求</w:t>
            </w:r>
          </w:p>
          <w:p>
            <w:pPr>
              <w:pStyle w:val="null3"/>
              <w:ind w:firstLine="420"/>
              <w:jc w:val="left"/>
            </w:pPr>
            <w:r>
              <w:rPr>
                <w:rFonts w:ascii="仿宋_GB2312" w:hAnsi="仿宋_GB2312" w:cs="仿宋_GB2312" w:eastAsia="仿宋_GB2312"/>
                <w:sz w:val="21"/>
                <w:color w:val="000000"/>
              </w:rPr>
              <w:t>本项目主要的检测依据包含但不限于以下内容：</w:t>
            </w:r>
          </w:p>
          <w:p>
            <w:pPr>
              <w:pStyle w:val="null3"/>
              <w:ind w:firstLine="420"/>
              <w:jc w:val="left"/>
            </w:pPr>
            <w:r>
              <w:rPr>
                <w:rFonts w:ascii="仿宋_GB2312" w:hAnsi="仿宋_GB2312" w:cs="仿宋_GB2312" w:eastAsia="仿宋_GB2312"/>
                <w:sz w:val="21"/>
                <w:color w:val="000000"/>
              </w:rPr>
              <w:t>①</w:t>
            </w:r>
            <w:r>
              <w:rPr>
                <w:rFonts w:ascii="仿宋_GB2312" w:hAnsi="仿宋_GB2312" w:cs="仿宋_GB2312" w:eastAsia="仿宋_GB2312"/>
                <w:sz w:val="21"/>
                <w:color w:val="000000"/>
              </w:rPr>
              <w:t>《建设工程质量检测管理办法》（中华人民共和国住房和城乡建设部令第</w:t>
            </w:r>
            <w:r>
              <w:rPr>
                <w:rFonts w:ascii="仿宋_GB2312" w:hAnsi="仿宋_GB2312" w:cs="仿宋_GB2312" w:eastAsia="仿宋_GB2312"/>
                <w:sz w:val="21"/>
                <w:color w:val="000000"/>
              </w:rPr>
              <w:t>57号）</w:t>
            </w:r>
          </w:p>
          <w:p>
            <w:pPr>
              <w:pStyle w:val="null3"/>
              <w:ind w:firstLine="420"/>
              <w:jc w:val="left"/>
            </w:pPr>
            <w:r>
              <w:rPr>
                <w:rFonts w:ascii="仿宋_GB2312" w:hAnsi="仿宋_GB2312" w:cs="仿宋_GB2312" w:eastAsia="仿宋_GB2312"/>
                <w:sz w:val="21"/>
                <w:color w:val="000000"/>
              </w:rPr>
              <w:t>②</w:t>
            </w:r>
            <w:r>
              <w:rPr>
                <w:rFonts w:ascii="仿宋_GB2312" w:hAnsi="仿宋_GB2312" w:cs="仿宋_GB2312" w:eastAsia="仿宋_GB2312"/>
                <w:sz w:val="21"/>
                <w:color w:val="000000"/>
              </w:rPr>
              <w:t>《房屋建筑和市政基础设施工程质量检测技术管理规范》（</w:t>
            </w:r>
            <w:r>
              <w:rPr>
                <w:rFonts w:ascii="仿宋_GB2312" w:hAnsi="仿宋_GB2312" w:cs="仿宋_GB2312" w:eastAsia="仿宋_GB2312"/>
                <w:sz w:val="21"/>
                <w:color w:val="000000"/>
              </w:rPr>
              <w:t>GB 50618-2011）</w:t>
            </w:r>
          </w:p>
          <w:p>
            <w:pPr>
              <w:pStyle w:val="null3"/>
              <w:ind w:firstLine="420"/>
              <w:jc w:val="left"/>
            </w:pPr>
            <w:r>
              <w:rPr>
                <w:rFonts w:ascii="仿宋_GB2312" w:hAnsi="仿宋_GB2312" w:cs="仿宋_GB2312" w:eastAsia="仿宋_GB2312"/>
                <w:sz w:val="21"/>
                <w:color w:val="000000"/>
              </w:rPr>
              <w:t>③</w:t>
            </w:r>
            <w:r>
              <w:rPr>
                <w:rFonts w:ascii="仿宋_GB2312" w:hAnsi="仿宋_GB2312" w:cs="仿宋_GB2312" w:eastAsia="仿宋_GB2312"/>
                <w:sz w:val="21"/>
                <w:color w:val="000000"/>
              </w:rPr>
              <w:t>《建筑工程施工质量验收统一标准》（</w:t>
            </w:r>
            <w:r>
              <w:rPr>
                <w:rFonts w:ascii="仿宋_GB2312" w:hAnsi="仿宋_GB2312" w:cs="仿宋_GB2312" w:eastAsia="仿宋_GB2312"/>
                <w:sz w:val="21"/>
                <w:color w:val="000000"/>
              </w:rPr>
              <w:t>GB 50300-2013）</w:t>
            </w:r>
          </w:p>
          <w:p>
            <w:pPr>
              <w:pStyle w:val="null3"/>
              <w:ind w:firstLine="420"/>
              <w:jc w:val="left"/>
            </w:pPr>
            <w:r>
              <w:rPr>
                <w:rFonts w:ascii="仿宋_GB2312" w:hAnsi="仿宋_GB2312" w:cs="仿宋_GB2312" w:eastAsia="仿宋_GB2312"/>
                <w:sz w:val="21"/>
                <w:color w:val="000000"/>
              </w:rPr>
              <w:t>④</w:t>
            </w:r>
            <w:r>
              <w:rPr>
                <w:rFonts w:ascii="仿宋_GB2312" w:hAnsi="仿宋_GB2312" w:cs="仿宋_GB2312" w:eastAsia="仿宋_GB2312"/>
                <w:sz w:val="21"/>
                <w:color w:val="000000"/>
              </w:rPr>
              <w:t>《建筑节能工程施工质量验收标准》</w:t>
            </w:r>
            <w:r>
              <w:rPr>
                <w:rFonts w:ascii="仿宋_GB2312" w:hAnsi="仿宋_GB2312" w:cs="仿宋_GB2312" w:eastAsia="仿宋_GB2312"/>
                <w:sz w:val="21"/>
                <w:color w:val="000000"/>
              </w:rPr>
              <w:t>GB 50411-2019</w:t>
            </w:r>
          </w:p>
          <w:p>
            <w:pPr>
              <w:pStyle w:val="null3"/>
              <w:ind w:firstLine="420"/>
              <w:jc w:val="left"/>
            </w:pPr>
            <w:r>
              <w:rPr>
                <w:rFonts w:ascii="仿宋_GB2312" w:hAnsi="仿宋_GB2312" w:cs="仿宋_GB2312" w:eastAsia="仿宋_GB2312"/>
                <w:sz w:val="21"/>
                <w:color w:val="000000"/>
              </w:rPr>
              <w:t>⑤</w:t>
            </w:r>
            <w:r>
              <w:rPr>
                <w:rFonts w:ascii="仿宋_GB2312" w:hAnsi="仿宋_GB2312" w:cs="仿宋_GB2312" w:eastAsia="仿宋_GB2312"/>
                <w:sz w:val="21"/>
                <w:color w:val="000000"/>
              </w:rPr>
              <w:t>《民用建筑工程室内环境污染控制标准》</w:t>
            </w:r>
            <w:r>
              <w:rPr>
                <w:rFonts w:ascii="仿宋_GB2312" w:hAnsi="仿宋_GB2312" w:cs="仿宋_GB2312" w:eastAsia="仿宋_GB2312"/>
                <w:sz w:val="21"/>
                <w:color w:val="000000"/>
              </w:rPr>
              <w:t>GB 50325-2020</w:t>
            </w:r>
          </w:p>
          <w:p>
            <w:pPr>
              <w:pStyle w:val="null3"/>
              <w:ind w:firstLine="420"/>
              <w:jc w:val="left"/>
            </w:pPr>
            <w:r>
              <w:rPr>
                <w:rFonts w:ascii="仿宋_GB2312" w:hAnsi="仿宋_GB2312" w:cs="仿宋_GB2312" w:eastAsia="仿宋_GB2312"/>
                <w:sz w:val="21"/>
                <w:color w:val="000000"/>
              </w:rPr>
              <w:t>⑥</w:t>
            </w:r>
            <w:r>
              <w:rPr>
                <w:rFonts w:ascii="仿宋_GB2312" w:hAnsi="仿宋_GB2312" w:cs="仿宋_GB2312" w:eastAsia="仿宋_GB2312"/>
                <w:sz w:val="21"/>
                <w:color w:val="000000"/>
              </w:rPr>
              <w:t>本项目设计图纸及相关技术资料</w:t>
            </w:r>
          </w:p>
          <w:p>
            <w:pPr>
              <w:pStyle w:val="null3"/>
              <w:ind w:firstLine="420"/>
              <w:jc w:val="left"/>
            </w:pPr>
            <w:r>
              <w:rPr>
                <w:rFonts w:ascii="仿宋_GB2312" w:hAnsi="仿宋_GB2312" w:cs="仿宋_GB2312" w:eastAsia="仿宋_GB2312"/>
                <w:sz w:val="21"/>
                <w:color w:val="000000"/>
              </w:rPr>
              <w:t>⑦</w:t>
            </w:r>
            <w:r>
              <w:rPr>
                <w:rFonts w:ascii="仿宋_GB2312" w:hAnsi="仿宋_GB2312" w:cs="仿宋_GB2312" w:eastAsia="仿宋_GB2312"/>
                <w:sz w:val="21"/>
                <w:color w:val="000000"/>
              </w:rPr>
              <w:t>国家有关工程检测的法律、法规及规章制度等与本项目检测内容相关现行的国家、省、市或行业的标准、规范及相关部门的规定等。</w:t>
            </w:r>
          </w:p>
          <w:p>
            <w:pPr>
              <w:pStyle w:val="null3"/>
              <w:jc w:val="left"/>
            </w:pPr>
            <w:r>
              <w:rPr>
                <w:rFonts w:ascii="仿宋_GB2312" w:hAnsi="仿宋_GB2312" w:cs="仿宋_GB2312" w:eastAsia="仿宋_GB2312"/>
                <w:sz w:val="24"/>
                <w:b/>
                <w:color w:val="000000"/>
              </w:rPr>
              <w:t>三、服务要求</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1）人员要求：人员包含项目负责人、技术负责人、试验检测工程师、试验检测人员等。</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2）质量要求：以正确的检测方法，先进科学的检测手段提供准确、可靠的检测结果。检测结果符合国家有关现行规范、标准的要求，且满足政府相关部门的要求。</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3）服务期限：自合同签订之日起至项目所有检测内容完成并提供合法合规、满足政府相关部门要求的检测报告及检测资料止。</w:t>
            </w:r>
          </w:p>
          <w:p>
            <w:pPr>
              <w:pStyle w:val="null3"/>
              <w:ind w:firstLine="420"/>
              <w:jc w:val="left"/>
            </w:pPr>
            <w:r>
              <w:rPr>
                <w:rFonts w:ascii="仿宋_GB2312" w:hAnsi="仿宋_GB2312" w:cs="仿宋_GB2312" w:eastAsia="仿宋_GB2312"/>
                <w:sz w:val="21"/>
                <w:color w:val="000000"/>
              </w:rPr>
              <w:t>根据采购人的指令按时安排工作人员进场检测。</w:t>
            </w:r>
          </w:p>
          <w:p>
            <w:pPr>
              <w:pStyle w:val="null3"/>
            </w:pPr>
            <w:r>
              <w:rPr>
                <w:rFonts w:ascii="仿宋_GB2312" w:hAnsi="仿宋_GB2312" w:cs="仿宋_GB2312" w:eastAsia="仿宋_GB2312"/>
                <w:sz w:val="21"/>
              </w:rPr>
              <w:t>（</w:t>
            </w:r>
            <w:r>
              <w:rPr>
                <w:rFonts w:ascii="仿宋_GB2312" w:hAnsi="仿宋_GB2312" w:cs="仿宋_GB2312" w:eastAsia="仿宋_GB2312"/>
                <w:sz w:val="21"/>
              </w:rPr>
              <w:t>4）成果份数要求：整个检测工作结束后，三个中心项目分别提供满足合同质量要求的各类正式报告一式六份。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自合同签订之日起至项目所有检测内容完成并提供合法合规、满足政府相关部门要求的检测报告及检测资料止。根据采购人的指令按时安排工作人员进场检测。</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所有检测内容及工作量完成，乙方向甲方提供三个中心项目合法合规、满足政府相关部门要求的正式检测报告后，经甲方审计部门审核通过后15个工作日内（遇假期或特殊情况可延后支付）一次性支付全部审定价款。付款前，乙方需向甲方提供付款申请、符合甲方要求的增值税专用发票等付款资料。（以此为准）】，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纸质响应文件要求： （1）成交供应商应在中标（成交）结果公告发布后5个工作日内提供纸质投标（响应）文件三份（正本壹份、副本贰份，分别胶装）。 （2）递交地址：陕西省西安市曲江新区雁翔路3269号旺座曲江D座30层，联系人：王工，联系电话：15091632950。 （3）成交供应商应保持投标（响应）文件纸质版内容与交易系统上传电子版内容完全一致，否则将承担一切法律责任。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省级及以上建设行政主管部门颁发的建设工程质量检测机构资质综合资质或建设工程质量检测机构资质专项资质（专项资质包含：建筑材料及构配件、主体结构及装饰装修、钢结构、建筑节能、建筑幕墙）及检验检测机构资质认定证书（CMA证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响应文件按采购文件要求的数量、计量单位、报价及签字盖章</w:t>
            </w:r>
          </w:p>
        </w:tc>
        <w:tc>
          <w:tcPr>
            <w:tcW w:type="dxa" w:w="3322"/>
          </w:tcPr>
          <w:p>
            <w:pPr>
              <w:pStyle w:val="null3"/>
            </w:pPr>
            <w:r>
              <w:rPr>
                <w:rFonts w:ascii="仿宋_GB2312" w:hAnsi="仿宋_GB2312" w:cs="仿宋_GB2312" w:eastAsia="仿宋_GB2312"/>
              </w:rPr>
              <w:t>响应文件按采购文件要求的数量、计量单位、报价及签字盖章（合格）响应文件未按采购文件要求的数量、计量单位、报价及签字盖章（不合格）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响应有效期满足采购文件要求</w:t>
            </w:r>
          </w:p>
        </w:tc>
        <w:tc>
          <w:tcPr>
            <w:tcW w:type="dxa" w:w="3322"/>
          </w:tcPr>
          <w:p>
            <w:pPr>
              <w:pStyle w:val="null3"/>
            </w:pPr>
            <w:r>
              <w:rPr>
                <w:rFonts w:ascii="仿宋_GB2312" w:hAnsi="仿宋_GB2312" w:cs="仿宋_GB2312" w:eastAsia="仿宋_GB2312"/>
              </w:rPr>
              <w:t>响应有效期满足采购文件要求（合格）响应有效期不满足采购文件要求（不合格）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技术响应满足第三章3.2.2服务要求，商务响应满足第三章3.3商务要求（合格），任意一条不满足（不合格）</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商务应答表 服务内容及服务要求应答表 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磋商响应的，应出具法定代表人证明书。法定代表人授权合法授权代表参加磋商响应的，应出具法定代表人证明书、法定代表人授权书，同时提供其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法定代表人或合法授权代表证明.docx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一、评审内容 针对本项目提出适用于本项目的技术服务方案，方案包括：①整体服务实施思路；②检测手段及拟投入检测设备清单；③重难点问题处置方案；④全流程服务管控体系。 二、评审标准 1、完整性：方案全面覆盖全部采购需求，无重大缺项漏项； 2、可实施性：实施思路清晰，技术路线科学可行，流程规范严谨； 3、针对性：精准识别项目重难点并制定专项应对措施，方案契合项目履约需求。 三、赋分标准（满分12分） ①整体服务实施思路：每完全满足一个评审标准（完整性、可实施性、针对性）得1分，本项满分3分。每个标准有一处瑕疵（内容空泛、表述模糊、逻辑不清、缺乏具体措施等）扣0.2分。 ②检测手段及拟投入检测设备清单：每完全满足一个评审标准（完整性、可实施性、针对性）得1分，本项满分3分。每个标准有一处瑕疵（内容空泛、表述模糊、逻辑不清、缺乏具体措施等）扣0.2分。 ③重难点问题处置方案：每完全满足一个评审标准（完整性、可实施性、针对性）得1分，本项满分3分。每个标准有一处瑕疵（内容空泛、表述模糊、逻辑不清、缺乏具体措施等）扣0.2分。 ④全流程服务管控体系：每完全满足一个评审标准（完整性、可实施性、针对性）得1分，本项满分3分。每个标准有一处瑕疵（内容空泛、表述模糊、逻辑不清、缺乏具体措施等）扣0.2分。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质量保障体系</w:t>
            </w:r>
          </w:p>
        </w:tc>
        <w:tc>
          <w:tcPr>
            <w:tcW w:type="dxa" w:w="2492"/>
          </w:tcPr>
          <w:p>
            <w:pPr>
              <w:pStyle w:val="null3"/>
            </w:pPr>
            <w:r>
              <w:rPr>
                <w:rFonts w:ascii="仿宋_GB2312" w:hAnsi="仿宋_GB2312" w:cs="仿宋_GB2312" w:eastAsia="仿宋_GB2312"/>
              </w:rPr>
              <w:t>一、评审内容 针对本项目提出适用于本项目的服务质量标准，内容包括：①服务质量标准；②全过程监控机制；③服务优化改进方案；④突发情况应急保障预案。 二、评审标准 1、完整性：方案全面覆盖全部采购需求，无重大缺项漏项； 2、可实施性：实施思路清晰，技术路线科学可行，流程规范严谨； 3、针对性：精准识别项目重难点并制定专项应对措施，方案契合项目履约需求。 三、赋分标准（满分12分） ①服务质量标准：每完全满足一个评审标准（完整性、可实施性、针对性）得1分，本项满分3分。每个标准有一处瑕疵（内容空泛、表述模糊、逻辑不清、缺乏具体措施等）扣0.2分。 ②全过程监控机制：每完全满足一个评审标准（完整性、可实施性、针对性）得1分，本项满分3分。每个标准有一处瑕疵（内容空泛、表述模糊、逻辑不清、缺乏具体措施等）扣0.2分。 ③服务优化改进方案：每完全满足一个评审标准（完整性、可实施性、针对性）得1分，本项满分3分。每个标准有一处瑕疵（内容空泛、表述模糊、逻辑不清、缺乏具体措施等）扣0.2分。 ④突发情况应急保障预案：每完全满足一个评审标准（完整性、可实施性、针对性）得1分，本项满分3分。每个标准有一处瑕疵（内容空泛、表述模糊、逻辑不清、缺乏具体措施等）扣0.2分。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质量保障体系.docx</w:t>
            </w:r>
          </w:p>
        </w:tc>
      </w:tr>
      <w:tr>
        <w:tc>
          <w:tcPr>
            <w:tcW w:type="dxa" w:w="831"/>
            <w:vMerge/>
          </w:tcPr>
          <w:p/>
        </w:tc>
        <w:tc>
          <w:tcPr>
            <w:tcW w:type="dxa" w:w="1661"/>
          </w:tcPr>
          <w:p>
            <w:pPr>
              <w:pStyle w:val="null3"/>
            </w:pPr>
            <w:r>
              <w:rPr>
                <w:rFonts w:ascii="仿宋_GB2312" w:hAnsi="仿宋_GB2312" w:cs="仿宋_GB2312" w:eastAsia="仿宋_GB2312"/>
              </w:rPr>
              <w:t>项目管理体系</w:t>
            </w:r>
          </w:p>
        </w:tc>
        <w:tc>
          <w:tcPr>
            <w:tcW w:type="dxa" w:w="2492"/>
          </w:tcPr>
          <w:p>
            <w:pPr>
              <w:pStyle w:val="null3"/>
            </w:pPr>
            <w:r>
              <w:rPr>
                <w:rFonts w:ascii="仿宋_GB2312" w:hAnsi="仿宋_GB2312" w:cs="仿宋_GB2312" w:eastAsia="仿宋_GB2312"/>
              </w:rPr>
              <w:t>一、评审内容 针对本项目提出适用于本项目的项目管理体系，内容包括：①项目组织架构搭建；②进度管控机制；③安全保障机制；④风险预判与防控措施。 二、评审标准 1、完整性：方案全面覆盖全部采购需求，无重大缺项漏项； 2、可实施性：实施思路清晰，技术路线科学可行，流程规范严谨； 3、针对性：精准识别项目重难点并制定专项应对措施，方案契合项目履约需求。 三、赋分标准（满分12分） ①项目组织架构搭建：每完全满足一个评审标准（完整性、可实施性、针对性）得1分，本项满分3分。每个标准有一处瑕疵（内容空泛、表述模糊、逻辑不清、缺乏具体措施等）扣0.2分。 ②进度管控机制：每完全满足一个评审标准（完整性、可实施性、针对性）得1分，本项满分3分。每个标准有一处瑕疵（内容空泛、表述模糊、逻辑不清、缺乏具体措施等）扣0.2分。 ③安全保障机制：每完全满足一个评审标准（完整性、可实施性、针对性）得1分，本项满分3分。每个标准有一处瑕疵（内容空泛、表述模糊、逻辑不清、缺乏具体措施等）扣0.2分。 ④风险预判与防控措施：每完全满足一个评审标准（完整性、可实施性、针对性）得1分，本项满分3分。每个标准有一处瑕疵（内容空泛、表述模糊、逻辑不清、缺乏具体措施等）扣0.2分。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项目管理体系.docx</w:t>
            </w:r>
          </w:p>
        </w:tc>
      </w:tr>
      <w:tr>
        <w:tc>
          <w:tcPr>
            <w:tcW w:type="dxa" w:w="831"/>
            <w:vMerge/>
          </w:tcPr>
          <w:p/>
        </w:tc>
        <w:tc>
          <w:tcPr>
            <w:tcW w:type="dxa" w:w="1661"/>
          </w:tcPr>
          <w:p>
            <w:pPr>
              <w:pStyle w:val="null3"/>
            </w:pPr>
            <w:r>
              <w:rPr>
                <w:rFonts w:ascii="仿宋_GB2312" w:hAnsi="仿宋_GB2312" w:cs="仿宋_GB2312" w:eastAsia="仿宋_GB2312"/>
              </w:rPr>
              <w:t>服务团队与能力保障方案</w:t>
            </w:r>
          </w:p>
        </w:tc>
        <w:tc>
          <w:tcPr>
            <w:tcW w:type="dxa" w:w="2492"/>
          </w:tcPr>
          <w:p>
            <w:pPr>
              <w:pStyle w:val="null3"/>
            </w:pPr>
            <w:r>
              <w:rPr>
                <w:rFonts w:ascii="仿宋_GB2312" w:hAnsi="仿宋_GB2312" w:cs="仿宋_GB2312" w:eastAsia="仿宋_GB2312"/>
              </w:rPr>
              <w:t>一、评审内容 针对本项目提出适用于本项目的服务团队与能力保障方案，方案包括：①岗位配置合理性、专业结构适配度；②综合履职能力与人员协调管理措施。 二、评审标准 1、可实施性：实施思路清晰，技术路线科学可行，流程规范严谨； 2、针对性：精准识别项目重难点并制定专项应对措施，方案契合项目履约需求。 三、赋分标准（满分4分） ①岗位配置合理性、专业结构适配度：每完全满足一个评审标准（可实施性、针对性）得1分，本项满分2分。每个标准有一处瑕疵（内容空泛、表述模糊、逻辑不清、缺乏具体措施等）扣0.2分。 ②综合履职能力与人员协调管理措施：每完全满足一个评审标准（可实施性、针对性）得1分，本项满分2分。每个标准有一处瑕疵（内容空泛、表述模糊、逻辑不清、缺乏具体措施等）扣0.2分。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服务团队与能力保障方案.docx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供应商拟派项目负责人具有工程类中级工程师职称的得1分，其余情况不得分。 具有建设行政主管部门或其委托的机构、行业协会颁发的检测员证或检测鉴定培训合格证（证书需要状态正常或者在有效期内）得2分，没有不得分。 评审依据：响应文件中提供职称证书、身份证、毕业证等证书证件扫描件或复印件并加盖供应商公章为准。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供应商须提供自2023年8月至今项目负责人同类项目业绩，每份业绩合同中每有建筑节能检测、或建筑幕墙检测、或装饰装修及安装材料检测、或建筑室内空气污染物检测一项的，得0.5分，每份业绩合同最多得2分，满分4分。（以合同签订日期为准） 评审依据：响应文件中提供业绩合同复印件或扫描件加盖公章，业绩合同中须体现项目负责人姓名。企业业绩与项目负责人业绩不重复计分。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项目负责人业绩.docx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供应商拟派技术负责人具有工程类中级工程师职称的得1分，其余情况不得分。 具有建设行政主管部门或其委托的机构、行业协会颁发的检测员证或检测鉴定培训合格证（证书需要状态正常或者在有效期内）得2分，没有不得分。 评审依据：响应文件中提供职称证书、身份证、毕业证等证书证件扫描件或复印件并加盖供应商公章为准。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技术负责人.docx</w:t>
            </w:r>
          </w:p>
        </w:tc>
      </w:tr>
      <w:tr>
        <w:tc>
          <w:tcPr>
            <w:tcW w:type="dxa" w:w="831"/>
            <w:vMerge/>
          </w:tcPr>
          <w:p/>
        </w:tc>
        <w:tc>
          <w:tcPr>
            <w:tcW w:type="dxa" w:w="1661"/>
          </w:tcPr>
          <w:p>
            <w:pPr>
              <w:pStyle w:val="null3"/>
            </w:pPr>
            <w:r>
              <w:rPr>
                <w:rFonts w:ascii="仿宋_GB2312" w:hAnsi="仿宋_GB2312" w:cs="仿宋_GB2312" w:eastAsia="仿宋_GB2312"/>
              </w:rPr>
              <w:t>技术负责人业绩</w:t>
            </w:r>
          </w:p>
        </w:tc>
        <w:tc>
          <w:tcPr>
            <w:tcW w:type="dxa" w:w="2492"/>
          </w:tcPr>
          <w:p>
            <w:pPr>
              <w:pStyle w:val="null3"/>
            </w:pPr>
            <w:r>
              <w:rPr>
                <w:rFonts w:ascii="仿宋_GB2312" w:hAnsi="仿宋_GB2312" w:cs="仿宋_GB2312" w:eastAsia="仿宋_GB2312"/>
              </w:rPr>
              <w:t>供应商须提供自2023年8月至今技术负责人同类项目业绩，每份业绩合同中每有建筑节能检测、或建筑幕墙检测、或装饰装修及安装材料检测、或建筑室内空气污染物检测一项的，得0.5分，每份业绩合同最多得2分，满分4分。（以合同签订日期为准） 评审依据：响应文件中提供业绩合同复印件或扫描件加盖公章，业绩合同中须体现技术负责人姓名。企业业绩与技术负责人业绩不重复计分。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技术负责人业绩.docx</w:t>
            </w:r>
          </w:p>
        </w:tc>
      </w:tr>
      <w:tr>
        <w:tc>
          <w:tcPr>
            <w:tcW w:type="dxa" w:w="831"/>
            <w:vMerge/>
          </w:tcPr>
          <w:p/>
        </w:tc>
        <w:tc>
          <w:tcPr>
            <w:tcW w:type="dxa" w:w="1661"/>
          </w:tcPr>
          <w:p>
            <w:pPr>
              <w:pStyle w:val="null3"/>
            </w:pPr>
            <w:r>
              <w:rPr>
                <w:rFonts w:ascii="仿宋_GB2312" w:hAnsi="仿宋_GB2312" w:cs="仿宋_GB2312" w:eastAsia="仿宋_GB2312"/>
              </w:rPr>
              <w:t>拟投入本项目主要技术人员</w:t>
            </w:r>
          </w:p>
        </w:tc>
        <w:tc>
          <w:tcPr>
            <w:tcW w:type="dxa" w:w="2492"/>
          </w:tcPr>
          <w:p>
            <w:pPr>
              <w:pStyle w:val="null3"/>
            </w:pPr>
            <w:r>
              <w:rPr>
                <w:rFonts w:ascii="仿宋_GB2312" w:hAnsi="仿宋_GB2312" w:cs="仿宋_GB2312" w:eastAsia="仿宋_GB2312"/>
              </w:rPr>
              <w:t>拟投入本项目主要技术人员（除项目负责人、技术负责人外）要求： 持有建设行政主管部门或其委托的机构、行业协会颁发的检测员证或检测鉴定培训合格证（证书需要状态正常或者在有效期内），每一人得1分，最多得4分。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拟投入本项目主要技术人员.docx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针对本项⽬提供①售后服务承诺；②服务质量与保密承诺。每提供⼀项内容得1分，满分2分。不提供不得分。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须提供自2023年8月至今企业同类项目业绩，每份业绩合同中每有建筑节能检测、或建筑幕墙检测、或装饰装修及安装材料检测、或建筑室内空气污染物检测一项的，得0.5分，每份业绩合同最多得2分，满分10分。（以合同签订日期为准） 评审依据：响应文件中提供业绩合同复印件或扫描件加盖公章。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价格分采用低价优先法计算，即满足磋商文件要求且最后报价最低的响应报价为评审基准价，其价格分为满分30分，其他响应供应商的价格分统一按下列公式计算： 响应报价得分=（评审基准价/最后响应报价）×30%×100。备注：计算分值时，按四舍五入原则，保留小数点后二位数。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详见附件：质量保障体系.docx</w:t>
      </w:r>
    </w:p>
    <w:p>
      <w:pPr>
        <w:pStyle w:val="null3"/>
        <w:ind w:firstLine="960"/>
      </w:pPr>
      <w:r>
        <w:rPr>
          <w:rFonts w:ascii="仿宋_GB2312" w:hAnsi="仿宋_GB2312" w:cs="仿宋_GB2312" w:eastAsia="仿宋_GB2312"/>
        </w:rPr>
        <w:t>详见附件：项目管理体系.docx</w:t>
      </w:r>
    </w:p>
    <w:p>
      <w:pPr>
        <w:pStyle w:val="null3"/>
        <w:ind w:firstLine="960"/>
      </w:pPr>
      <w:r>
        <w:rPr>
          <w:rFonts w:ascii="仿宋_GB2312" w:hAnsi="仿宋_GB2312" w:cs="仿宋_GB2312" w:eastAsia="仿宋_GB2312"/>
        </w:rPr>
        <w:t>详见附件：服务团队与能力保障方案.docx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详见附件：项目负责人业绩.docx</w:t>
      </w:r>
    </w:p>
    <w:p>
      <w:pPr>
        <w:pStyle w:val="null3"/>
        <w:ind w:firstLine="960"/>
      </w:pPr>
      <w:r>
        <w:rPr>
          <w:rFonts w:ascii="仿宋_GB2312" w:hAnsi="仿宋_GB2312" w:cs="仿宋_GB2312" w:eastAsia="仿宋_GB2312"/>
        </w:rPr>
        <w:t>详见附件：技术负责人.docx</w:t>
      </w:r>
    </w:p>
    <w:p>
      <w:pPr>
        <w:pStyle w:val="null3"/>
        <w:ind w:firstLine="960"/>
      </w:pPr>
      <w:r>
        <w:rPr>
          <w:rFonts w:ascii="仿宋_GB2312" w:hAnsi="仿宋_GB2312" w:cs="仿宋_GB2312" w:eastAsia="仿宋_GB2312"/>
        </w:rPr>
        <w:t>详见附件：技术负责人业绩.docx</w:t>
      </w:r>
    </w:p>
    <w:p>
      <w:pPr>
        <w:pStyle w:val="null3"/>
        <w:ind w:firstLine="960"/>
      </w:pPr>
      <w:r>
        <w:rPr>
          <w:rFonts w:ascii="仿宋_GB2312" w:hAnsi="仿宋_GB2312" w:cs="仿宋_GB2312" w:eastAsia="仿宋_GB2312"/>
        </w:rPr>
        <w:t>详见附件：拟投入本项目主要技术人员.docx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详见附件：法定代表人或合法授权代表证明.docx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