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版本号：SXJJ-DL-2026-16420260729001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“十五五”中央支持山水工程前期技术服务项目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SXJJ-DL-2026-164</w:t>
      </w:r>
      <w:r>
        <w:br/>
      </w:r>
      <w:r>
        <w:br/>
      </w:r>
      <w:r>
        <w:br/>
      </w:r>
    </w:p>
    <w:p>
      <w:pPr>
        <w:pStyle w:val="null3"/>
        <w:jc w:val="center"/>
        <w:outlineLvl w:val="2"/>
      </w:pPr>
      <w:r>
        <w:rPr>
          <w:rFonts w:ascii="仿宋_GB2312" w:hAnsi="仿宋_GB2312" w:cs="仿宋_GB2312" w:eastAsia="仿宋_GB2312"/>
          <w:sz w:val="28"/>
          <w:b/>
        </w:rPr>
        <w:t>陕西省国土整治中心（陕西省土地科技创新中心）</w:t>
      </w:r>
    </w:p>
    <w:p>
      <w:pPr>
        <w:pStyle w:val="null3"/>
        <w:jc w:val="center"/>
        <w:outlineLvl w:val="2"/>
      </w:pPr>
      <w:r>
        <w:rPr>
          <w:rFonts w:ascii="仿宋_GB2312" w:hAnsi="仿宋_GB2312" w:cs="仿宋_GB2312" w:eastAsia="仿宋_GB2312"/>
          <w:sz w:val="28"/>
          <w:b/>
        </w:rPr>
        <w:t>陕西建基建设工程项目管理有限公司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陕西建基建设工程项目管理有限公司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陕西省国土整治中心（陕西省土地科技创新中心）</w:t>
      </w:r>
      <w:r>
        <w:rPr>
          <w:rFonts w:ascii="仿宋_GB2312" w:hAnsi="仿宋_GB2312" w:cs="仿宋_GB2312" w:eastAsia="仿宋_GB2312"/>
        </w:rPr>
        <w:t>委托，拟对</w:t>
      </w:r>
      <w:r>
        <w:rPr>
          <w:rFonts w:ascii="仿宋_GB2312" w:hAnsi="仿宋_GB2312" w:cs="仿宋_GB2312" w:eastAsia="仿宋_GB2312"/>
        </w:rPr>
        <w:t>“十五五”中央支持山水工程前期技术服务项目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SXJJ-DL-2026-164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“十五五”中央支持山水工程前期技术服务项目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“十五五” 中央支持山水工程前期技术服务项目；主要功能或目标：陕西省关中平原西部行政区域，涵盖宝鸡市、咸阳市及杨凌农业高新技术产业示范区，涉及 25 个县（市、区）。项目主要是进一步弄清该区域生态基本状况，开展涵盖植被、土壤、水文、地质4类要素调查、覆盖全部修复区域，专题研究识别生态问题，汇总整理提出子项目治理区域，为项目后续工作顺利开展提供依据和决策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1、主体资格证明文件：供应商为具有独立承担民事责任能力的法人、其他组织或自然人，并出具合法有效的营业执照或事业单位法人证书等国家规定的相关证明，自然人参与的提供其身份证。</w:t>
      </w:r>
    </w:p>
    <w:p>
      <w:pPr>
        <w:pStyle w:val="null3"/>
      </w:pPr>
      <w:r>
        <w:rPr>
          <w:rFonts w:ascii="仿宋_GB2312" w:hAnsi="仿宋_GB2312" w:cs="仿宋_GB2312" w:eastAsia="仿宋_GB2312"/>
        </w:rPr>
        <w:t>2、法定代表人授权书及被授权人身份证：法定代表人授权书、被授权人身份证及授权代表在本单位的社保缴纳证明（法定代表人直接参与，只需提交其身份证明）。</w:t>
      </w:r>
    </w:p>
    <w:p>
      <w:pPr>
        <w:pStyle w:val="null3"/>
      </w:pPr>
      <w:r>
        <w:rPr>
          <w:rFonts w:ascii="仿宋_GB2312" w:hAnsi="仿宋_GB2312" w:cs="仿宋_GB2312" w:eastAsia="仿宋_GB2312"/>
        </w:rPr>
        <w:t>3、社会保障资金缴纳证明：提供供应商自投标截止日期前6个月以来已缴存的任意时段的社会保障资金缴存单据或社保机构开具的社会保险参保缴费情况证明；依法不需要缴纳社会保障资金的应提供相关证明文件。</w:t>
      </w:r>
    </w:p>
    <w:p>
      <w:pPr>
        <w:pStyle w:val="null3"/>
      </w:pPr>
      <w:r>
        <w:rPr>
          <w:rFonts w:ascii="仿宋_GB2312" w:hAnsi="仿宋_GB2312" w:cs="仿宋_GB2312" w:eastAsia="仿宋_GB2312"/>
        </w:rPr>
        <w:t>4、税收缴纳证明：提供供应商自投标截止日期前6个月以来已缴纳任意时段纳税证明或税务机关开具的完税证明（增值税、营业税、企业所得税至少提供一种）；依法免税的应提供相关证明文件。</w:t>
      </w:r>
    </w:p>
    <w:p>
      <w:pPr>
        <w:pStyle w:val="null3"/>
      </w:pPr>
      <w:r>
        <w:rPr>
          <w:rFonts w:ascii="仿宋_GB2312" w:hAnsi="仿宋_GB2312" w:cs="仿宋_GB2312" w:eastAsia="仿宋_GB2312"/>
        </w:rPr>
        <w:t>5、政府采购活动前3年内没有重大违法记录书面声明：供应商在参加政府采购活动前三年内，在经营活动中没有重大违法记录的书面声明。</w:t>
      </w:r>
    </w:p>
    <w:p>
      <w:pPr>
        <w:pStyle w:val="null3"/>
      </w:pPr>
      <w:r>
        <w:rPr>
          <w:rFonts w:ascii="仿宋_GB2312" w:hAnsi="仿宋_GB2312" w:cs="仿宋_GB2312" w:eastAsia="仿宋_GB2312"/>
        </w:rPr>
        <w:t>6、财务状况：提供2024年度或2025年度经审计的赋码财务报告（包括审计报告、资产负债表、利润表、现金流量表、所有者权益变动表（没有可不提供）及附注，成立时间至投标文件提交截止时间不足一年的可提供成立后任意时段的资产负债表），或提交投标文件截止时间三个月内基本账户开户银行出具的资信证明及基本存款账户信息（以上两种形式的资料提供任何一种即可）。 供应商需在项目电子化交易系统中按要求上传相应证明文件并进行电子签章。</w:t>
      </w:r>
    </w:p>
    <w:p>
      <w:pPr>
        <w:pStyle w:val="null3"/>
      </w:pPr>
      <w:r>
        <w:rPr>
          <w:rFonts w:ascii="仿宋_GB2312" w:hAnsi="仿宋_GB2312" w:cs="仿宋_GB2312" w:eastAsia="仿宋_GB2312"/>
        </w:rPr>
        <w:t>7、履行合同所必需的设备和专业技术能力书面声明函：供应商提供具有履行合同所必需的设备和专业技术能力的承诺。</w:t>
      </w:r>
    </w:p>
    <w:p>
      <w:pPr>
        <w:pStyle w:val="null3"/>
      </w:pPr>
      <w:r>
        <w:rPr>
          <w:rFonts w:ascii="仿宋_GB2312" w:hAnsi="仿宋_GB2312" w:cs="仿宋_GB2312" w:eastAsia="仿宋_GB2312"/>
        </w:rPr>
        <w:t>8、供应商特殊资格要求：供应商须具备城乡规划（国土空间规划）编制单位乙级（含乙级）及以上资质证书，且证书在有效期内。</w:t>
      </w:r>
    </w:p>
    <w:p>
      <w:pPr>
        <w:pStyle w:val="null3"/>
      </w:pPr>
      <w:r>
        <w:rPr>
          <w:rFonts w:ascii="仿宋_GB2312" w:hAnsi="仿宋_GB2312" w:cs="仿宋_GB2312" w:eastAsia="仿宋_GB2312"/>
        </w:rPr>
        <w:t>9、信用主体查询：供应商不得为列入信用中国（www.creditchina.gov.cn）重大税收违法失信主体、在中国执行信息公开网（http://zxgk.court.gov.cn）未被列入失信被执行人及在中国政府采购网（www.ccgp.gov.cn）未被列入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10、非联合体投标声明：本项目不接受联合体投标。</w:t>
      </w:r>
    </w:p>
    <w:p>
      <w:pPr>
        <w:pStyle w:val="null3"/>
      </w:pPr>
      <w:r>
        <w:rPr>
          <w:rFonts w:ascii="仿宋_GB2312" w:hAnsi="仿宋_GB2312" w:cs="仿宋_GB2312" w:eastAsia="仿宋_GB2312"/>
        </w:rPr>
        <w:t>11、控股关系证明：直接控股、管理关系：单位负责人为同一人或存在直接控股、管理关系的不同单位，不得同时参加本项目投标活动。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陕西省国土整治中心（陕西省土地科技创新中心）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西安市高新区高新路52号高科大厦6楼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029-88450992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陕西建基建设工程项目管理有限公司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西安经济技术开发区凤城七路北侧明丰国际905室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秦昱、刘春燕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029-83660094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陕西省国土整治中心财务科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刘燕峰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029-88993824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照国家计委印发的《招标代理服务收费管理暂行办法》（计价格〔2002〕1980号）和国家发展和改革委员会办公厅印发的《关于招标代理服务收费有关问题的通知》（发改办价格〔2003〕857号）的有关规定执行。 （2）在领取中标通知书前，中标/成交供应商须向采购代理机构一次性支付招标代理服务费。缴纳形式：可以采取现金、支票、银行汇票、电汇、网银等方式。 （3）招标代理服务费缴纳信息如下： 银行户名：陕西建基建设工程项目管理有限公司 开户行名称：中国建设银行股份有限公司西安长庆支行 账 号：61050190550000001012 联系人：秦昱、刘春燕 联系电话：029-83660094 转账备注：（项目名称/项目编号）招标代理服务费，如因自身原因发生错误，产生的不利后果均由中标/成交供应商自行承担。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陕西省国土整治中心（陕西省土地科技创新中心）</w:t>
      </w:r>
      <w:r>
        <w:rPr>
          <w:rFonts w:ascii="仿宋_GB2312" w:hAnsi="仿宋_GB2312" w:cs="仿宋_GB2312" w:eastAsia="仿宋_GB2312"/>
        </w:rPr>
        <w:t>和</w:t>
      </w:r>
      <w:r>
        <w:rPr>
          <w:rFonts w:ascii="仿宋_GB2312" w:hAnsi="仿宋_GB2312" w:cs="仿宋_GB2312" w:eastAsia="仿宋_GB2312"/>
        </w:rPr>
        <w:t>陕西建基建设工程项目管理有限公司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陕西省国土整治中心（陕西省土地科技创新中心）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陕西建基建设工程项目管理有限公司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陕西省国土整治中心（陕西省土地科技创新中心）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陕西建基建设工程项目管理有限公司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承担单位提交成果通过业务处室审核。</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陕西建基建设工程项目管理有限公司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陕西建基建设工程项目管理有限公司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陕西建基建设工程项目管理有限公司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联系人：秦昱、刘春燕</w:t>
      </w:r>
    </w:p>
    <w:p>
      <w:pPr>
        <w:pStyle w:val="null3"/>
      </w:pPr>
      <w:r>
        <w:rPr>
          <w:rFonts w:ascii="仿宋_GB2312" w:hAnsi="仿宋_GB2312" w:cs="仿宋_GB2312" w:eastAsia="仿宋_GB2312"/>
        </w:rPr>
        <w:t>联系电话：029-83660094</w:t>
      </w:r>
    </w:p>
    <w:p>
      <w:pPr>
        <w:pStyle w:val="null3"/>
      </w:pPr>
      <w:r>
        <w:rPr>
          <w:rFonts w:ascii="仿宋_GB2312" w:hAnsi="仿宋_GB2312" w:cs="仿宋_GB2312" w:eastAsia="仿宋_GB2312"/>
        </w:rPr>
        <w:t>地址：西安经济技术开发区凤城七路北侧明丰国际905室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“十五五” 中央支持山水工程前期技术服务项目；主要功能或目标：陕西省关中平原西部行政区域，涵盖宝鸡市、咸阳市及杨凌农业高新技术产业示范区，涉及 25 个县（市、区）。项目主要是进一步弄清该区域生态基本状况，开展涵盖植被、土壤、水文、地质4类要素调查、覆盖全部修复区域，专题研究识别生态问题，汇总整理提出子项目治理区域，为项目后续工作顺利开展提供依据和决策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“十五五”中央支持山水工程前期技术服务项目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标的名称：“十五五”中央支持山水工程前期技术服务项目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jc w:val="left"/>
            </w:pPr>
            <w:r>
              <w:rPr>
                <w:rFonts w:ascii="仿宋_GB2312" w:hAnsi="仿宋_GB2312" w:cs="仿宋_GB2312" w:eastAsia="仿宋_GB2312"/>
                <w:sz w:val="18"/>
              </w:rPr>
              <w:t>陕西省关中平原西部行政区域，涵盖宝鸡市、咸阳市及杨凌农业高新技术产业示范区，涉及</w:t>
            </w:r>
            <w:r>
              <w:rPr>
                <w:rFonts w:ascii="仿宋_GB2312" w:hAnsi="仿宋_GB2312" w:cs="仿宋_GB2312" w:eastAsia="仿宋_GB2312"/>
                <w:sz w:val="18"/>
              </w:rPr>
              <w:t>25 个县（市、区）。项目主要是进一步弄清该区域生态基本状况，开展涵盖植被、土壤、水文、地质4类要素调查、覆盖全部修复区域，专题研究识别生态问题，汇总整理提出子项目治理区域，为项目后续工作顺利开展提供依据和决策支撑。</w:t>
            </w:r>
          </w:p>
          <w:p>
            <w:pPr>
              <w:pStyle w:val="null3"/>
              <w:jc w:val="left"/>
            </w:pPr>
            <w:r>
              <w:rPr>
                <w:rFonts w:ascii="仿宋_GB2312" w:hAnsi="仿宋_GB2312" w:cs="仿宋_GB2312" w:eastAsia="仿宋_GB2312"/>
                <w:sz w:val="21"/>
                <w:b/>
              </w:rPr>
              <w:t>二、服务内容及要求</w:t>
            </w:r>
          </w:p>
          <w:p>
            <w:pPr>
              <w:pStyle w:val="null3"/>
              <w:jc w:val="left"/>
            </w:pPr>
            <w:r>
              <w:rPr>
                <w:rFonts w:ascii="仿宋_GB2312" w:hAnsi="仿宋_GB2312" w:cs="仿宋_GB2312" w:eastAsia="仿宋_GB2312"/>
                <w:sz w:val="18"/>
              </w:rPr>
              <w:t>1.服务内容：</w:t>
            </w:r>
            <w:r>
              <w:rPr>
                <w:rFonts w:ascii="仿宋_GB2312" w:hAnsi="仿宋_GB2312" w:cs="仿宋_GB2312" w:eastAsia="仿宋_GB2312"/>
                <w:sz w:val="18"/>
              </w:rPr>
              <w:t>综合运用资料收集分析、遥感影像解译等技术手段，系统开展区域（流域）生态本底调查与专题研究，完成实施区域内生态问题的识别与诊断，并据此提出项目治理区域。</w:t>
            </w:r>
          </w:p>
          <w:p>
            <w:pPr>
              <w:pStyle w:val="null3"/>
              <w:jc w:val="left"/>
            </w:pPr>
            <w:r>
              <w:rPr>
                <w:rFonts w:ascii="仿宋_GB2312" w:hAnsi="仿宋_GB2312" w:cs="仿宋_GB2312" w:eastAsia="仿宋_GB2312"/>
                <w:sz w:val="18"/>
              </w:rPr>
              <w:t>2.成果质量要求：承担单位应建立完善的质量管理体系，对项目实行全过程质量监控，保证提交成果通过业务处室审核。</w:t>
            </w:r>
          </w:p>
          <w:p>
            <w:pPr>
              <w:pStyle w:val="null3"/>
              <w:jc w:val="left"/>
            </w:pPr>
            <w:r>
              <w:rPr>
                <w:rFonts w:ascii="仿宋_GB2312" w:hAnsi="仿宋_GB2312" w:cs="仿宋_GB2312" w:eastAsia="仿宋_GB2312"/>
                <w:sz w:val="18"/>
              </w:rPr>
              <w:t>3.成果递交：项目完工验收合格后，承包人按采购人要求提交成果资料：纸质版完整的报告 2 份，电子版 2 套（含可编辑版 + PDF 定稿，存储介质自备）。所有资料内容齐全、格式合规、装订规整，真实准确，满足招标文件及行业编制规范。</w:t>
            </w:r>
          </w:p>
          <w:p>
            <w:pPr>
              <w:pStyle w:val="null3"/>
              <w:jc w:val="left"/>
            </w:pPr>
            <w:r>
              <w:rPr>
                <w:rFonts w:ascii="仿宋_GB2312" w:hAnsi="仿宋_GB2312" w:cs="仿宋_GB2312" w:eastAsia="仿宋_GB2312"/>
                <w:sz w:val="21"/>
                <w:b/>
              </w:rPr>
              <w:t>三、商务要求</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服务地点：采购人指定地点。</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服务</w:t>
            </w:r>
            <w:r>
              <w:rPr>
                <w:rFonts w:ascii="仿宋_GB2312" w:hAnsi="仿宋_GB2312" w:cs="仿宋_GB2312" w:eastAsia="仿宋_GB2312"/>
                <w:sz w:val="18"/>
              </w:rPr>
              <w:t>期限</w:t>
            </w:r>
            <w:r>
              <w:rPr>
                <w:rFonts w:ascii="仿宋_GB2312" w:hAnsi="仿宋_GB2312" w:cs="仿宋_GB2312" w:eastAsia="仿宋_GB2312"/>
                <w:sz w:val="18"/>
              </w:rPr>
              <w:t>：</w:t>
            </w:r>
            <w:r>
              <w:rPr>
                <w:rFonts w:ascii="仿宋_GB2312" w:hAnsi="仿宋_GB2312" w:cs="仿宋_GB2312" w:eastAsia="仿宋_GB2312"/>
                <w:sz w:val="18"/>
              </w:rPr>
              <w:t>自合同签订之日起至项目前期技术服务结束止</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付款方式：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 xml:space="preserve"> 进度款，合同签订后 ，达到付款条件起10个工作日内，支付合同总金额的50.0%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进度款，提交的成果文件通过甲方验收后</w:t>
            </w:r>
            <w:r>
              <w:rPr>
                <w:rFonts w:ascii="仿宋_GB2312" w:hAnsi="仿宋_GB2312" w:cs="仿宋_GB2312" w:eastAsia="仿宋_GB2312"/>
                <w:sz w:val="18"/>
              </w:rPr>
              <w:t>，达到付款条件起</w:t>
            </w:r>
            <w:r>
              <w:rPr>
                <w:rFonts w:ascii="仿宋_GB2312" w:hAnsi="仿宋_GB2312" w:cs="仿宋_GB2312" w:eastAsia="仿宋_GB2312"/>
                <w:sz w:val="18"/>
              </w:rPr>
              <w:t>10个工作日内，支付合同总金额的50.0%</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质量要求：符合国家及行业现行相关规范规程和技术标准要求。</w:t>
            </w:r>
          </w:p>
          <w:p>
            <w:pPr>
              <w:pStyle w:val="null3"/>
              <w:jc w:val="both"/>
            </w:pPr>
            <w:r>
              <w:rPr>
                <w:rFonts w:ascii="仿宋_GB2312" w:hAnsi="仿宋_GB2312" w:cs="仿宋_GB2312" w:eastAsia="仿宋_GB2312"/>
                <w:sz w:val="18"/>
              </w:rPr>
              <w:t>5.验收要求：承担单位提交成果通过业务处室审核。</w:t>
            </w:r>
          </w:p>
          <w:p>
            <w:pPr>
              <w:pStyle w:val="null3"/>
            </w:pPr>
            <w:r>
              <w:rPr>
                <w:rFonts w:ascii="仿宋_GB2312" w:hAnsi="仿宋_GB2312" w:cs="仿宋_GB2312" w:eastAsia="仿宋_GB2312"/>
                <w:sz w:val="18"/>
              </w:rPr>
              <w:t>6.</w:t>
            </w:r>
            <w:r>
              <w:rPr>
                <w:rFonts w:ascii="仿宋_GB2312" w:hAnsi="仿宋_GB2312" w:cs="仿宋_GB2312" w:eastAsia="仿宋_GB2312"/>
                <w:sz w:val="18"/>
              </w:rPr>
              <w:t>报价要求</w:t>
            </w:r>
            <w:r>
              <w:rPr>
                <w:rFonts w:ascii="仿宋_GB2312" w:hAnsi="仿宋_GB2312" w:cs="仿宋_GB2312" w:eastAsia="仿宋_GB2312"/>
                <w:sz w:val="18"/>
              </w:rPr>
              <w:t>：</w:t>
            </w:r>
            <w:r>
              <w:rPr>
                <w:rFonts w:ascii="仿宋_GB2312" w:hAnsi="仿宋_GB2312" w:cs="仿宋_GB2312" w:eastAsia="仿宋_GB2312"/>
                <w:sz w:val="18"/>
              </w:rPr>
              <w:t>项目总报价应当包括完成本项目可能发生的各项费用的总和，为包干费用，如人工费、成果编制费、仪器设备使用费、资料费、项目成果评审费、差旅费、保险费、管理费、税金等一切费用的体现，采购文件未列明而供应商认为其他必需的费用也须列入报价内。采购人不再另行支付成交金额以外的其他任何费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自合同签订之日起至项目前期技术服务结束止。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承担单位提交成果通过业务处室审核。</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进度款，提交的成果文件通过甲方验收后 ，达到付款条件起10个工作日内，支付合同总金额的50.0%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1.在履行期间，双方发生争议时，双方可采取协商解决，协商不成时，可向项目所在地人民法院起诉。 2.违约责任：依据《中华人民共和国民法典》《中华人民共和国政府采购法》的相关条款和本合同约定，成交供应商未全面履行合同义务或者发生违约，采购人会同采购代理机构有权终止合同，依法向成交供应商进行经济索赔，并报请采购监督管理机关进行相应的行政处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一、需要落实的政府采购政策：无。 二、供应商务必在开标截止时间30分钟前，通过项目电子化交易系统进行签到，如未进行签到，产生的一切后果由供应商自行承担。三、关于弃标的说明：按照《西安市财政局关于促进政府采购公平竞争优化营商环境的通知》（市财函〔2021〕431号）规定：供应商登记免费领取招标文件的，如不参与项目投标，应在提交投标文件截止时间前一日以书面形式告知采购代理机构（出具弃标函发送至代理机构邮箱：a18092589552@foxmail.com）。否则，采购代理机构可以向财政部门反映情况并提供相应的佐证。供应商一年内累计出现三次该情形，将被监管部门记录为失信行为。 四、纸质版响应文件要求：成交供应商在领取成交通知书前，须向采购代理机构提供纸质版投标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2024年度或2025年度经审计的赋码财务报告[包括审计报告、资产负债表、利润表、现金流量表、所有者权益变动表（没有可不提供）及附注]，成立时间至投标文件提交截止时间不足一年的可提供成立后任意时段的资产负债表；或提交投标文件截止时间三个月内基本账户开户银行出具的资信证明及基本存款账户信息（以上两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供应商为具有独立承担民事责任能力的法人、其他组织或自然人，并出具合法有效的营业执照或事业单位法人证书等国家规定的相关证明，自然人参与的提供其身份证。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法定代表人授权书、被授权人身份证及授权代表在本单位的社保缴纳证明（法定代表人直接参与，只需提交其身份证明）。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提供供应商自投标截止日期前6个月以来已缴存的任意时段的社会保障资金缴存单据或社保机构开具的社会保险参保缴费情况证明；依法不需要缴纳社会保障资金的应提供相关证明文件。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提供供应商自投标截止日期前6个月以来已缴纳任意时段纳税证明或税务机关开具的完税证明（增值税、营业税、企业所得税至少提供一种）；依法免税的应提供相关证明文件。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政府采购活动前3年内没有重大违法记录书面声明</w:t>
            </w:r>
          </w:p>
        </w:tc>
        <w:tc>
          <w:tcPr>
            <w:tcW w:type="dxa" w:w="3322"/>
          </w:tcPr>
          <w:p>
            <w:pPr>
              <w:pStyle w:val="null3"/>
            </w:pPr>
            <w:r>
              <w:rPr>
                <w:rFonts w:ascii="仿宋_GB2312" w:hAnsi="仿宋_GB2312" w:cs="仿宋_GB2312" w:eastAsia="仿宋_GB2312"/>
              </w:rPr>
              <w:t>供应商在参加政府采购活动前三年内，在经营活动中没有重大违法记录的书面声明。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审计的赋码财务报告（包括审计报告、资产负债表、利润表、现金流量表、所有者权益变动表（没有可不提供）及附注，成立时间至投标文件提交截止时间不足一年的可提供成立后任意时段的资产负债表），或提交投标文件截止时间三个月内基本账户开户银行出具的资信证明及基本存款账户信息（以上两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供应商提供具有履行合同所必需的设备和专业技术能力的承诺。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供应商特殊资格要求</w:t>
            </w:r>
          </w:p>
        </w:tc>
        <w:tc>
          <w:tcPr>
            <w:tcW w:type="dxa" w:w="3322"/>
          </w:tcPr>
          <w:p>
            <w:pPr>
              <w:pStyle w:val="null3"/>
            </w:pPr>
            <w:r>
              <w:rPr>
                <w:rFonts w:ascii="仿宋_GB2312" w:hAnsi="仿宋_GB2312" w:cs="仿宋_GB2312" w:eastAsia="仿宋_GB2312"/>
              </w:rPr>
              <w:t>供应商须具备城乡规划（国土空间规划）编制单位乙级（含乙级）及以上资质证书，且证书在有效期内。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列入信用中国（www.creditchina.gov.cn）重大税收违法失信主体、在中国执行信息公开网（http://zxgk.court.gov.cn）未被列入失信被执行人及在中国政府采购网（www.ccgp.gov.cn）未被列入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控股关系证明</w:t>
            </w:r>
          </w:p>
        </w:tc>
        <w:tc>
          <w:tcPr>
            <w:tcW w:type="dxa" w:w="3322"/>
          </w:tcPr>
          <w:p>
            <w:pPr>
              <w:pStyle w:val="null3"/>
            </w:pPr>
            <w:r>
              <w:rPr>
                <w:rFonts w:ascii="仿宋_GB2312" w:hAnsi="仿宋_GB2312" w:cs="仿宋_GB2312" w:eastAsia="仿宋_GB2312"/>
              </w:rPr>
              <w:t>直接控股、管理关系：单位负责人为同一人或存在直接控股、管理关系的不同单位，不得同时参加本项目投标活动。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①投标报价低于全部通过符合性审查供应商投标报价平均值50%的，即投标报价〈全部通过符合性审查供应商投标报价平均值×50%； ②投标报价低于通过符合性审查的次低报价供应商投标报价50%的，即投标报价〈通过符合性审查的次低报价供应商投标报价×50%； ③投标报价低于采购项目最高限价45%的，即投标报价〈采购项目最高限价×45%；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并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开标一览表 投标方案.docx 投标函 采购内容及商务要求偏离表.docx 中小企业声明函 残疾人福利性单位声明函 业绩证明材料.docx 标的清单 投标文件封面 企业实力.docx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采购内容及商务要求偏离表.docx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投标内容要求符合招标文件要求或投标内容的服务指标应符合招标文件要求</w:t>
            </w:r>
          </w:p>
        </w:tc>
        <w:tc>
          <w:tcPr>
            <w:tcW w:type="dxa" w:w="1661"/>
          </w:tcPr>
          <w:p>
            <w:pPr>
              <w:pStyle w:val="null3"/>
            </w:pPr>
            <w:r>
              <w:rPr>
                <w:rFonts w:ascii="仿宋_GB2312" w:hAnsi="仿宋_GB2312" w:cs="仿宋_GB2312" w:eastAsia="仿宋_GB2312"/>
              </w:rPr>
              <w:t>采购内容及商务要求偏离表.docx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采购内容及商务要求偏离表.docx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采购内容及商务要求偏离表.docx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①项目理解②工作思路③工作原则④合理化建议。供应商提供的方案包含以上四项内容的得12分，每有一项内容缺失的扣3分，每有一处内容有缺陷的扣1分，扣完为止。注：以上缺陷是指存在方案内容描述错误，描述有歧义或逻辑有漏洞或表述不清，内容与本项目无关或内容不完整；方案内容在实际操作中不能运用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进度计划安排及保障措施</w:t>
            </w:r>
          </w:p>
        </w:tc>
        <w:tc>
          <w:tcPr>
            <w:tcW w:type="dxa" w:w="2492"/>
          </w:tcPr>
          <w:p>
            <w:pPr>
              <w:pStyle w:val="null3"/>
            </w:pPr>
            <w:r>
              <w:rPr>
                <w:rFonts w:ascii="仿宋_GB2312" w:hAnsi="仿宋_GB2312" w:cs="仿宋_GB2312" w:eastAsia="仿宋_GB2312"/>
              </w:rPr>
              <w:t>①项目进度安排②组织协调措施③成果按期完成保证措施。供应商提供的方案包含以上三项内容得9分，每有一项内容缺失的扣3分，每有一处内容有缺陷的扣 1分，扣完为止。注：以上缺陷是指存在方案内容描述错误，描述有歧义或逻辑有漏洞或表述不清，内容与本项目无关或内容不完整；方案内容在实际操作中不能运用等情形。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①质量管理目标②质量保证体系 ③质量保证措施。 供应商提供的方案包含以上三项内容得9分，每有一项内容缺失的扣3分，每有一处内容有缺陷的扣1分，扣完为止。注：以上缺陷是指存在方案内容描述错误，描述有歧义或逻辑有漏洞或表述不清，内容与本项目无关或内容不完整；方案内容在实际操作中不能运用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安全保障及应急措施</w:t>
            </w:r>
          </w:p>
        </w:tc>
        <w:tc>
          <w:tcPr>
            <w:tcW w:type="dxa" w:w="2492"/>
          </w:tcPr>
          <w:p>
            <w:pPr>
              <w:pStyle w:val="null3"/>
            </w:pPr>
            <w:r>
              <w:rPr>
                <w:rFonts w:ascii="仿宋_GB2312" w:hAnsi="仿宋_GB2312" w:cs="仿宋_GB2312" w:eastAsia="仿宋_GB2312"/>
              </w:rPr>
              <w:t>①安全管理目标；②安全保障措施；③突发情况的应急措施。供应商提供的方案包含以上三项内容得6分，每有一项内容缺失的扣2分，每有一处内容有缺陷的扣 1 分，扣完为止。注：以上缺陷是指存在方案内容描述错误，描述有歧义或逻辑有漏洞或表述不清，内容与本项目无关或内容不完整；方案内容在实际操作中不能运用等情形。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①售后服务内容及保证措施 ②服务承诺。供应商提供的售后服务及承诺包含以上两项内容得4分，每有一项内容缺失的扣2分，每有一处内容有缺陷的扣1分，扣完为止。注：以上缺陷是指存在方案内容描述错误，描述有歧义或逻辑有漏洞或表述不清，内容与本项目无关或内容不完整；方案内容在实际操作中不能运用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①供应商具有有效期内的AAA级企业信用等级证书得3分； 评审依据：以提供的AAA证书复印件或扫描件并加盖公章为准，未提供或不符合要求的不得分。 ②供应商具有有效期内的质量管理体系认证证书、环境管理体系认证证书、职业健康安全管理体系认证证书，每项得2分，本项满分6分。 评审依据：（以提供全国认证认可信息公共服务平台 （http://cx.cnca.cn/CertECloud/index/index/page）网站查询有效截图及证书复印件或扫描件并加盖公章为准，未提供或不符合要求的不得分。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项目负责人（7分）： ①具有城乡规划师注册证书得4分；②具有国土类或城乡规划类专业高级职称得3分；本项满分7分。 评审依据：①提供上述项目负责人注册证书、职称证书；②供应商为项目负责人在投标文件提交截止时间前3个月内任意一个月购买社保的证明材料） 以提供的证书复印件或扫描件并加盖公章为准。未提供或不符合要求的不得分。 项目组成人员（22分）： ①拟投入本项目团队专业技术人员具备城乡规划师注册证书，每提供一个得2分，本项满分12分； ②拟投入本项目团队专业技术人员具备以下任意专业职称（国土、规划、建筑、环境、给排水），每提供一个高级职称得2分，每提供一个中级职称得1分。 注：同一人具有不同专业不可累计得分，本项满分10分。 评审依据：①提供以上人员注册证书、职称证书；②供应商为以上人员在投标文件提交截止时间前3个月内任意一个月购买社保的证明材料）以提供的证书复印件或扫描件并加盖公章为准。未提供或不符合要求的不得分。</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供应商提供自（2023年1月1日至今）承担过生态修复相关业绩的，每提供1个有效业绩得4分，满分12分。 评审依据：有效业绩以提供的合同复印件或扫描件并加盖公章为准，业绩有效时间以合同签订时间为准，未提供或不符合要求的不得分。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并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有效供应商的最低报价（落实政府采购政策进行价格调整的，以调整后的价格计算）为基准价得10分，其他各供应商的报价得分按下列公式计算：（基准价/投标报价）×10％×100。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投标人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详见附件：采购内容及商务要求偏离表.docx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