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版本号：SXLX26-02-121Z(F)20260807001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2026年碑林区军队无军籍退休退职职工健康体检项目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SXLX26-02-121Z(F)</w:t>
      </w:r>
      <w:r>
        <w:br/>
      </w:r>
      <w:r>
        <w:br/>
      </w:r>
      <w:r>
        <w:br/>
      </w:r>
    </w:p>
    <w:p>
      <w:pPr>
        <w:pStyle w:val="null3"/>
        <w:jc w:val="center"/>
        <w:outlineLvl w:val="2"/>
      </w:pPr>
      <w:r>
        <w:rPr>
          <w:rFonts w:ascii="仿宋_GB2312" w:hAnsi="仿宋_GB2312" w:cs="仿宋_GB2312" w:eastAsia="仿宋_GB2312"/>
          <w:sz w:val="28"/>
          <w:b/>
        </w:rPr>
        <w:t>西安市碑林区退役军人事务局（本级）</w:t>
      </w:r>
    </w:p>
    <w:p>
      <w:pPr>
        <w:pStyle w:val="null3"/>
        <w:jc w:val="center"/>
        <w:outlineLvl w:val="2"/>
      </w:pPr>
      <w:r>
        <w:rPr>
          <w:rFonts w:ascii="仿宋_GB2312" w:hAnsi="仿宋_GB2312" w:cs="仿宋_GB2312" w:eastAsia="仿宋_GB2312"/>
          <w:sz w:val="28"/>
          <w:b/>
        </w:rPr>
        <w:t>陕西隆信项目管理有限公司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西安市碑林区退役军人事务局（本级）</w:t>
      </w:r>
      <w:r>
        <w:rPr>
          <w:rFonts w:ascii="仿宋_GB2312" w:hAnsi="仿宋_GB2312" w:cs="仿宋_GB2312" w:eastAsia="仿宋_GB2312"/>
        </w:rPr>
        <w:t>委托，拟对</w:t>
      </w:r>
      <w:r>
        <w:rPr>
          <w:rFonts w:ascii="仿宋_GB2312" w:hAnsi="仿宋_GB2312" w:cs="仿宋_GB2312" w:eastAsia="仿宋_GB2312"/>
        </w:rPr>
        <w:t>2026年碑林区军队无军籍退休退职职工健康体检项目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SXLX26-02-121Z(F)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2026年碑林区军队无军籍退休退职职工健康体检项目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军队无军籍退休退职职工服务管理办法》（民政部令第57号）有关规定，要求落实无军籍职工医疗等各项待遇，做好无军籍职工服务管理等工作。西安市碑林区退役军人事务局现有无军籍退休职工484人，为积极落实无军籍退休职工各项待遇，拟组织进行2026年度健康体检。</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采购包1（2026年碑林区军队无军籍退休退职职工健康体检项目）：属于专门面向中小企业采购。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1、特定资格要求：供应商应具有卫生行政部门核准登记取得的《医疗机构执业许可证》和《放射诊疗许可证》。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西安市碑林区退役军人事务局（本级）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西安市碑林区标新街119号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于晨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029-83231300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西安市雁塔区雁翔路111号赛格·中京坊6幢1单元2层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李耀华、王小琼、任甜、王真、杜航、郑婧婧、李亚男、罗晓妮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029-88489979-8202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皇甫力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采购包1：484,000.00元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代理服务费收费标准：依据《国家发展改革委关于进一步放开建设项目专业服务价格的通知》（发改价格〔2015〕299号）文件收取8000元整。 此服务费应计入响应报价中，但不需要单独开列。 请将采购代理服务费汇至下列指定账户： 开户名称：陕西隆信项目管理有限公司 开 户 行：招商银行股份有限公司西安土门支行 账 号：129904064810902 财务部电话：029-88489979-8501 （备注：项目名称+代理服务费）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西安市碑林区退役军人事务局（本级）</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西安市碑林区退役军人事务局（本级）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西安市碑林区退役军人事务局（本级）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（一）供应商保证对其出售的货物享有合法的权利且不会侵犯任何第三方的专利权、版权、商标权或其他权利。 （二）供应商保证对其出售的货物上不存在任何未曾向甲方透露的担保物权，如抵押权、质押权、留置权。 （三）如采购人在使用该货物构成上述侵权的，如出现侵犯第三方专利权、版权、商标权或其他权利，供应商承担全部责任和由此造成的一切损失，包括但不限于第三方权益补偿、采购人经济利益的减损、采购人为证实供应商之违约行为所支出的各项调查取证、公证费用，采购人为寻求救济而支付的诉讼费用、律师费用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按采购文件规定的方法和标准验收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联系人：李耀华、王小琼、任甜</w:t>
      </w:r>
    </w:p>
    <w:p>
      <w:pPr>
        <w:pStyle w:val="null3"/>
      </w:pPr>
      <w:r>
        <w:rPr>
          <w:rFonts w:ascii="仿宋_GB2312" w:hAnsi="仿宋_GB2312" w:cs="仿宋_GB2312" w:eastAsia="仿宋_GB2312"/>
        </w:rPr>
        <w:t>联系电话：029-88489979-8202</w:t>
      </w:r>
    </w:p>
    <w:p>
      <w:pPr>
        <w:pStyle w:val="null3"/>
      </w:pPr>
      <w:r>
        <w:rPr>
          <w:rFonts w:ascii="仿宋_GB2312" w:hAnsi="仿宋_GB2312" w:cs="仿宋_GB2312" w:eastAsia="仿宋_GB2312"/>
        </w:rPr>
        <w:t>地址：西安市雁塔区雁翔路111号赛格·中京坊6幢1单元2层</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军队无军籍退休退职职工服务管理办法》（民政部令第57号）有关规定，要求落实无军籍职工医疗等各项待遇，做好无军籍职工服务管理等工作。西安市碑林区退役军人事务局现有无军籍退休职工484人，为积极落实无军籍退休职工各项待遇，拟组织进行2026年度健康体检。</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484,000.00</w:t>
      </w:r>
    </w:p>
    <w:p>
      <w:pPr>
        <w:pStyle w:val="null3"/>
      </w:pPr>
      <w:r>
        <w:rPr>
          <w:rFonts w:ascii="仿宋_GB2312" w:hAnsi="仿宋_GB2312" w:cs="仿宋_GB2312" w:eastAsia="仿宋_GB2312"/>
        </w:rPr>
        <w:t>采购包最高限价（元）: 484,000.00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2026年碑林区军队无军籍退休退职职工健康体检</w:t>
            </w:r>
          </w:p>
        </w:tc>
        <w:tc>
          <w:tcPr>
            <w:tcW w:type="dxa" w:w="755"/>
          </w:tcPr>
          <w:p>
            <w:pPr>
              <w:pStyle w:val="null3"/>
              <w:jc w:val="right"/>
            </w:pPr>
            <w:r>
              <w:rPr>
                <w:rFonts w:ascii="仿宋_GB2312" w:hAnsi="仿宋_GB2312" w:cs="仿宋_GB2312" w:eastAsia="仿宋_GB2312"/>
              </w:rPr>
              <w:t>484.00</w:t>
            </w:r>
          </w:p>
        </w:tc>
        <w:tc>
          <w:tcPr>
            <w:tcW w:type="dxa" w:w="755"/>
          </w:tcPr>
          <w:p>
            <w:pPr>
              <w:pStyle w:val="null3"/>
              <w:jc w:val="right"/>
            </w:pPr>
            <w:r>
              <w:rPr>
                <w:rFonts w:ascii="仿宋_GB2312" w:hAnsi="仿宋_GB2312" w:cs="仿宋_GB2312" w:eastAsia="仿宋_GB2312"/>
              </w:rPr>
              <w:t>484,000.00</w:t>
            </w:r>
          </w:p>
        </w:tc>
        <w:tc>
          <w:tcPr>
            <w:tcW w:type="dxa" w:w="755"/>
          </w:tcPr>
          <w:p>
            <w:pPr>
              <w:pStyle w:val="null3"/>
            </w:pPr>
            <w:r>
              <w:rPr>
                <w:rFonts w:ascii="仿宋_GB2312" w:hAnsi="仿宋_GB2312" w:cs="仿宋_GB2312" w:eastAsia="仿宋_GB2312"/>
              </w:rPr>
              <w:t>人</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标的名称：2026年碑林区军队无军籍退休退职职工健康体检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一、服务内容</w:t>
            </w:r>
          </w:p>
          <w:p>
            <w:pPr>
              <w:pStyle w:val="null3"/>
              <w:jc w:val="both"/>
            </w:pPr>
            <w:r>
              <w:rPr>
                <w:rFonts w:ascii="仿宋_GB2312" w:hAnsi="仿宋_GB2312" w:cs="仿宋_GB2312" w:eastAsia="仿宋_GB2312"/>
                <w:sz w:val="20"/>
              </w:rPr>
              <w:t>1.服务对象：无军籍退休职工484人。男性98人，女性386人；单人体检报价的最高限价：1000元/人。</w:t>
            </w:r>
          </w:p>
          <w:p>
            <w:pPr>
              <w:pStyle w:val="null3"/>
              <w:jc w:val="both"/>
            </w:pPr>
            <w:r>
              <w:rPr>
                <w:rFonts w:ascii="仿宋_GB2312" w:hAnsi="仿宋_GB2312" w:cs="仿宋_GB2312" w:eastAsia="仿宋_GB2312"/>
                <w:sz w:val="20"/>
              </w:rPr>
              <w:t>2.体检内容：详见附件</w:t>
            </w:r>
          </w:p>
          <w:p>
            <w:pPr>
              <w:pStyle w:val="null3"/>
              <w:jc w:val="both"/>
            </w:pPr>
            <w:r>
              <w:rPr>
                <w:rFonts w:ascii="仿宋_GB2312" w:hAnsi="仿宋_GB2312" w:cs="仿宋_GB2312" w:eastAsia="仿宋_GB2312"/>
                <w:sz w:val="20"/>
              </w:rPr>
              <w:t>二、服务要求</w:t>
            </w:r>
          </w:p>
          <w:p>
            <w:pPr>
              <w:pStyle w:val="null3"/>
              <w:jc w:val="both"/>
            </w:pPr>
            <w:r>
              <w:rPr>
                <w:rFonts w:ascii="仿宋_GB2312" w:hAnsi="仿宋_GB2312" w:cs="仿宋_GB2312" w:eastAsia="仿宋_GB2312"/>
                <w:sz w:val="20"/>
              </w:rPr>
              <w:t>1.本次体检应在当地进行，在体检期间做好标识标牌，保证参检人员方便快捷进行各项体检。</w:t>
            </w:r>
          </w:p>
          <w:p>
            <w:pPr>
              <w:pStyle w:val="null3"/>
              <w:jc w:val="both"/>
            </w:pPr>
            <w:r>
              <w:rPr>
                <w:rFonts w:ascii="仿宋_GB2312" w:hAnsi="仿宋_GB2312" w:cs="仿宋_GB2312" w:eastAsia="仿宋_GB2312"/>
                <w:sz w:val="20"/>
              </w:rPr>
              <w:t>2.体检机构应对参检人员信息进行核对，确认核对是本人后方可体检。</w:t>
            </w:r>
          </w:p>
          <w:p>
            <w:pPr>
              <w:pStyle w:val="null3"/>
              <w:jc w:val="both"/>
            </w:pPr>
            <w:r>
              <w:rPr>
                <w:rFonts w:ascii="仿宋_GB2312" w:hAnsi="仿宋_GB2312" w:cs="仿宋_GB2312" w:eastAsia="仿宋_GB2312"/>
                <w:sz w:val="20"/>
              </w:rPr>
              <w:t>3.本着科学、严谨的工作态度，严格按医疗规范标准执行，确保向参检人员提供切实可信的体检，涉及到个人隐私应告知本人，不得向第三方传播。</w:t>
            </w:r>
          </w:p>
          <w:p>
            <w:pPr>
              <w:pStyle w:val="null3"/>
              <w:jc w:val="both"/>
            </w:pPr>
            <w:r>
              <w:rPr>
                <w:rFonts w:ascii="仿宋_GB2312" w:hAnsi="仿宋_GB2312" w:cs="仿宋_GB2312" w:eastAsia="仿宋_GB2312"/>
                <w:sz w:val="20"/>
              </w:rPr>
              <w:t>4.按规定的检查项目内容为参检人员提供对应的体检服务和体检器材,保证一人一针一管（器），用于医疗活动的器材需要符合《医疗器械监督管理条例》和相关的国家标准，确保产品的安全性和有效性。</w:t>
            </w:r>
          </w:p>
          <w:p>
            <w:pPr>
              <w:pStyle w:val="null3"/>
              <w:jc w:val="both"/>
            </w:pPr>
            <w:r>
              <w:rPr>
                <w:rFonts w:ascii="仿宋_GB2312" w:hAnsi="仿宋_GB2312" w:cs="仿宋_GB2312" w:eastAsia="仿宋_GB2312"/>
                <w:sz w:val="20"/>
              </w:rPr>
              <w:t>5.在所有人员体检完成后，及时以短信等电子形式将个人检查结论告知本人，并为所有参检人员出具体检报告。</w:t>
            </w:r>
          </w:p>
          <w:p>
            <w:pPr>
              <w:pStyle w:val="null3"/>
              <w:jc w:val="both"/>
            </w:pPr>
            <w:r>
              <w:rPr>
                <w:rFonts w:ascii="仿宋_GB2312" w:hAnsi="仿宋_GB2312" w:cs="仿宋_GB2312" w:eastAsia="仿宋_GB2312"/>
                <w:sz w:val="20"/>
              </w:rPr>
              <w:t>6.绿色通道：对集中体检及行动不便的体检者可预约车接车送；</w:t>
            </w:r>
          </w:p>
          <w:p>
            <w:pPr>
              <w:pStyle w:val="null3"/>
              <w:jc w:val="both"/>
            </w:pPr>
            <w:r>
              <w:rPr>
                <w:rFonts w:ascii="仿宋_GB2312" w:hAnsi="仿宋_GB2312" w:cs="仿宋_GB2312" w:eastAsia="仿宋_GB2312"/>
                <w:sz w:val="20"/>
              </w:rPr>
              <w:t>7.为体检人员提供早餐；</w:t>
            </w:r>
          </w:p>
          <w:p>
            <w:pPr>
              <w:pStyle w:val="null3"/>
              <w:jc w:val="both"/>
            </w:pPr>
            <w:r>
              <w:rPr>
                <w:rFonts w:ascii="仿宋_GB2312" w:hAnsi="仿宋_GB2312" w:cs="仿宋_GB2312" w:eastAsia="仿宋_GB2312"/>
                <w:sz w:val="20"/>
              </w:rPr>
              <w:t>8.对80岁以上年老体弱的人员有专人陪同，全程引导体检并提供1对1服务；</w:t>
            </w:r>
          </w:p>
          <w:p>
            <w:pPr>
              <w:pStyle w:val="null3"/>
            </w:pPr>
            <w:r>
              <w:rPr>
                <w:rFonts w:ascii="仿宋_GB2312" w:hAnsi="仿宋_GB2312" w:cs="仿宋_GB2312" w:eastAsia="仿宋_GB2312"/>
                <w:sz w:val="20"/>
                <w:color w:val="000000"/>
              </w:rPr>
              <w:t>9.出具单位总检报告，内容包括但不限于单位体检人员总体体检情况、各年龄段人员多发和需重点关照疾病及相关预防治疗方法等；</w:t>
            </w:r>
          </w:p>
          <w:p>
            <w:pPr>
              <w:pStyle w:val="null3"/>
              <w:jc w:val="both"/>
            </w:pPr>
            <w:r>
              <w:rPr>
                <w:rFonts w:ascii="仿宋_GB2312" w:hAnsi="仿宋_GB2312" w:cs="仿宋_GB2312" w:eastAsia="仿宋_GB2312"/>
                <w:sz w:val="20"/>
              </w:rPr>
              <w:t>10.体检后上门服务内容</w:t>
            </w:r>
          </w:p>
          <w:p>
            <w:pPr>
              <w:pStyle w:val="null3"/>
              <w:jc w:val="both"/>
            </w:pPr>
            <w:r>
              <w:rPr>
                <w:rFonts w:ascii="仿宋_GB2312" w:hAnsi="仿宋_GB2312" w:cs="仿宋_GB2312" w:eastAsia="仿宋_GB2312"/>
                <w:sz w:val="20"/>
              </w:rPr>
              <w:t>①一对一报告解读：在所有人员收到报告后，安排医生提供一对一报告解读服务。</w:t>
            </w:r>
          </w:p>
          <w:p>
            <w:pPr>
              <w:pStyle w:val="null3"/>
              <w:jc w:val="both"/>
            </w:pPr>
            <w:r>
              <w:rPr>
                <w:rFonts w:ascii="仿宋_GB2312" w:hAnsi="仿宋_GB2312" w:cs="仿宋_GB2312" w:eastAsia="仿宋_GB2312"/>
                <w:sz w:val="20"/>
              </w:rPr>
              <w:t>②设有专人负责检后重大疾病筛查、重疾预警提醒，并及时通知本人及采购人。</w:t>
            </w:r>
          </w:p>
          <w:p>
            <w:pPr>
              <w:pStyle w:val="null3"/>
              <w:jc w:val="both"/>
            </w:pPr>
            <w:r>
              <w:rPr>
                <w:rFonts w:ascii="仿宋_GB2312" w:hAnsi="仿宋_GB2312" w:cs="仿宋_GB2312" w:eastAsia="仿宋_GB2312"/>
                <w:sz w:val="20"/>
              </w:rPr>
              <w:t>11.其他要求</w:t>
            </w:r>
          </w:p>
          <w:p>
            <w:pPr>
              <w:pStyle w:val="null3"/>
            </w:pPr>
            <w:r>
              <w:rPr>
                <w:rFonts w:ascii="仿宋_GB2312" w:hAnsi="仿宋_GB2312" w:cs="仿宋_GB2312" w:eastAsia="仿宋_GB2312"/>
                <w:sz w:val="20"/>
                <w:color w:val="000000"/>
              </w:rPr>
              <w:t>①若体检现场参检人员突发疾病、检测仪器故障及其他不可抗力引发的各类突发状况建立应急处置方案；同时制定大批量参检人员集中到检的分流疏导方案，保障体检全过程安全、平稳、有序开展。</w:t>
            </w:r>
          </w:p>
          <w:p>
            <w:pPr>
              <w:pStyle w:val="null3"/>
              <w:jc w:val="both"/>
            </w:pPr>
            <w:r>
              <w:rPr>
                <w:rFonts w:ascii="仿宋_GB2312" w:hAnsi="仿宋_GB2312" w:cs="仿宋_GB2312" w:eastAsia="仿宋_GB2312"/>
                <w:sz w:val="20"/>
                <w:color w:val="000000"/>
              </w:rPr>
              <w:t>②供应商应建立体检后服务对接机制，畅通流转联络渠道，落实报告编制、解读、随访服务，做好时效、保密、台账、投诉处置及回访保障。</w:t>
            </w:r>
          </w:p>
          <w:p>
            <w:pPr>
              <w:pStyle w:val="null3"/>
              <w:jc w:val="both"/>
            </w:pPr>
            <w:r>
              <w:rPr>
                <w:rFonts w:ascii="仿宋_GB2312" w:hAnsi="仿宋_GB2312" w:cs="仿宋_GB2312" w:eastAsia="仿宋_GB2312"/>
                <w:sz w:val="20"/>
                <w:b/>
                <w:color w:val="000000"/>
              </w:rPr>
              <w:t>附件</w:t>
            </w:r>
            <w:r>
              <w:rPr>
                <w:rFonts w:ascii="仿宋_GB2312" w:hAnsi="仿宋_GB2312" w:cs="仿宋_GB2312" w:eastAsia="仿宋_GB2312"/>
                <w:sz w:val="20"/>
                <w:b/>
                <w:color w:val="000000"/>
              </w:rPr>
              <w:t>1：男士体检套餐项目明细</w:t>
            </w:r>
          </w:p>
          <w:tbl>
            <w:tblPr>
              <w:tblBorders>
                <w:top w:val="none" w:color="000000" w:sz="4"/>
                <w:left w:val="none" w:color="000000" w:sz="4"/>
                <w:bottom w:val="none" w:color="000000" w:sz="4"/>
                <w:right w:val="none" w:color="000000" w:sz="4"/>
                <w:insideH w:val="none"/>
                <w:insideV w:val="none"/>
              </w:tblBorders>
            </w:tblPr>
            <w:tblGrid>
              <w:gridCol w:w="612"/>
              <w:gridCol w:w="1186"/>
              <w:gridCol w:w="755"/>
            </w:tblGrid>
            <w:tr>
              <w:tc>
                <w:tcPr>
                  <w:tcW w:type="dxa" w:w="2553"/>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男士体检套餐项目明细</w:t>
                  </w:r>
                </w:p>
              </w:tc>
            </w:tr>
            <w:tr>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体检类别</w:t>
                  </w:r>
                </w:p>
              </w:tc>
              <w:tc>
                <w:tcPr>
                  <w:tcW w:type="dxa" w:w="11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体检项目名称</w:t>
                  </w:r>
                </w:p>
              </w:tc>
              <w:tc>
                <w:tcPr>
                  <w:tcW w:type="dxa" w:w="7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备注</w:t>
                  </w:r>
                </w:p>
              </w:tc>
            </w:tr>
            <w:tr>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一般检查</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一般检查</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口腔</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口腔检查</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内科</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内科</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眼科</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眼科常规</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vMerge/>
                  <w:tcBorders>
                    <w:top w:val="none" w:color="000000" w:sz="4"/>
                    <w:left w:val="single" w:color="000000" w:sz="4"/>
                    <w:bottom w:val="single" w:color="000000" w:sz="4"/>
                    <w:right w:val="single" w:color="000000" w:sz="4"/>
                  </w:tcBorders>
                </w:tcP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眼底检查</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血常规</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血常规</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尿常规</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尿常规</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血糖</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葡萄糖测定（空腹）</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血脂</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血脂四项</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肝功能</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肝功十三项</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肾功能</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肾功三项</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心脑血管检测</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心肌酶三项</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vMerge/>
                  <w:tcBorders>
                    <w:top w:val="none" w:color="000000" w:sz="4"/>
                    <w:left w:val="single" w:color="000000" w:sz="4"/>
                    <w:bottom w:val="single" w:color="000000" w:sz="4"/>
                    <w:right w:val="single" w:color="000000" w:sz="4"/>
                  </w:tcBorders>
                </w:tcP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血同型半胱氨酸</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肿瘤标志物</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甲胎蛋白</w:t>
                  </w:r>
                  <w:r>
                    <w:rPr>
                      <w:rFonts w:ascii="仿宋_GB2312" w:hAnsi="仿宋_GB2312" w:cs="仿宋_GB2312" w:eastAsia="仿宋_GB2312"/>
                      <w:sz w:val="20"/>
                      <w:color w:val="000000"/>
                    </w:rPr>
                    <w:t>(AFP)定性</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vMerge/>
                  <w:tcBorders>
                    <w:top w:val="none" w:color="000000" w:sz="4"/>
                    <w:left w:val="single" w:color="000000" w:sz="4"/>
                    <w:bottom w:val="single" w:color="000000" w:sz="4"/>
                    <w:right w:val="single" w:color="000000" w:sz="4"/>
                  </w:tcBorders>
                </w:tcP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癌胚抗原</w:t>
                  </w:r>
                  <w:r>
                    <w:rPr>
                      <w:rFonts w:ascii="仿宋_GB2312" w:hAnsi="仿宋_GB2312" w:cs="仿宋_GB2312" w:eastAsia="仿宋_GB2312"/>
                      <w:sz w:val="20"/>
                      <w:color w:val="000000"/>
                    </w:rPr>
                    <w:t>(CEA)定性</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幽门螺杆菌</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C14呼气试验</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动脉硬化检查</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动脉硬化检查</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心电图</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常规心电图</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彩超</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腹部彩超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vMerge/>
                  <w:tcBorders>
                    <w:top w:val="none" w:color="000000" w:sz="4"/>
                    <w:left w:val="single" w:color="000000" w:sz="4"/>
                    <w:bottom w:val="single" w:color="000000" w:sz="4"/>
                    <w:right w:val="single" w:color="000000" w:sz="4"/>
                  </w:tcBorders>
                </w:tcP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泌尿系彩超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vMerge/>
                  <w:tcBorders>
                    <w:top w:val="none" w:color="000000" w:sz="4"/>
                    <w:left w:val="single" w:color="000000" w:sz="4"/>
                    <w:bottom w:val="single" w:color="000000" w:sz="4"/>
                    <w:right w:val="single" w:color="000000" w:sz="4"/>
                  </w:tcBorders>
                </w:tcP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甲状腺彩超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vMerge/>
                  <w:tcBorders>
                    <w:top w:val="none" w:color="000000" w:sz="4"/>
                    <w:left w:val="single" w:color="000000" w:sz="4"/>
                    <w:bottom w:val="single" w:color="000000" w:sz="4"/>
                    <w:right w:val="single" w:color="000000" w:sz="4"/>
                  </w:tcBorders>
                </w:tcP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心脏彩超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vMerge/>
                  <w:tcBorders>
                    <w:top w:val="none" w:color="000000" w:sz="4"/>
                    <w:left w:val="single" w:color="000000" w:sz="4"/>
                    <w:bottom w:val="single" w:color="000000" w:sz="4"/>
                    <w:right w:val="single" w:color="000000" w:sz="4"/>
                  </w:tcBorders>
                </w:tcP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颈动脉彩超</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CT</w:t>
                  </w: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CT胸部平扫</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vMerge/>
                  <w:tcBorders>
                    <w:top w:val="none" w:color="000000" w:sz="4"/>
                    <w:left w:val="single" w:color="000000" w:sz="4"/>
                    <w:bottom w:val="none" w:color="000000" w:sz="4"/>
                    <w:right w:val="single" w:color="000000" w:sz="4"/>
                  </w:tcBorders>
                </w:tcP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CT头颅平扫</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612"/>
                  <w:vMerge/>
                  <w:tcBorders>
                    <w:top w:val="none" w:color="000000" w:sz="4"/>
                    <w:left w:val="single" w:color="000000" w:sz="4"/>
                    <w:bottom w:val="none" w:color="000000" w:sz="4"/>
                    <w:right w:val="single" w:color="000000" w:sz="4"/>
                  </w:tcBorders>
                </w:tcPr>
                <w:p/>
              </w:tc>
              <w:tc>
                <w:tcPr>
                  <w:tcW w:type="dxa" w:w="1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钙化积分冠心病筛查</w:t>
                  </w:r>
                </w:p>
              </w:tc>
              <w:tc>
                <w:tcPr>
                  <w:tcW w:type="dxa" w:w="7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jc w:val="both"/>
            </w:pPr>
            <w:r>
              <w:rPr>
                <w:rFonts w:ascii="仿宋_GB2312" w:hAnsi="仿宋_GB2312" w:cs="仿宋_GB2312" w:eastAsia="仿宋_GB2312"/>
                <w:sz w:val="20"/>
                <w:b/>
                <w:color w:val="000000"/>
              </w:rPr>
              <w:t>附件</w:t>
            </w:r>
            <w:r>
              <w:rPr>
                <w:rFonts w:ascii="仿宋_GB2312" w:hAnsi="仿宋_GB2312" w:cs="仿宋_GB2312" w:eastAsia="仿宋_GB2312"/>
                <w:sz w:val="20"/>
                <w:b/>
                <w:color w:val="000000"/>
              </w:rPr>
              <w:t>2：女士体检套餐项目明细</w:t>
            </w:r>
          </w:p>
          <w:tbl>
            <w:tblPr>
              <w:tblBorders>
                <w:top w:val="none" w:color="000000" w:sz="4"/>
                <w:left w:val="none" w:color="000000" w:sz="4"/>
                <w:bottom w:val="none" w:color="000000" w:sz="4"/>
                <w:right w:val="none" w:color="000000" w:sz="4"/>
                <w:insideH w:val="none"/>
                <w:insideV w:val="none"/>
              </w:tblBorders>
            </w:tblPr>
            <w:tblGrid>
              <w:gridCol w:w="533"/>
              <w:gridCol w:w="1057"/>
              <w:gridCol w:w="962"/>
            </w:tblGrid>
            <w:tr>
              <w:tc>
                <w:tcPr>
                  <w:tcW w:type="dxa" w:w="2552"/>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女士体检套餐项目明细</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体检类别</w:t>
                  </w:r>
                </w:p>
              </w:tc>
              <w:tc>
                <w:tcPr>
                  <w:tcW w:type="dxa" w:w="10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体检项目名称</w:t>
                  </w:r>
                </w:p>
              </w:tc>
              <w:tc>
                <w:tcPr>
                  <w:tcW w:type="dxa" w:w="9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备注</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一般检查</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一般检查</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口腔</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口腔检查</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内科</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内科</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眼科</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眼科常规</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3"/>
                  <w:vMerge/>
                  <w:tcBorders>
                    <w:top w:val="none" w:color="000000" w:sz="4"/>
                    <w:left w:val="singl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眼底检查</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妇科</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妇科检查</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3"/>
                  <w:vMerge/>
                  <w:tcBorders>
                    <w:top w:val="none" w:color="000000" w:sz="4"/>
                    <w:left w:val="single" w:color="000000" w:sz="4"/>
                    <w:bottom w:val="non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白带常规</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3"/>
                  <w:vMerge/>
                  <w:tcBorders>
                    <w:top w:val="none" w:color="000000" w:sz="4"/>
                    <w:left w:val="single" w:color="000000" w:sz="4"/>
                    <w:bottom w:val="non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宫颈刮片</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血常规</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血常规</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尿常规</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尿常规</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血糖</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葡萄糖测定（空腹）</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血脂</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血脂四项</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肝功能</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肝功十三项</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肾功能</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肾功三项</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心脑血管检测</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心肌酶三项</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3"/>
                  <w:vMerge/>
                  <w:tcBorders>
                    <w:top w:val="none" w:color="000000" w:sz="4"/>
                    <w:left w:val="singl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血同型半胱氨酸</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肿瘤标志物</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甲胎蛋白</w:t>
                  </w:r>
                  <w:r>
                    <w:rPr>
                      <w:rFonts w:ascii="仿宋_GB2312" w:hAnsi="仿宋_GB2312" w:cs="仿宋_GB2312" w:eastAsia="仿宋_GB2312"/>
                      <w:sz w:val="20"/>
                      <w:color w:val="000000"/>
                    </w:rPr>
                    <w:t>(AFP)定性</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3"/>
                  <w:vMerge/>
                  <w:tcBorders>
                    <w:top w:val="none" w:color="000000" w:sz="4"/>
                    <w:left w:val="singl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癌胚抗原</w:t>
                  </w:r>
                  <w:r>
                    <w:rPr>
                      <w:rFonts w:ascii="仿宋_GB2312" w:hAnsi="仿宋_GB2312" w:cs="仿宋_GB2312" w:eastAsia="仿宋_GB2312"/>
                      <w:sz w:val="20"/>
                      <w:color w:val="000000"/>
                    </w:rPr>
                    <w:t>(CEA)定性</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幽门螺杆菌</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C14呼气试验</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动脉硬化检查</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动脉硬化检查</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心电图</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常规心电图</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彩超</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腹部彩超</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3"/>
                  <w:vMerge/>
                  <w:tcBorders>
                    <w:top w:val="none" w:color="000000" w:sz="4"/>
                    <w:left w:val="singl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子宫附件彩超</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3"/>
                  <w:vMerge/>
                  <w:tcBorders>
                    <w:top w:val="none" w:color="000000" w:sz="4"/>
                    <w:left w:val="singl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乳腺彩超</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3"/>
                  <w:vMerge/>
                  <w:tcBorders>
                    <w:top w:val="none" w:color="000000" w:sz="4"/>
                    <w:left w:val="singl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甲状腺彩超</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3"/>
                  <w:vMerge/>
                  <w:tcBorders>
                    <w:top w:val="none" w:color="000000" w:sz="4"/>
                    <w:left w:val="singl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心脏彩超</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3"/>
                  <w:vMerge/>
                  <w:tcBorders>
                    <w:top w:val="none" w:color="000000" w:sz="4"/>
                    <w:left w:val="single" w:color="000000" w:sz="4"/>
                    <w:bottom w:val="singl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颈动脉彩超</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3"/>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CT</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CT胸部平扫</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3"/>
                  <w:vMerge/>
                  <w:tcBorders>
                    <w:top w:val="none" w:color="000000" w:sz="4"/>
                    <w:left w:val="single" w:color="000000" w:sz="4"/>
                    <w:bottom w:val="non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CT头颅平扫</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33"/>
                  <w:vMerge/>
                  <w:tcBorders>
                    <w:top w:val="none" w:color="000000" w:sz="4"/>
                    <w:left w:val="single" w:color="000000" w:sz="4"/>
                    <w:bottom w:val="none" w:color="000000" w:sz="4"/>
                    <w:right w:val="single" w:color="000000" w:sz="4"/>
                  </w:tcBorders>
                </w:tcP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钙化积分冠心病筛查</w:t>
                  </w:r>
                </w:p>
              </w:tc>
              <w:tc>
                <w:tcPr>
                  <w:tcW w:type="dxa" w:w="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对本项目所配备人员数量合理、资质符合要求、经验丰富。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供应商根据项目采购项目特性及要求，自行配置投入履行合同所必需的各类设施设备，保证项目顺利实施。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本项目标的所属行业为：其他未列明行业。从业人员300人以下的为中小微型企业。其中，从业人员100人及以上的为中型企业；从业人员10人及以上的为小型企业；从业人员10人以下的为微型企业。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成交供应商提供的体检场所</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另一个重要依据。没有国家标准的，可以参考行业标准。采购人根据采购文件、合同等相关文件，进行验收，确认服务标准和服务方式是否达到采购要求。服务商须接受采购人对相关服务的各类考核或检查；若服务结果验收不通过或质量不符合采购要求，服务商应在一定期限内以采购人要求的标准进行整改或完善，并再次进行考核或检查，若服务商在接受检查整改后最终仍未按要求提供符合要求的服务，采购人有权按违约予以撤项，由此产生的一切责任和费用均由服务商承担。具体按拟签订采购合同相关条款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其他，合同签订后，乙方向甲方出具合法有效的完税发票，达到付款条件起10个工作日内，支付合同总金额的100.0%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详见采购文件和合同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成交供应商在领取成交通知书时提供纸质版响应文件2套，应通过专用制作软件直接打印，确保与电子投标（响应）文件保持一致，不允许修改和补充。提交地点：陕西省西安市雁塔区雁翔路111号赛格·中京坊公寓A座一单元二层招标二部。二、供应商的磋商报价包括人工费、设备费、管理费、交通费、验收费、体检费、服务费（含售后）、采购代理服务费、税金、利润、风险、责任等所有费用；在提供服务的过程中的任何遗漏，均由成交供应商免费提供，采购人将不再支付任何费用。三、磋商有效期1.出现特殊情况需要延长磋商有效期的，采购代理机构或采购人可于磋商有效期满之前，以书面形式通知所有供应商延长磋商有效期。供应商应予书面答复，同意延长的，应相应延长其磋商保证金有效期，但不得要求或被允许修改其响应文件；供应商拒绝延长的，其响应文件失效，递交磋商保证金的，供应商有权收回其磋商保证金。2.在磋商有效期内，供应商撤销响应文件的，应承担磋商文件和法律规定的责任。3.成交供应商的磋商有效期自动延长至合同终止为止。四、合格供应商少于3家的处理1.评审过程中，若出现合格供应商只有2家时，符合《政府采购竞争性磋商采购方式管理暂行办法》第3条第4项情形的，或者本项目为政府购买服务指导性目录中的，可以继续进行；只有1家时，采购人应依法重新组织采购活动。2.评审过程中，除符合第1条规定情形外，若出现合格供应商少于3家时，采购人应依法重新组织采购活动。五、分公司独立参与磋商时，不能使用总公司的资质或业绩；总公司授权分公司或分支机构参与磋商，可以使用总公司的资质或业绩。总公司单独参与磋商时，可以使用分公司的业绩，在相关资质证书的管理要求和适用范围内可以使用分公司资质。六、恶意质疑、投诉的法律后果1.对捏造事实、提供虚假材料进行质疑、投诉的行为将予以严肃处理：《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2.对捏造事实诬告陷害他人、诽谤他人的法律适用：（1）《中华人民共和国刑法》第243条【诬告陷害罪】捏造事实诬告陷害他人，意图使他人受刑事追究，情节严重的，处三年以下有期徒刑、拘役或者管制；造成严重后果的，处三年以上十年以下有期徒刑。（2）《中华人民共和国刑法》第246条【侮辱罪、诽谤罪】以暴力或者其他方法公然侮辱他人或者捏造事实诽谤他人，情节严重的，处三年以下有期徒刑、拘役、管制或者剥夺政治权利。七、签名是指手写签名或者加盖签名章(含电子)，盖章是指加盖单位印章。八、资格审查小组说明：1、根据《中华人民共和国政府采购法》第二十三条规定，采购人应依法对供应商的资格进行审查。经采购人授权，资格审查工作可由资格审查小组完成。2、资格审查小组，由经采购人授权的采购人代表和采购代理机构工作人员组成，由采购代理机构项目经理担任资格审查小组组长。3、资格审查小组成立后，全体小组成员应当在签到表中签到。九、关于采购文件一次报价规定如下：报价出现下列情况的，不需要供应商澄清，按以下原则处理：1.报价中的大写金额和小写金额不一致的，以大写金额为准，但大写金额出现文字错误，导致金额无法判断的除外；2.单价金额小数点或者百分比有明显错位的，应以总价为准，并修改单价；3.总价金额与按单价汇总金额不一致的，以单价汇总金额计算结果为准。同时出现两种以上不一致的，按照前款规定的顺序修正。修正后的报价经加盖供应商(法定名称)电子印章后产生约束力，供应商不确认的，其报价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供应商的营业执照等证明文件。</w:t>
            </w:r>
          </w:p>
        </w:tc>
        <w:tc>
          <w:tcPr>
            <w:tcW w:type="dxa" w:w="3322"/>
          </w:tcPr>
          <w:p>
            <w:pPr>
              <w:pStyle w:val="null3"/>
            </w:pPr>
            <w:r>
              <w:rPr>
                <w:rFonts w:ascii="仿宋_GB2312" w:hAnsi="仿宋_GB2312" w:cs="仿宋_GB2312" w:eastAsia="仿宋_GB2312"/>
              </w:rPr>
              <w:t>根据“资格证明文件”中提供的要求和说明，提供符合条件且合法有效的主体资格证明材料。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法定代表人（单位负责人）参加磋商的，提供本人身份证复印件；法定代表人（单位负责人）授权他人参加磋商的，提供法定代表人（单位负责人）委托授权书及被授权代表的身份证复印件。</w:t>
            </w:r>
          </w:p>
        </w:tc>
        <w:tc>
          <w:tcPr>
            <w:tcW w:type="dxa" w:w="3322"/>
          </w:tcPr>
          <w:p>
            <w:pPr>
              <w:pStyle w:val="null3"/>
            </w:pPr>
            <w:r>
              <w:rPr>
                <w:rFonts w:ascii="仿宋_GB2312" w:hAnsi="仿宋_GB2312" w:cs="仿宋_GB2312" w:eastAsia="仿宋_GB2312"/>
              </w:rPr>
              <w:t>根据“资格证明文件”中提供的格式和说明，提供符合条件的证明材料。 (说明：按照电子化全流程要求，投标（响应）文件递交时，签到的人员信息应为法定代表人或授权委托人，否则，按无效响应（投标）文件处理)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根据“资格证明文件”中提供的要求和说明，提供符合条件且合法有效的财务状况证明材料。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根据“资格证明文件”中提供的要求和说明，提供符合条件且合法有效的税收缴纳证明材料。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根据“资格证明文件”中提供的要求和说明，提供符合条件且合法有效的社会保障资金缴纳证明材料。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具备履行合同所必需的设备和专业技术能力的声明。</w:t>
            </w:r>
          </w:p>
        </w:tc>
        <w:tc>
          <w:tcPr>
            <w:tcW w:type="dxa" w:w="3322"/>
          </w:tcPr>
          <w:p>
            <w:pPr>
              <w:pStyle w:val="null3"/>
            </w:pPr>
            <w:r>
              <w:rPr>
                <w:rFonts w:ascii="仿宋_GB2312" w:hAnsi="仿宋_GB2312" w:cs="仿宋_GB2312" w:eastAsia="仿宋_GB2312"/>
              </w:rPr>
              <w:t>按采购文件提供的格式进行响应声明。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参加本次采购活动前3年内，在经营活动中没有重大违法记录的书面声明。</w:t>
            </w:r>
          </w:p>
        </w:tc>
        <w:tc>
          <w:tcPr>
            <w:tcW w:type="dxa" w:w="3322"/>
          </w:tcPr>
          <w:p>
            <w:pPr>
              <w:pStyle w:val="null3"/>
            </w:pPr>
            <w:r>
              <w:rPr>
                <w:rFonts w:ascii="仿宋_GB2312" w:hAnsi="仿宋_GB2312" w:cs="仿宋_GB2312" w:eastAsia="仿宋_GB2312"/>
              </w:rPr>
              <w:t>按采购文件提供的格式进行响应声明。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被列入“信用中国”网站(https：//www.creditchina.gov.cn/)“失信被执行人”(页面跳转至“中国执行信息公开网”http：//zxgk.court.gov.cn/shixin/)、“重大税收违法失信主体”；不得处于中国政府采购网(http：//www.ccgp.gov.cn/)“政府采购严重违法失信行为记录名单”中的禁止参加政府采购活动期间。</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供应商应具有卫生行政部门核准登记取得的《医疗机构执业许可证》和《放射诊疗许可证》。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响应函符合采购文件中签名盖章要求</w:t>
            </w:r>
          </w:p>
        </w:tc>
        <w:tc>
          <w:tcPr>
            <w:tcW w:type="dxa" w:w="1661"/>
          </w:tcPr>
          <w:p>
            <w:pPr>
              <w:pStyle w:val="null3"/>
            </w:pPr>
            <w:r>
              <w:rPr>
                <w:rFonts w:ascii="仿宋_GB2312" w:hAnsi="仿宋_GB2312" w:cs="仿宋_GB2312" w:eastAsia="仿宋_GB2312"/>
              </w:rPr>
              <w:t>响应文件封面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只能有一个有效报价，不得提交选择性报价，且报价不超过采购文件中规定的采购预算金额或最高限价。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不存在串通的情形</w:t>
            </w:r>
          </w:p>
        </w:tc>
        <w:tc>
          <w:tcPr>
            <w:tcW w:type="dxa" w:w="3322"/>
          </w:tcPr>
          <w:p>
            <w:pPr>
              <w:pStyle w:val="null3"/>
            </w:pPr>
            <w:r>
              <w:rPr>
                <w:rFonts w:ascii="仿宋_GB2312" w:hAnsi="仿宋_GB2312" w:cs="仿宋_GB2312" w:eastAsia="仿宋_GB2312"/>
              </w:rPr>
              <w:t>不存在以下情形： （1）不同供应商的响应文件由同一单位或者个人编制； （2）不同供应商委托同一单位或者个人办理磋商事宜； （3）不同供应商的响应文件载明的项目管理成员或者联系人员为同一人； （4）不同供应商的响应文件异常一致或者响应报价呈规律性差异。</w:t>
            </w:r>
          </w:p>
        </w:tc>
        <w:tc>
          <w:tcPr>
            <w:tcW w:type="dxa" w:w="1661"/>
          </w:tcPr>
          <w:p>
            <w:pPr>
              <w:pStyle w:val="null3"/>
            </w:pPr>
            <w:r>
              <w:rPr>
                <w:rFonts w:ascii="仿宋_GB2312" w:hAnsi="仿宋_GB2312" w:cs="仿宋_GB2312" w:eastAsia="仿宋_GB2312"/>
              </w:rPr>
              <w:t>商务技术文件.docx 响应函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符合采购文件中的规定</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符合采购文件中规定的有效期限</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1.体检服务⼯作流程； 2.检前预约及告知⽅案； 3.各项体检操作规程； 4.主要检测项⽬的检测⽅法； 5.主要检测试剂使⽤情况。 二、评分标准 每提供一项计3分，最高计15分。每存在 1 处缺陷扣 0.5 分，扣完本项分值为止。出现下列任一情形的，本项得 0 分，不再执行按处扣 0.5 分规则：①评审标准要求的核心评审子项缺项；②方案仅罗列标题、框架，无具体落地实施措施；③全部或主要内容直接复制其他项目方案，无针对本项目的针对性内容。 备注： （1）缺陷包括但不限于：项目名称错误、项目地点错误、方案内容与本项目需求无关、方案内容矛盾或前后表述不一致、引用适用标准 / 规范错误、局部摘抄复制其他项目内容等情形。 （2）评判计量规则：一处独立问题计 1 处缺陷；同一自然段内多处同类瑕疵，合并计为 1 处缺陷；仅文字笔误不涉及方案实质的，按缺陷计处，不直接判定本项 0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应急方案及人流管控方案</w:t>
            </w:r>
          </w:p>
        </w:tc>
        <w:tc>
          <w:tcPr>
            <w:tcW w:type="dxa" w:w="2492"/>
          </w:tcPr>
          <w:p>
            <w:pPr>
              <w:pStyle w:val="null3"/>
            </w:pPr>
            <w:r>
              <w:rPr>
                <w:rFonts w:ascii="仿宋_GB2312" w:hAnsi="仿宋_GB2312" w:cs="仿宋_GB2312" w:eastAsia="仿宋_GB2312"/>
              </w:rPr>
              <w:t>一、评审内容 1.参检人员突发疾病、供应商仪器故障或因其他人力不可抗拒因素引起的突发状况； 2.批量体检人员集中到检时的分流疏导方案等，确保体检工作安全有序进行。 二、评分标准 每提供一项计3分，最高计6分。每存在 1 处缺陷扣 0.3 分，扣完本项分值为止。出现下列任一情形的，本项得 0 分，不再执行按处扣 0.3 分规则：①评审标准要求的核心评审子项缺项；②方案仅罗列标题、框架，无具体落地实施措施；③全部或主要内容直接复制其他项目方案，无针对本项目的针对性内容。 备注： （1）缺陷包括但不限于：项目名称错误、项目地点错误、方案内容与本项目需求无关、方案内容矛盾或前后表述不一致、引用适用标准 / 规范错误、局部摘抄复制其他项目内容等情形。 （2）评判计量规则：一处独立问题计 1 处缺陷；同一自然段内多处同类瑕疵，合并计为 1 处缺陷；仅文字笔误不涉及方案实质的，按缺陷计处，不直接判定本项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体检要求及体检人员信息保密</w:t>
            </w:r>
          </w:p>
        </w:tc>
        <w:tc>
          <w:tcPr>
            <w:tcW w:type="dxa" w:w="2492"/>
          </w:tcPr>
          <w:p>
            <w:pPr>
              <w:pStyle w:val="null3"/>
            </w:pPr>
            <w:r>
              <w:rPr>
                <w:rFonts w:ascii="仿宋_GB2312" w:hAnsi="仿宋_GB2312" w:cs="仿宋_GB2312" w:eastAsia="仿宋_GB2312"/>
              </w:rPr>
              <w:t>一、评审内容 1.确保向参检人员提供切实可信的体检，涉及个人隐私应告知本人，不得向第三方传播； 2.提供体检结果分析，治疗建议及健康评估报告，被检人员的体检结果详细资料及电子文档所有信息数据不外泄，做好保密工作。 二、评分标准 每提供一项计2分，最高计4分。每存在 1 处缺陷扣 0.2 分，扣完本项分值为止。出现下列任一情形的，本项得 0 分，不再执行按处扣 0.2 分规则：①评审标准要求的核心评审子项缺项；②方案仅罗列标题、框架，无具体落地实施措施；③全部或主要内容直接复制其他项目方案，无针对本项目的针对性内容。 备注： （1）缺陷包括但不限于：项目名称错误、项目地点错误、方案内容与本项目需求无关、方案内容矛盾或前后表述不一致、引用适用标准 / 规范错误、局部摘抄复制其他项目内容等情形。 （2）评判计量规则：一处独立问题计 1 处缺陷；同一自然段内多处同类瑕疵，合并计为 1 处缺陷；仅文字笔误不涉及方案实质的，按缺陷计处，不直接判定本项 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人员配置方案</w:t>
            </w:r>
          </w:p>
        </w:tc>
        <w:tc>
          <w:tcPr>
            <w:tcW w:type="dxa" w:w="2492"/>
          </w:tcPr>
          <w:p>
            <w:pPr>
              <w:pStyle w:val="null3"/>
            </w:pPr>
            <w:r>
              <w:rPr>
                <w:rFonts w:ascii="仿宋_GB2312" w:hAnsi="仿宋_GB2312" w:cs="仿宋_GB2312" w:eastAsia="仿宋_GB2312"/>
              </w:rPr>
              <w:t>一、评审内容 1.投入本项目人员数量充足； 2.岗位职责分工明确。方案全面完善，切合本项目实际情况，步骤清晰，具有很强的合理性和可操作性。 二、评分标准 每提供一项计3分，最高计6分。每存在 1 处缺陷扣 0.3 分，扣完本项分值为止。出现下列任一情形的，本项得 0 分，不再执行按处扣 0.3 分规则：①评审标准要求的核心评审子项缺项；②方案仅罗列标题、框架，无具体落地实施措施；③全部或主要内容直接复制其他项目方案，无针对本项目的针对性内容。 备注： （1）缺陷包括但不限于：项目名称错误、项目地点错误、方案内容与本项目需求无关、方案内容矛盾或前后表述不一致、引用适用标准 / 规范错误、局部摘抄复制其他项目内容等情形。 （2）评判计量规则：一处独立问题计 1 处缺陷；同一自然段内多处同类瑕疵，合并计为 1 处缺陷；仅文字笔误不涉及方案实质的，按缺陷计处，不直接判定本项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体检后服务措施</w:t>
            </w:r>
          </w:p>
        </w:tc>
        <w:tc>
          <w:tcPr>
            <w:tcW w:type="dxa" w:w="2492"/>
          </w:tcPr>
          <w:p>
            <w:pPr>
              <w:pStyle w:val="null3"/>
            </w:pPr>
            <w:r>
              <w:rPr>
                <w:rFonts w:ascii="仿宋_GB2312" w:hAnsi="仿宋_GB2312" w:cs="仿宋_GB2312" w:eastAsia="仿宋_GB2312"/>
              </w:rPr>
              <w:t>一、评审内容 1.体检后服务组织及对接机制； 2.体检后服务内容及⽅式； 3.体检后服务质量保障措施。 二、评分标准 每提供一项计3分，最高计9分。每存在 1 处缺陷扣 0.3 分，扣完本项分值为止。出现下列任一情形的，本项得 0 分，不再执行按处扣 0.3 分规则：①评审标准要求的核心评审子项缺项；②方案仅罗列标题、框架，无具体落地实施措施；③全部或主要内容直接复制其他项目方案，无针对本项目的针对性内容。 备注： （1）缺陷包括但不限于：项目名称错误、项目地点错误、方案内容与本项目需求无关、方案内容矛盾或前后表述不一致、引用适用标准 / 规范错误、局部摘抄复制其他项目内容等情形。 （2）评判计量规则：一处独立问题计 1 处缺陷；同一自然段内多处同类瑕疵，合并计为 1 处缺陷；仅文字笔误不涉及方案实质的，按缺陷计处，不直接判定本项 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体检场地</w:t>
            </w:r>
          </w:p>
        </w:tc>
        <w:tc>
          <w:tcPr>
            <w:tcW w:type="dxa" w:w="2492"/>
          </w:tcPr>
          <w:p>
            <w:pPr>
              <w:pStyle w:val="null3"/>
            </w:pPr>
            <w:r>
              <w:rPr>
                <w:rFonts w:ascii="仿宋_GB2312" w:hAnsi="仿宋_GB2312" w:cs="仿宋_GB2312" w:eastAsia="仿宋_GB2312"/>
              </w:rPr>
              <w:t>体检中心设有独立的妇科检查区域和人性化的女性专属通道，查体男女分区。 提供相关图片等证明材料，满足得2分，不满足得0分。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接送服务</w:t>
            </w:r>
          </w:p>
        </w:tc>
        <w:tc>
          <w:tcPr>
            <w:tcW w:type="dxa" w:w="2492"/>
          </w:tcPr>
          <w:p>
            <w:pPr>
              <w:pStyle w:val="null3"/>
            </w:pPr>
            <w:r>
              <w:rPr>
                <w:rFonts w:ascii="仿宋_GB2312" w:hAnsi="仿宋_GB2312" w:cs="仿宋_GB2312" w:eastAsia="仿宋_GB2312"/>
              </w:rPr>
              <w:t>供应商承诺集中体检及对行动不便的体检者提供免费接送服务的得2分；承诺提供有偿接送服务的得1分；未承诺得0分。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早餐服务</w:t>
            </w:r>
          </w:p>
        </w:tc>
        <w:tc>
          <w:tcPr>
            <w:tcW w:type="dxa" w:w="2492"/>
          </w:tcPr>
          <w:p>
            <w:pPr>
              <w:pStyle w:val="null3"/>
            </w:pPr>
            <w:r>
              <w:rPr>
                <w:rFonts w:ascii="仿宋_GB2312" w:hAnsi="仿宋_GB2312" w:cs="仿宋_GB2312" w:eastAsia="仿宋_GB2312"/>
              </w:rPr>
              <w:t>供应商承诺提供免费早餐得1分；未承诺得0分。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体检报告出具时限</w:t>
            </w:r>
          </w:p>
        </w:tc>
        <w:tc>
          <w:tcPr>
            <w:tcW w:type="dxa" w:w="2492"/>
          </w:tcPr>
          <w:p>
            <w:pPr>
              <w:pStyle w:val="null3"/>
            </w:pPr>
            <w:r>
              <w:rPr>
                <w:rFonts w:ascii="仿宋_GB2312" w:hAnsi="仿宋_GB2312" w:cs="仿宋_GB2312" w:eastAsia="仿宋_GB2312"/>
              </w:rPr>
              <w:t>供应商承诺体检结束后7个工作日内出具个人体检报告的得3分；10个工作日内出具个人体检报告的得2分；超过10个工作日的得1分；未提供承诺得0分。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针对本项目服务要求提供以下承诺，保障体检工作有序地进行，包括但不限于： 1.在体检期间做好标识标牌，保证参检人员方便快捷进行各项体检； 2.体检机构应对参检人员信息进行核对，确认核对是本人后方可体检。 3.按规定的检查项目内容为参检人员提供对应的体检服务和体检器材,保证一人一针一管（器），器材符合国家卫生标准； 4.在所有人员体检完成后，及时以短信等电子形式将个人检查结论告知本人； 5.对80岁以上年老体弱的人员有专人陪同，全程引导体检并提供1对1服务。6.体检后提供上门一对一报告解读。 7.为采购人出具总检报告。 8.设有专人负责检后重大疾病筛查、重疾预警提醒，并及时通知本人及采购人。 二、评分标准 每提供一项承诺得1分，最多得8分，承诺不齐全或未提供不得分。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拟投入主要设备</w:t>
            </w:r>
          </w:p>
        </w:tc>
        <w:tc>
          <w:tcPr>
            <w:tcW w:type="dxa" w:w="2492"/>
          </w:tcPr>
          <w:p>
            <w:pPr>
              <w:pStyle w:val="null3"/>
            </w:pPr>
            <w:r>
              <w:rPr>
                <w:rFonts w:ascii="仿宋_GB2312" w:hAnsi="仿宋_GB2312" w:cs="仿宋_GB2312" w:eastAsia="仿宋_GB2312"/>
              </w:rPr>
              <w:t>提供以下设备证明材料：①CT②彩超③全自动生化分析仪。每提供一项计3分，满分9分。 证明材料：以购销合同及购置发票或租赁合同及租赁发票等证明材料为准，未提供或提供不全不得分。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拟派人员1</w:t>
            </w:r>
          </w:p>
        </w:tc>
        <w:tc>
          <w:tcPr>
            <w:tcW w:type="dxa" w:w="2492"/>
          </w:tcPr>
          <w:p>
            <w:pPr>
              <w:pStyle w:val="null3"/>
            </w:pPr>
            <w:r>
              <w:rPr>
                <w:rFonts w:ascii="仿宋_GB2312" w:hAnsi="仿宋_GB2312" w:cs="仿宋_GB2312" w:eastAsia="仿宋_GB2312"/>
              </w:rPr>
              <w:t>拟派项目负责人具有医学类相关专业中级职称得1分，副⾼级职称得2分，正⾼级职称得4分，其它不计分，提供证书复印件或电子件，未提供不得分。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拟派人员2</w:t>
            </w:r>
          </w:p>
        </w:tc>
        <w:tc>
          <w:tcPr>
            <w:tcW w:type="dxa" w:w="2492"/>
          </w:tcPr>
          <w:p>
            <w:pPr>
              <w:pStyle w:val="null3"/>
            </w:pPr>
            <w:r>
              <w:rPr>
                <w:rFonts w:ascii="仿宋_GB2312" w:hAnsi="仿宋_GB2312" w:cs="仿宋_GB2312" w:eastAsia="仿宋_GB2312"/>
              </w:rPr>
              <w:t>拟派各科室主检医（技）师具有医学类相关专业副⾼级及以上职称的，每⼈得2分，最⾼得6分，提供证书复印件或电子件，未提供不得分。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拟派人员3</w:t>
            </w:r>
          </w:p>
        </w:tc>
        <w:tc>
          <w:tcPr>
            <w:tcW w:type="dxa" w:w="2492"/>
          </w:tcPr>
          <w:p>
            <w:pPr>
              <w:pStyle w:val="null3"/>
            </w:pPr>
            <w:r>
              <w:rPr>
                <w:rFonts w:ascii="仿宋_GB2312" w:hAnsi="仿宋_GB2312" w:cs="仿宋_GB2312" w:eastAsia="仿宋_GB2312"/>
              </w:rPr>
              <w:t>拟派医技、护理⼈员具有医学类相关专业中级及以上职称每⼈得1分，最⾼得5分，未提供不得分。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供应商具有2023年1月1日起至今的同类(体检类)业绩。业绩以合同扫描(复印)件为依据，以合同签订日期为准。每提供1个业绩得2分，最多得10分。 说明：业绩以合同扫描件(复印)件为依据,“合同主要内容”“签字盖章”“签订日期”等相关信息应在合同中有体现，无法直接体现的可进行佐证材料补充。</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审委员会认为供应商的报价明显低于其他通过符合性审查供应商的报价（数量报价下，供应商的报价明显高于其他通过符合性审查供应商的报价），有可能影响产品质量或者不能诚信履约的，应当要求其在评标现场合理的时间内提供书面说明，必要时提交相关证明材料；供应商不能证明其报价合理性的，评审委员会应当将其作为无效投标处理。 评审委员会启动异常低价投标（响应）审查后，应当要求相关供应商在评审现场合理的时间内提供书面说明及必要的证明材料，对投标（响应）价格作出解释。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 财库〔2020〕46号文件的规定，采用低价优先法计算，以本次满足磋商文件要求的最低最后磋商报价为磋商基准价，其磋商报价为满分。供应商的磋商报价得分，统一按照下列公式计算：磋商报价得分=(磋商基准价／最后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