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版本号：ZCXG-ZB-202607020260817001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病媒消杀服务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ZCXG-ZB-2026070</w:t>
      </w:r>
      <w:r>
        <w:br/>
      </w:r>
      <w:r>
        <w:br/>
      </w:r>
      <w:r>
        <w:br/>
      </w:r>
    </w:p>
    <w:p>
      <w:pPr>
        <w:pStyle w:val="null3"/>
        <w:jc w:val="center"/>
        <w:outlineLvl w:val="2"/>
      </w:pPr>
      <w:r>
        <w:rPr>
          <w:rFonts w:ascii="仿宋_GB2312" w:hAnsi="仿宋_GB2312" w:cs="仿宋_GB2312" w:eastAsia="仿宋_GB2312"/>
          <w:sz w:val="28"/>
          <w:b/>
        </w:rPr>
        <w:t>西安市雁塔区卫生健康局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西安市雁塔区卫生健康局</w:t>
      </w:r>
      <w:r>
        <w:rPr>
          <w:rFonts w:ascii="仿宋_GB2312" w:hAnsi="仿宋_GB2312" w:cs="仿宋_GB2312" w:eastAsia="仿宋_GB2312"/>
        </w:rPr>
        <w:t>委托，拟对</w:t>
      </w:r>
      <w:r>
        <w:rPr>
          <w:rFonts w:ascii="仿宋_GB2312" w:hAnsi="仿宋_GB2312" w:cs="仿宋_GB2312" w:eastAsia="仿宋_GB2312"/>
        </w:rPr>
        <w:t>病媒消杀服务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病媒消杀服务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病媒消杀服务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采购包1（病媒消杀服务）：属于专门面向中小企业采购。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4、履约能力声明：提供具有履行合同所必需的设备和专业技术能力的承诺；</w:t>
      </w:r>
    </w:p>
    <w:p>
      <w:pPr>
        <w:pStyle w:val="null3"/>
      </w:pPr>
      <w:r>
        <w:rPr>
          <w:rFonts w:ascii="仿宋_GB2312" w:hAnsi="仿宋_GB2312" w:cs="仿宋_GB2312" w:eastAsia="仿宋_GB2312"/>
        </w:rPr>
        <w:t>5、三年无违法声明：参加政府采购活动前3年内，在经营活动中没有重大违法记录的书面声明；</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2、中标单位在领取中标通知书前，须向采购代理机构一次性支付采购代理服务费4000元。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西安市雁塔区卫生健康局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病媒消杀服务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w:t>
      </w:r>
    </w:p>
    <w:p>
      <w:pPr>
        <w:pStyle w:val="null3"/>
      </w:pPr>
      <w:r>
        <w:rPr>
          <w:rFonts w:ascii="仿宋_GB2312" w:hAnsi="仿宋_GB2312" w:cs="仿宋_GB2312" w:eastAsia="仿宋_GB2312"/>
        </w:rPr>
        <w:t>采购包最高限价（元）: 148,000.00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病媒消杀服务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标的名称：病媒消杀服务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一、项目内容</w:t>
            </w:r>
          </w:p>
          <w:p>
            <w:pPr>
              <w:pStyle w:val="null3"/>
            </w:pPr>
            <w:r>
              <w:rPr>
                <w:rFonts w:ascii="仿宋_GB2312" w:hAnsi="仿宋_GB2312" w:cs="仿宋_GB2312" w:eastAsia="仿宋_GB2312"/>
                <w:sz w:val="32"/>
              </w:rPr>
              <w:t xml:space="preserve">    </w:t>
            </w:r>
            <w:r>
              <w:rPr>
                <w:rFonts w:ascii="仿宋_GB2312" w:hAnsi="仿宋_GB2312" w:cs="仿宋_GB2312" w:eastAsia="仿宋_GB2312"/>
                <w:sz w:val="32"/>
              </w:rPr>
              <w:t>1.对全区部分机关单位、公厕、垃圾压缩站、绿地广场、老旧小区的病媒生物进行不少于二轮的消杀。2.开展突发事件的应急消杀工作。</w:t>
            </w:r>
          </w:p>
          <w:p>
            <w:pPr>
              <w:pStyle w:val="null3"/>
            </w:pPr>
            <w:r>
              <w:rPr>
                <w:rFonts w:ascii="仿宋_GB2312" w:hAnsi="仿宋_GB2312" w:cs="仿宋_GB2312" w:eastAsia="仿宋_GB2312"/>
                <w:sz w:val="32"/>
              </w:rPr>
              <w:t>二、消杀点位</w:t>
            </w:r>
          </w:p>
          <w:p>
            <w:pPr>
              <w:pStyle w:val="null3"/>
              <w:ind w:firstLine="643"/>
              <w:jc w:val="left"/>
            </w:pPr>
            <w:r>
              <w:rPr>
                <w:rFonts w:ascii="仿宋_GB2312" w:hAnsi="仿宋_GB2312" w:cs="仿宋_GB2312" w:eastAsia="仿宋_GB2312"/>
                <w:sz w:val="32"/>
              </w:rPr>
              <w:t>1、8个街道办事处机关；</w:t>
            </w:r>
            <w:r>
              <w:rPr>
                <w:rFonts w:ascii="仿宋_GB2312" w:hAnsi="仿宋_GB2312" w:cs="仿宋_GB2312" w:eastAsia="仿宋_GB2312"/>
                <w:sz w:val="32"/>
              </w:rPr>
              <w:t>2、9个机关大院；</w:t>
            </w:r>
            <w:r>
              <w:rPr>
                <w:rFonts w:ascii="仿宋_GB2312" w:hAnsi="仿宋_GB2312" w:cs="仿宋_GB2312" w:eastAsia="仿宋_GB2312"/>
                <w:sz w:val="32"/>
              </w:rPr>
              <w:t>3、</w:t>
            </w:r>
            <w:r>
              <w:rPr>
                <w:rFonts w:ascii="仿宋_GB2312" w:hAnsi="仿宋_GB2312" w:cs="仿宋_GB2312" w:eastAsia="仿宋_GB2312"/>
                <w:sz w:val="32"/>
              </w:rPr>
              <w:t>30座公厕；</w:t>
            </w:r>
            <w:r>
              <w:rPr>
                <w:rFonts w:ascii="仿宋_GB2312" w:hAnsi="仿宋_GB2312" w:cs="仿宋_GB2312" w:eastAsia="仿宋_GB2312"/>
                <w:sz w:val="32"/>
              </w:rPr>
              <w:t>4、9个垃圾压缩站；5、15个绿地广场；6、16个老旧小区。</w:t>
            </w:r>
          </w:p>
          <w:p>
            <w:pPr>
              <w:pStyle w:val="null3"/>
              <w:ind w:firstLine="643"/>
              <w:jc w:val="left"/>
            </w:pPr>
            <w:r>
              <w:rPr>
                <w:rFonts w:ascii="仿宋_GB2312" w:hAnsi="仿宋_GB2312" w:cs="仿宋_GB2312" w:eastAsia="仿宋_GB2312"/>
                <w:sz w:val="32"/>
              </w:rPr>
              <w:t>三、服务要求</w:t>
            </w:r>
          </w:p>
          <w:p>
            <w:pPr>
              <w:pStyle w:val="null3"/>
              <w:ind w:firstLine="643"/>
              <w:jc w:val="left"/>
            </w:pPr>
            <w:r>
              <w:rPr>
                <w:rFonts w:ascii="仿宋_GB2312" w:hAnsi="仿宋_GB2312" w:cs="仿宋_GB2312" w:eastAsia="仿宋_GB2312"/>
                <w:sz w:val="32"/>
              </w:rPr>
              <w:t>所使用的所有病媒生物防制药械必须符合国家相关要求，货物来源正规，货物要求低毒、安全、环保。供应商参与本项工作人员必须持证上岗，规范操作。</w:t>
            </w:r>
          </w:p>
          <w:p>
            <w:pPr>
              <w:pStyle w:val="null3"/>
              <w:ind w:firstLine="643"/>
              <w:jc w:val="left"/>
            </w:pPr>
            <w:r>
              <w:rPr>
                <w:rFonts w:ascii="仿宋_GB2312" w:hAnsi="仿宋_GB2312" w:cs="仿宋_GB2312" w:eastAsia="仿宋_GB2312"/>
                <w:sz w:val="32"/>
              </w:rPr>
              <w:t>四、药剂要求</w:t>
            </w:r>
          </w:p>
          <w:tbl>
            <w:tblPr>
              <w:tblBorders>
                <w:top w:val="none" w:color="000000" w:sz="4"/>
                <w:left w:val="none" w:color="000000" w:sz="4"/>
                <w:bottom w:val="none" w:color="000000" w:sz="4"/>
                <w:right w:val="none" w:color="000000" w:sz="4"/>
                <w:insideH w:val="none"/>
                <w:insideV w:val="none"/>
              </w:tblBorders>
            </w:tblPr>
            <w:tblGrid>
              <w:gridCol w:w="205"/>
              <w:gridCol w:w="403"/>
              <w:gridCol w:w="759"/>
              <w:gridCol w:w="476"/>
              <w:gridCol w:w="712"/>
            </w:tblGrid>
            <w:tr>
              <w:tc>
                <w:tcPr>
                  <w:tcW w:type="dxa" w:w="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4"/>
                    </w:rPr>
                    <w:t>序号</w:t>
                  </w:r>
                </w:p>
              </w:tc>
              <w:tc>
                <w:tcPr>
                  <w:tcW w:type="dxa" w:w="4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名称</w:t>
                  </w:r>
                </w:p>
              </w:tc>
              <w:tc>
                <w:tcPr>
                  <w:tcW w:type="dxa" w:w="7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720"/>
                    <w:jc w:val="both"/>
                  </w:pPr>
                  <w:r>
                    <w:rPr>
                      <w:rFonts w:ascii="仿宋_GB2312" w:hAnsi="仿宋_GB2312" w:cs="仿宋_GB2312" w:eastAsia="仿宋_GB2312"/>
                      <w:sz w:val="24"/>
                    </w:rPr>
                    <w:t>规格要求</w:t>
                  </w:r>
                </w:p>
              </w:tc>
              <w:tc>
                <w:tcPr>
                  <w:tcW w:type="dxa" w:w="4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525"/>
                    <w:jc w:val="both"/>
                  </w:pPr>
                  <w:r>
                    <w:rPr>
                      <w:rFonts w:ascii="仿宋_GB2312" w:hAnsi="仿宋_GB2312" w:cs="仿宋_GB2312" w:eastAsia="仿宋_GB2312"/>
                      <w:sz w:val="24"/>
                    </w:rPr>
                    <w:t>剂型</w:t>
                  </w:r>
                </w:p>
              </w:tc>
              <w:tc>
                <w:tcPr>
                  <w:tcW w:type="dxa" w:w="7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855"/>
                    <w:jc w:val="both"/>
                  </w:pPr>
                  <w:r>
                    <w:rPr>
                      <w:rFonts w:ascii="仿宋_GB2312" w:hAnsi="仿宋_GB2312" w:cs="仿宋_GB2312" w:eastAsia="仿宋_GB2312"/>
                      <w:sz w:val="24"/>
                    </w:rPr>
                    <w:t>用途</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center"/>
                  </w:pPr>
                  <w:r>
                    <w:rPr>
                      <w:rFonts w:ascii="仿宋_GB2312" w:hAnsi="仿宋_GB2312" w:cs="仿宋_GB2312" w:eastAsia="仿宋_GB2312"/>
                      <w:sz w:val="24"/>
                    </w:rPr>
                    <w:t>1</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灭鼠</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720"/>
                    <w:jc w:val="both"/>
                  </w:pPr>
                  <w:r>
                    <w:rPr>
                      <w:rFonts w:ascii="仿宋_GB2312" w:hAnsi="仿宋_GB2312" w:cs="仿宋_GB2312" w:eastAsia="仿宋_GB2312"/>
                      <w:sz w:val="24"/>
                    </w:rPr>
                    <w:t>0.005%</w:t>
                  </w:r>
                  <w:r>
                    <w:rPr>
                      <w:rFonts w:ascii="仿宋_GB2312" w:hAnsi="仿宋_GB2312" w:cs="仿宋_GB2312" w:eastAsia="仿宋_GB2312"/>
                      <w:sz w:val="24"/>
                    </w:rPr>
                    <w:t>溴敌隆</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颗粒或蜡丸</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内外环境投放</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30"/>
                    <w:jc w:val="both"/>
                  </w:pPr>
                  <w:r>
                    <w:rPr>
                      <w:rFonts w:ascii="仿宋_GB2312" w:hAnsi="仿宋_GB2312" w:cs="仿宋_GB2312" w:eastAsia="仿宋_GB2312"/>
                      <w:sz w:val="24"/>
                    </w:rPr>
                    <w:t>2</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center"/>
                  </w:pPr>
                  <w:r>
                    <w:rPr>
                      <w:rFonts w:ascii="仿宋_GB2312" w:hAnsi="仿宋_GB2312" w:cs="仿宋_GB2312" w:eastAsia="仿宋_GB2312"/>
                      <w:sz w:val="24"/>
                    </w:rPr>
                    <w:t>灭蚊蝇</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30"/>
                    <w:jc w:val="center"/>
                  </w:pPr>
                  <w:r>
                    <w:rPr>
                      <w:rFonts w:ascii="仿宋_GB2312" w:hAnsi="仿宋_GB2312" w:cs="仿宋_GB2312" w:eastAsia="仿宋_GB2312"/>
                      <w:sz w:val="24"/>
                    </w:rPr>
                    <w:t>≥21%辛硫磷·高氯氟</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4"/>
                    </w:rPr>
                    <w:t>乳油或可溶粒剂</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外环境滞留喷洒</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rFonts w:ascii="仿宋_GB2312" w:hAnsi="仿宋_GB2312" w:cs="仿宋_GB2312" w:eastAsia="仿宋_GB2312"/>
                      <w:sz w:val="24"/>
                    </w:rPr>
                    <w:t>3</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960" w:right="120"/>
                    <w:jc w:val="center"/>
                  </w:pPr>
                  <w:r>
                    <w:rPr>
                      <w:rFonts w:ascii="仿宋_GB2312" w:hAnsi="仿宋_GB2312" w:cs="仿宋_GB2312" w:eastAsia="仿宋_GB2312"/>
                      <w:sz w:val="24"/>
                    </w:rPr>
                    <w:t>灭蚊蝇</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right="165"/>
                    <w:jc w:val="center"/>
                  </w:pPr>
                  <w:r>
                    <w:rPr>
                      <w:rFonts w:ascii="仿宋_GB2312" w:hAnsi="仿宋_GB2312" w:cs="仿宋_GB2312" w:eastAsia="仿宋_GB2312"/>
                      <w:sz w:val="24"/>
                    </w:rPr>
                    <w:t>≥8%胺菊酯·氯氰菊酯乳油</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240"/>
                    <w:ind w:left="405"/>
                    <w:jc w:val="both"/>
                  </w:pPr>
                  <w:r>
                    <w:rPr>
                      <w:rFonts w:ascii="仿宋_GB2312" w:hAnsi="仿宋_GB2312" w:cs="仿宋_GB2312" w:eastAsia="仿宋_GB2312"/>
                      <w:sz w:val="24"/>
                    </w:rPr>
                    <w:t>乳油</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right="120"/>
                    <w:jc w:val="center"/>
                  </w:pPr>
                  <w:r>
                    <w:rPr>
                      <w:rFonts w:ascii="仿宋_GB2312" w:hAnsi="仿宋_GB2312" w:cs="仿宋_GB2312" w:eastAsia="仿宋_GB2312"/>
                      <w:sz w:val="24"/>
                    </w:rPr>
                    <w:t>外环境滞留喷洒</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rFonts w:ascii="仿宋_GB2312" w:hAnsi="仿宋_GB2312" w:cs="仿宋_GB2312" w:eastAsia="仿宋_GB2312"/>
                      <w:sz w:val="24"/>
                    </w:rPr>
                    <w:t>4</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960" w:right="120"/>
                    <w:jc w:val="center"/>
                  </w:pPr>
                  <w:r>
                    <w:rPr>
                      <w:rFonts w:ascii="仿宋_GB2312" w:hAnsi="仿宋_GB2312" w:cs="仿宋_GB2312" w:eastAsia="仿宋_GB2312"/>
                      <w:sz w:val="24"/>
                    </w:rPr>
                    <w:t>灭蚊蝇</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right="165"/>
                    <w:jc w:val="both"/>
                  </w:pPr>
                  <w:r>
                    <w:rPr>
                      <w:rFonts w:ascii="仿宋_GB2312" w:hAnsi="仿宋_GB2312" w:cs="仿宋_GB2312" w:eastAsia="仿宋_GB2312"/>
                      <w:sz w:val="24"/>
                    </w:rPr>
                    <w:t>≥7％高氯.甲嘧磷</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240"/>
                    <w:ind w:left="405"/>
                    <w:jc w:val="both"/>
                  </w:pPr>
                  <w:r>
                    <w:rPr>
                      <w:rFonts w:ascii="仿宋_GB2312" w:hAnsi="仿宋_GB2312" w:cs="仿宋_GB2312" w:eastAsia="仿宋_GB2312"/>
                      <w:sz w:val="24"/>
                    </w:rPr>
                    <w:t>水乳剂</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right="120"/>
                    <w:jc w:val="center"/>
                  </w:pPr>
                  <w:r>
                    <w:rPr>
                      <w:rFonts w:ascii="仿宋_GB2312" w:hAnsi="仿宋_GB2312" w:cs="仿宋_GB2312" w:eastAsia="仿宋_GB2312"/>
                      <w:sz w:val="24"/>
                    </w:rPr>
                    <w:t>内环境空间喷雾</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15"/>
                    <w:jc w:val="both"/>
                  </w:pPr>
                  <w:r>
                    <w:rPr>
                      <w:rFonts w:ascii="仿宋_GB2312" w:hAnsi="仿宋_GB2312" w:cs="仿宋_GB2312" w:eastAsia="仿宋_GB2312"/>
                      <w:sz w:val="24"/>
                    </w:rPr>
                    <w:t>5</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灭蚊蝇蟑螂</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840" w:right="105"/>
                    <w:jc w:val="both"/>
                  </w:pPr>
                  <w:r>
                    <w:rPr>
                      <w:rFonts w:ascii="仿宋_GB2312" w:hAnsi="仿宋_GB2312" w:cs="仿宋_GB2312" w:eastAsia="仿宋_GB2312"/>
                      <w:sz w:val="24"/>
                    </w:rPr>
                    <w:t>≥2.5%氯氰·残杀威</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240"/>
                    <w:ind w:left="285"/>
                    <w:jc w:val="both"/>
                  </w:pPr>
                  <w:r>
                    <w:rPr>
                      <w:rFonts w:ascii="仿宋_GB2312" w:hAnsi="仿宋_GB2312" w:cs="仿宋_GB2312" w:eastAsia="仿宋_GB2312"/>
                      <w:sz w:val="24"/>
                    </w:rPr>
                    <w:t>热雾剂</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240"/>
                    <w:jc w:val="center"/>
                  </w:pPr>
                  <w:r>
                    <w:rPr>
                      <w:rFonts w:ascii="仿宋_GB2312" w:hAnsi="仿宋_GB2312" w:cs="仿宋_GB2312" w:eastAsia="仿宋_GB2312"/>
                      <w:sz w:val="24"/>
                    </w:rPr>
                    <w:t>管道井灭蚊蝇蟑</w:t>
                  </w:r>
                </w:p>
              </w:tc>
            </w:tr>
            <w:tr>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00"/>
                    <w:jc w:val="both"/>
                  </w:pPr>
                  <w:r>
                    <w:rPr>
                      <w:rFonts w:ascii="仿宋_GB2312" w:hAnsi="仿宋_GB2312" w:cs="仿宋_GB2312" w:eastAsia="仿宋_GB2312"/>
                      <w:sz w:val="24"/>
                    </w:rPr>
                    <w:t>6</w:t>
                  </w:r>
                </w:p>
              </w:tc>
              <w:tc>
                <w:tcPr>
                  <w:tcW w:type="dxa" w:w="4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灭蚊幼虫</w:t>
                  </w:r>
                </w:p>
              </w:tc>
              <w:tc>
                <w:tcPr>
                  <w:tcW w:type="dxa" w:w="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495"/>
                    <w:jc w:val="both"/>
                  </w:pPr>
                  <w:r>
                    <w:rPr>
                      <w:rFonts w:ascii="仿宋_GB2312" w:hAnsi="仿宋_GB2312" w:cs="仿宋_GB2312" w:eastAsia="仿宋_GB2312"/>
                      <w:sz w:val="24"/>
                    </w:rPr>
                    <w:t>≥5%倍硫磷</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405"/>
                    <w:jc w:val="both"/>
                  </w:pPr>
                  <w:r>
                    <w:rPr>
                      <w:rFonts w:ascii="仿宋_GB2312" w:hAnsi="仿宋_GB2312" w:cs="仿宋_GB2312" w:eastAsia="仿宋_GB2312"/>
                      <w:sz w:val="24"/>
                    </w:rPr>
                    <w:t>颗粒剂</w:t>
                  </w:r>
                </w:p>
              </w:tc>
              <w:tc>
                <w:tcPr>
                  <w:tcW w:type="dxa" w:w="7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240"/>
                    <w:jc w:val="center"/>
                  </w:pPr>
                  <w:r>
                    <w:rPr>
                      <w:rFonts w:ascii="仿宋_GB2312" w:hAnsi="仿宋_GB2312" w:cs="仿宋_GB2312" w:eastAsia="仿宋_GB2312"/>
                      <w:sz w:val="24"/>
                    </w:rPr>
                    <w:t>水体灭孑孓</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从合同签订之日起至12月31日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进度款，完成所有服务内容并交付验收合格后一次性支付所有价款，达到付款条件起30个工作日内，支付合同总金额的100.0%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1、服务期：从合同签订之日起至12月31日；2、服务地点：采购人指定地点；3、付款方式：完成所有服务内容并交付验收合格后一次性支付所有价款。（付款方式以此条为准）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结合本项目现场环境开展病媒风险研判，制定整体防控工作实施思路；②针对项目不同功能区域，制定孳生地排查治理与分区作业实施举措；③结合季节病媒消长规律，制定分季度专项消杀与预防管控工作方案。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技术药剂管理</w:t>
            </w:r>
          </w:p>
        </w:tc>
        <w:tc>
          <w:tcPr>
            <w:tcW w:type="dxa" w:w="2492"/>
          </w:tcPr>
          <w:p>
            <w:pPr>
              <w:pStyle w:val="null3"/>
            </w:pPr>
            <w:r>
              <w:rPr>
                <w:rFonts w:ascii="仿宋_GB2312" w:hAnsi="仿宋_GB2312" w:cs="仿宋_GB2312" w:eastAsia="仿宋_GB2312"/>
              </w:rPr>
              <w:t>一、评审内容：①针对鼠、蚊、蝇、蟑螂、白蚁，分别制定适配本项目的技术防控举措；②明确消杀药剂、器械选型、存放使用规范，落实安全文明作业管控措施。二、评审标准：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 1分，满分3分，共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现场质量管控</w:t>
            </w:r>
          </w:p>
        </w:tc>
        <w:tc>
          <w:tcPr>
            <w:tcW w:type="dxa" w:w="2492"/>
          </w:tcPr>
          <w:p>
            <w:pPr>
              <w:pStyle w:val="null3"/>
            </w:pPr>
            <w:r>
              <w:rPr>
                <w:rFonts w:ascii="仿宋_GB2312" w:hAnsi="仿宋_GB2312" w:cs="仿宋_GB2312" w:eastAsia="仿宋_GB2312"/>
              </w:rPr>
              <w:t>一、评审内容：①制定病媒密度监测、日常巡检、内部自查机制，规范各类服务台账资料管理；②制定作业现场安全警示布设方案，落实降噪、避扰等减少对周边影响的管控措施。二、评审标准：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 1分，满分3分，共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一、评审内容：①作业人员管理培训及投诉反馈处置方案；②突发状况处置及重大活动消杀保障方案；③本地化服务响应及人、物后备保障方案。二、评审标准：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服务闭环管理</w:t>
            </w:r>
          </w:p>
        </w:tc>
        <w:tc>
          <w:tcPr>
            <w:tcW w:type="dxa" w:w="2492"/>
          </w:tcPr>
          <w:p>
            <w:pPr>
              <w:pStyle w:val="null3"/>
            </w:pPr>
            <w:r>
              <w:rPr>
                <w:rFonts w:ascii="仿宋_GB2312" w:hAnsi="仿宋_GB2312" w:cs="仿宋_GB2312" w:eastAsia="仿宋_GB2312"/>
              </w:rPr>
              <w:t>一、评审内容：①制定病媒生物防制科普宣传举措，明确服务质量不达标时的返工、整改补救措施；②制定服务到期工作移交内容，提出项目后续病媒长效防控合理化工作建议。二、评审标准：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 1分，满分3分，共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拟派项⽬负责⼈：提供有害⽣物防制员职业技能等级证书二级证得5分；提供有害生物防制员职业技能等级证书三级（高级）证得3分；提供有害生物防制员职业技能等级证书四级（中级）证得1分；⽆证书不得分。 2、现场作业⼈员：拟投⼊本项⽬作业⼈员，每提供1份有害⽣物防制员证得 1.5 分（有害生物防制员须提供本单位近3个月连续缴纳社保证明），本项最⾼ 9 分；⽆有害生物防制员证及社保证明不计分。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消杀设备配置</w:t>
            </w:r>
          </w:p>
        </w:tc>
        <w:tc>
          <w:tcPr>
            <w:tcW w:type="dxa" w:w="2492"/>
          </w:tcPr>
          <w:p>
            <w:pPr>
              <w:pStyle w:val="null3"/>
            </w:pPr>
            <w:r>
              <w:rPr>
                <w:rFonts w:ascii="仿宋_GB2312" w:hAnsi="仿宋_GB2312" w:cs="仿宋_GB2312" w:eastAsia="仿宋_GB2312"/>
              </w:rPr>
              <w:t>⾃有消杀专⽤设备≥8 台得 8 分；5-7 台得 4 分；1-4 台得 2 分；提供设备购置发票或⾃有设备清单佐证，⽆有效证明材料得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消杀药剂及检测材料</w:t>
            </w:r>
          </w:p>
        </w:tc>
        <w:tc>
          <w:tcPr>
            <w:tcW w:type="dxa" w:w="2492"/>
          </w:tcPr>
          <w:p>
            <w:pPr>
              <w:pStyle w:val="null3"/>
            </w:pPr>
            <w:r>
              <w:rPr>
                <w:rFonts w:ascii="仿宋_GB2312" w:hAnsi="仿宋_GB2312" w:cs="仿宋_GB2312" w:eastAsia="仿宋_GB2312"/>
              </w:rPr>
              <w:t>拟使⽤药剂须满足采购要求（提供药品农药登记证、生产许可证、检验报告并加盖厂家公章），每一项提供资料不全或不满足参数要求扣2分，不计负分。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增值服务及承诺</w:t>
            </w:r>
          </w:p>
        </w:tc>
        <w:tc>
          <w:tcPr>
            <w:tcW w:type="dxa" w:w="2492"/>
          </w:tcPr>
          <w:p>
            <w:pPr>
              <w:pStyle w:val="null3"/>
            </w:pPr>
            <w:r>
              <w:rPr>
                <w:rFonts w:ascii="仿宋_GB2312" w:hAnsi="仿宋_GB2312" w:cs="仿宋_GB2312" w:eastAsia="仿宋_GB2312"/>
              </w:rPr>
              <w:t>供应商针对本项⽬提供的增值服务及承诺： ①承诺在重⼤节假⽇、重活动期间，提供免费加密巡检消杀服务，得 2 分； ②承诺免费为本项⽬甲⽅管理⼈员开展 1 次病媒防制实操培训，得 2 分； ③承诺建⽴专属项⽬服务对接⼈，提供 7×24⼩时咨询对接服务，得 1 分。 全部满⾜得 5 分，缺项按实际达标项累计计分。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企业管理体系</w:t>
            </w:r>
          </w:p>
        </w:tc>
        <w:tc>
          <w:tcPr>
            <w:tcW w:type="dxa" w:w="2492"/>
          </w:tcPr>
          <w:p>
            <w:pPr>
              <w:pStyle w:val="null3"/>
            </w:pPr>
            <w:r>
              <w:rPr>
                <w:rFonts w:ascii="仿宋_GB2312" w:hAnsi="仿宋_GB2312" w:cs="仿宋_GB2312" w:eastAsia="仿宋_GB2312"/>
              </w:rPr>
              <w:t>供应商具有有效期内的质量管理体系认证证书、环境管理体系认证证书、职业健康安全管理体系认证证书，每缺一项扣2分，不计负分。 须提供： ①提供有效期内的认证证书扫描件； ②提供全国认证认可信息公共服务平台 http://cx.cnca.cn 查询截图。</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2023年8⽉⾄今类似项⽬业绩，（以合同复印件为准，同时须提供业绩发票佐证材料）每份计 2 分，计满10分为⽌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满足磋商文件实质性要求且最终报价最低的投标单位的价格为评审基准价（形成不正当竞争的报价除外），其价格分为满分15分。 报价得分=（基准价/有效投标报价报价）×15的公式计算得分。 投标报价不完整的，不进入基准价的计算，本项得0分。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