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版本号：WDZB2026-125920260629001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自主择业军转干部慰问帮扶项目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WDZB2026-1259</w:t>
      </w:r>
      <w:r>
        <w:br/>
      </w:r>
      <w:r>
        <w:br/>
      </w:r>
      <w:r>
        <w:br/>
      </w:r>
    </w:p>
    <w:p>
      <w:pPr>
        <w:pStyle w:val="null3"/>
        <w:jc w:val="center"/>
        <w:outlineLvl w:val="2"/>
      </w:pPr>
      <w:r>
        <w:rPr>
          <w:rFonts w:ascii="仿宋_GB2312" w:hAnsi="仿宋_GB2312" w:cs="仿宋_GB2312" w:eastAsia="仿宋_GB2312"/>
          <w:sz w:val="28"/>
          <w:b/>
        </w:rPr>
        <w:t>西安市军队转业干部培训中心</w:t>
      </w:r>
    </w:p>
    <w:p>
      <w:pPr>
        <w:pStyle w:val="null3"/>
        <w:jc w:val="center"/>
        <w:outlineLvl w:val="2"/>
      </w:pPr>
      <w:r>
        <w:rPr>
          <w:rFonts w:ascii="仿宋_GB2312" w:hAnsi="仿宋_GB2312" w:cs="仿宋_GB2312" w:eastAsia="仿宋_GB2312"/>
          <w:sz w:val="28"/>
          <w:b/>
        </w:rPr>
        <w:t>陕西万德招标有限公司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陕西万德招标有限公司</w:t>
      </w:r>
      <w:r>
        <w:rPr>
          <w:rFonts w:ascii="仿宋_GB2312" w:hAnsi="仿宋_GB2312" w:cs="仿宋_GB2312" w:eastAsia="仿宋_GB2312"/>
        </w:rPr>
        <w:t>（以下简称“代理机构”）受</w:t>
      </w:r>
      <w:r>
        <w:rPr>
          <w:rFonts w:ascii="仿宋_GB2312" w:hAnsi="仿宋_GB2312" w:cs="仿宋_GB2312" w:eastAsia="仿宋_GB2312"/>
        </w:rPr>
        <w:t>西安市军队转业干部培训中心</w:t>
      </w:r>
      <w:r>
        <w:rPr>
          <w:rFonts w:ascii="仿宋_GB2312" w:hAnsi="仿宋_GB2312" w:cs="仿宋_GB2312" w:eastAsia="仿宋_GB2312"/>
        </w:rPr>
        <w:t>委托，拟对</w:t>
      </w:r>
      <w:r>
        <w:rPr>
          <w:rFonts w:ascii="仿宋_GB2312" w:hAnsi="仿宋_GB2312" w:cs="仿宋_GB2312" w:eastAsia="仿宋_GB2312"/>
        </w:rPr>
        <w:t>自主择业军转干部慰问帮扶项目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WDZB2026-1259</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自主择业军转干部慰问帮扶项目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西安市军队转业干部培训中心自主择业军转干部慰问帮扶项目，具体采购内容详见谈判文件第三章。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代表身份证明：供应商应授权合法的人员参加谈判，其中法定代表人或单位负责人直接参加的，须出具法定代表人或单位负责人身份证明书；被授权人参加的，须出具法定代表人或单位负责人身份证明书及授权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西安市军队转业干部培训中心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陕西省西安市碑林区交大商场街皇甫庄甲字1号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冯老师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029-82226909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陕西万德招标有限公司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西安市南二环西段21号华融国际商务大厦A座10层D区</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张亚亚、朱旭、张静、戚洪良</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029-85561862/85561863转810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采购包1：500,500.00元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行办法〉的通知》（计价格[2002]1980号）及《国家发展改革委办公厅关于招标代理服务收费有关问题的通知》（发改办价格[2003]857号）中的规定，按差额定率累进法计算，以成交通知书确定的成交金额作为收费计算依据。经甲乙双方协商后决定，由成交人在领取成交通知书前向采购代理机构一次性支付。 招标代理服务费支付方式：银行转账或现金方式。收款单位：陕西万德招标有限公司；开户银行：中国银行西安南二环支行；银行账号：103673241394</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西安市军队转业干部培训中心</w:t>
      </w:r>
      <w:r>
        <w:rPr>
          <w:rFonts w:ascii="仿宋_GB2312" w:hAnsi="仿宋_GB2312" w:cs="仿宋_GB2312" w:eastAsia="仿宋_GB2312"/>
        </w:rPr>
        <w:t>和</w:t>
      </w:r>
      <w:r>
        <w:rPr>
          <w:rFonts w:ascii="仿宋_GB2312" w:hAnsi="仿宋_GB2312" w:cs="仿宋_GB2312" w:eastAsia="仿宋_GB2312"/>
        </w:rPr>
        <w:t>陕西万德招标有限公司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西安市军队转业干部培训中心</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陕西万德招标有限公司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西安市军队转业干部培训中心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陕西万德招标有限公司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按合同约定执行</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陕西万德招标有限公司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陕西万德招标有限公司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陕西万德招标有限公司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联系人：张亚亚</w:t>
      </w:r>
    </w:p>
    <w:p>
      <w:pPr>
        <w:pStyle w:val="null3"/>
      </w:pPr>
      <w:r>
        <w:rPr>
          <w:rFonts w:ascii="仿宋_GB2312" w:hAnsi="仿宋_GB2312" w:cs="仿宋_GB2312" w:eastAsia="仿宋_GB2312"/>
        </w:rPr>
        <w:t>联系电话：029-85561862转810</w:t>
      </w:r>
    </w:p>
    <w:p>
      <w:pPr>
        <w:pStyle w:val="null3"/>
      </w:pPr>
      <w:r>
        <w:rPr>
          <w:rFonts w:ascii="仿宋_GB2312" w:hAnsi="仿宋_GB2312" w:cs="仿宋_GB2312" w:eastAsia="仿宋_GB2312"/>
        </w:rPr>
        <w:t>地址：西安市南二环西段21号华融国际商务大厦A座10层D区</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西安市军队转业干部培训中心自主择业军转干部慰问帮扶项目，具体采购内容详见谈判文件第三章。</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500,500.00</w:t>
      </w:r>
    </w:p>
    <w:p>
      <w:pPr>
        <w:pStyle w:val="null3"/>
      </w:pPr>
      <w:r>
        <w:rPr>
          <w:rFonts w:ascii="仿宋_GB2312" w:hAnsi="仿宋_GB2312" w:cs="仿宋_GB2312" w:eastAsia="仿宋_GB2312"/>
        </w:rPr>
        <w:t>采购包最高限价（元）: 500,500.00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A02061816烹调电器501个</w:t>
            </w:r>
          </w:p>
        </w:tc>
        <w:tc>
          <w:tcPr>
            <w:tcW w:type="dxa" w:w="755"/>
          </w:tcPr>
          <w:p>
            <w:pPr>
              <w:pStyle w:val="null3"/>
              <w:jc w:val="right"/>
            </w:pPr>
            <w:r>
              <w:rPr>
                <w:rFonts w:ascii="仿宋_GB2312" w:hAnsi="仿宋_GB2312" w:cs="仿宋_GB2312" w:eastAsia="仿宋_GB2312"/>
              </w:rPr>
              <w:t>501.00</w:t>
            </w:r>
          </w:p>
        </w:tc>
        <w:tc>
          <w:tcPr>
            <w:tcW w:type="dxa" w:w="755"/>
          </w:tcPr>
          <w:p>
            <w:pPr>
              <w:pStyle w:val="null3"/>
              <w:jc w:val="right"/>
            </w:pPr>
            <w:r>
              <w:rPr>
                <w:rFonts w:ascii="仿宋_GB2312" w:hAnsi="仿宋_GB2312" w:cs="仿宋_GB2312" w:eastAsia="仿宋_GB2312"/>
              </w:rPr>
              <w:t>125,250.00</w:t>
            </w:r>
          </w:p>
        </w:tc>
        <w:tc>
          <w:tcPr>
            <w:tcW w:type="dxa" w:w="755"/>
          </w:tcPr>
          <w:p>
            <w:pPr>
              <w:pStyle w:val="null3"/>
            </w:pPr>
            <w:r>
              <w:rPr>
                <w:rFonts w:ascii="仿宋_GB2312" w:hAnsi="仿宋_GB2312" w:cs="仿宋_GB2312" w:eastAsia="仿宋_GB2312"/>
              </w:rPr>
              <w:t>个</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w:t>
            </w:r>
          </w:p>
        </w:tc>
        <w:tc>
          <w:tcPr>
            <w:tcW w:type="dxa" w:w="755"/>
          </w:tcPr>
          <w:p>
            <w:pPr>
              <w:pStyle w:val="null3"/>
            </w:pPr>
            <w:r>
              <w:rPr>
                <w:rFonts w:ascii="仿宋_GB2312" w:hAnsi="仿宋_GB2312" w:cs="仿宋_GB2312" w:eastAsia="仿宋_GB2312"/>
              </w:rPr>
              <w:t>A02061811吸尘器501个</w:t>
            </w:r>
          </w:p>
        </w:tc>
        <w:tc>
          <w:tcPr>
            <w:tcW w:type="dxa" w:w="755"/>
          </w:tcPr>
          <w:p>
            <w:pPr>
              <w:pStyle w:val="null3"/>
              <w:jc w:val="right"/>
            </w:pPr>
            <w:r>
              <w:rPr>
                <w:rFonts w:ascii="仿宋_GB2312" w:hAnsi="仿宋_GB2312" w:cs="仿宋_GB2312" w:eastAsia="仿宋_GB2312"/>
              </w:rPr>
              <w:t>501.00</w:t>
            </w:r>
          </w:p>
        </w:tc>
        <w:tc>
          <w:tcPr>
            <w:tcW w:type="dxa" w:w="755"/>
          </w:tcPr>
          <w:p>
            <w:pPr>
              <w:pStyle w:val="null3"/>
              <w:jc w:val="right"/>
            </w:pPr>
            <w:r>
              <w:rPr>
                <w:rFonts w:ascii="仿宋_GB2312" w:hAnsi="仿宋_GB2312" w:cs="仿宋_GB2312" w:eastAsia="仿宋_GB2312"/>
              </w:rPr>
              <w:t>125,250.00</w:t>
            </w:r>
          </w:p>
        </w:tc>
        <w:tc>
          <w:tcPr>
            <w:tcW w:type="dxa" w:w="755"/>
          </w:tcPr>
          <w:p>
            <w:pPr>
              <w:pStyle w:val="null3"/>
            </w:pPr>
            <w:r>
              <w:rPr>
                <w:rFonts w:ascii="仿宋_GB2312" w:hAnsi="仿宋_GB2312" w:cs="仿宋_GB2312" w:eastAsia="仿宋_GB2312"/>
              </w:rPr>
              <w:t>个</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3</w:t>
            </w:r>
          </w:p>
        </w:tc>
        <w:tc>
          <w:tcPr>
            <w:tcW w:type="dxa" w:w="755"/>
          </w:tcPr>
          <w:p>
            <w:pPr>
              <w:pStyle w:val="null3"/>
            </w:pPr>
            <w:r>
              <w:rPr>
                <w:rFonts w:ascii="仿宋_GB2312" w:hAnsi="仿宋_GB2312" w:cs="仿宋_GB2312" w:eastAsia="仿宋_GB2312"/>
              </w:rPr>
              <w:t>A02061808取暖器500个</w:t>
            </w:r>
          </w:p>
        </w:tc>
        <w:tc>
          <w:tcPr>
            <w:tcW w:type="dxa" w:w="755"/>
          </w:tcPr>
          <w:p>
            <w:pPr>
              <w:pStyle w:val="null3"/>
              <w:jc w:val="right"/>
            </w:pPr>
            <w:r>
              <w:rPr>
                <w:rFonts w:ascii="仿宋_GB2312" w:hAnsi="仿宋_GB2312" w:cs="仿宋_GB2312" w:eastAsia="仿宋_GB2312"/>
              </w:rPr>
              <w:t>500.00</w:t>
            </w:r>
          </w:p>
        </w:tc>
        <w:tc>
          <w:tcPr>
            <w:tcW w:type="dxa" w:w="755"/>
          </w:tcPr>
          <w:p>
            <w:pPr>
              <w:pStyle w:val="null3"/>
              <w:jc w:val="right"/>
            </w:pPr>
            <w:r>
              <w:rPr>
                <w:rFonts w:ascii="仿宋_GB2312" w:hAnsi="仿宋_GB2312" w:cs="仿宋_GB2312" w:eastAsia="仿宋_GB2312"/>
              </w:rPr>
              <w:t>125,000.00</w:t>
            </w:r>
          </w:p>
        </w:tc>
        <w:tc>
          <w:tcPr>
            <w:tcW w:type="dxa" w:w="755"/>
          </w:tcPr>
          <w:p>
            <w:pPr>
              <w:pStyle w:val="null3"/>
            </w:pPr>
            <w:r>
              <w:rPr>
                <w:rFonts w:ascii="仿宋_GB2312" w:hAnsi="仿宋_GB2312" w:cs="仿宋_GB2312" w:eastAsia="仿宋_GB2312"/>
              </w:rPr>
              <w:t>个</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4</w:t>
            </w:r>
          </w:p>
        </w:tc>
        <w:tc>
          <w:tcPr>
            <w:tcW w:type="dxa" w:w="755"/>
          </w:tcPr>
          <w:p>
            <w:pPr>
              <w:pStyle w:val="null3"/>
            </w:pPr>
            <w:r>
              <w:rPr>
                <w:rFonts w:ascii="仿宋_GB2312" w:hAnsi="仿宋_GB2312" w:cs="仿宋_GB2312" w:eastAsia="仿宋_GB2312"/>
              </w:rPr>
              <w:t>A05030406毯子500个</w:t>
            </w:r>
          </w:p>
        </w:tc>
        <w:tc>
          <w:tcPr>
            <w:tcW w:type="dxa" w:w="755"/>
          </w:tcPr>
          <w:p>
            <w:pPr>
              <w:pStyle w:val="null3"/>
              <w:jc w:val="right"/>
            </w:pPr>
            <w:r>
              <w:rPr>
                <w:rFonts w:ascii="仿宋_GB2312" w:hAnsi="仿宋_GB2312" w:cs="仿宋_GB2312" w:eastAsia="仿宋_GB2312"/>
              </w:rPr>
              <w:t>500.00</w:t>
            </w:r>
          </w:p>
        </w:tc>
        <w:tc>
          <w:tcPr>
            <w:tcW w:type="dxa" w:w="755"/>
          </w:tcPr>
          <w:p>
            <w:pPr>
              <w:pStyle w:val="null3"/>
              <w:jc w:val="right"/>
            </w:pPr>
            <w:r>
              <w:rPr>
                <w:rFonts w:ascii="仿宋_GB2312" w:hAnsi="仿宋_GB2312" w:cs="仿宋_GB2312" w:eastAsia="仿宋_GB2312"/>
              </w:rPr>
              <w:t>125,000.00</w:t>
            </w:r>
          </w:p>
        </w:tc>
        <w:tc>
          <w:tcPr>
            <w:tcW w:type="dxa" w:w="755"/>
          </w:tcPr>
          <w:p>
            <w:pPr>
              <w:pStyle w:val="null3"/>
            </w:pPr>
            <w:r>
              <w:rPr>
                <w:rFonts w:ascii="仿宋_GB2312" w:hAnsi="仿宋_GB2312" w:cs="仿宋_GB2312" w:eastAsia="仿宋_GB2312"/>
              </w:rPr>
              <w:t>个</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标的名称：A02061816烹调电器501个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35"/>
              <w:gridCol w:w="1484"/>
              <w:gridCol w:w="235"/>
              <w:gridCol w:w="224"/>
              <w:gridCol w:w="224"/>
            </w:tblGrid>
            <w:tr>
              <w:tc>
                <w:tcPr>
                  <w:tcW w:type="dxa" w:w="2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采购内容</w:t>
                  </w:r>
                </w:p>
              </w:tc>
              <w:tc>
                <w:tcPr>
                  <w:tcW w:type="dxa" w:w="14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技术要求</w:t>
                  </w:r>
                </w:p>
              </w:tc>
              <w:tc>
                <w:tcPr>
                  <w:tcW w:type="dxa" w:w="2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计量单位</w:t>
                  </w:r>
                </w:p>
              </w:tc>
              <w:tc>
                <w:tcPr>
                  <w:tcW w:type="dxa" w:w="2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采购数量</w:t>
                  </w:r>
                </w:p>
              </w:tc>
              <w:tc>
                <w:tcPr>
                  <w:tcW w:type="dxa" w:w="2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备注</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空气炸锅</w:t>
                  </w:r>
                </w:p>
              </w:tc>
              <w:tc>
                <w:tcPr>
                  <w:tcW w:type="dxa" w:w="1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★1、额定电压/频率：220V～50Hz</w:t>
                  </w:r>
                </w:p>
                <w:p>
                  <w:pPr>
                    <w:pStyle w:val="null3"/>
                    <w:jc w:val="left"/>
                  </w:pPr>
                  <w:r>
                    <w:rPr>
                      <w:rFonts w:ascii="仿宋_GB2312" w:hAnsi="仿宋_GB2312" w:cs="仿宋_GB2312" w:eastAsia="仿宋_GB2312"/>
                      <w:sz w:val="20"/>
                    </w:rPr>
                    <w:t>★2、额定功率≥</w:t>
                  </w:r>
                  <w:r>
                    <w:rPr>
                      <w:rFonts w:ascii="仿宋_GB2312" w:hAnsi="仿宋_GB2312" w:cs="仿宋_GB2312" w:eastAsia="仿宋_GB2312"/>
                      <w:sz w:val="20"/>
                      <w:color w:val="000000"/>
                    </w:rPr>
                    <w:t>1390W</w:t>
                  </w:r>
                </w:p>
                <w:p>
                  <w:pPr>
                    <w:pStyle w:val="null3"/>
                    <w:jc w:val="left"/>
                  </w:pPr>
                  <w:r>
                    <w:rPr>
                      <w:rFonts w:ascii="仿宋_GB2312" w:hAnsi="仿宋_GB2312" w:cs="仿宋_GB2312" w:eastAsia="仿宋_GB2312"/>
                      <w:sz w:val="20"/>
                    </w:rPr>
                    <w:t>★3、容量≥</w:t>
                  </w:r>
                  <w:r>
                    <w:rPr>
                      <w:rFonts w:ascii="仿宋_GB2312" w:hAnsi="仿宋_GB2312" w:cs="仿宋_GB2312" w:eastAsia="仿宋_GB2312"/>
                      <w:sz w:val="20"/>
                      <w:color w:val="000000"/>
                    </w:rPr>
                    <w:t>4.4L</w:t>
                  </w:r>
                </w:p>
                <w:p>
                  <w:pPr>
                    <w:pStyle w:val="null3"/>
                    <w:jc w:val="both"/>
                  </w:pPr>
                  <w:r>
                    <w:rPr>
                      <w:rFonts w:ascii="仿宋_GB2312" w:hAnsi="仿宋_GB2312" w:cs="仿宋_GB2312" w:eastAsia="仿宋_GB2312"/>
                      <w:sz w:val="20"/>
                    </w:rPr>
                    <w:t>★4、控制方式：机械操控</w:t>
                  </w:r>
                </w:p>
                <w:p>
                  <w:pPr>
                    <w:pStyle w:val="null3"/>
                    <w:jc w:val="both"/>
                  </w:pPr>
                  <w:r>
                    <w:rPr>
                      <w:rFonts w:ascii="仿宋_GB2312" w:hAnsi="仿宋_GB2312" w:cs="仿宋_GB2312" w:eastAsia="仿宋_GB2312"/>
                      <w:sz w:val="20"/>
                    </w:rPr>
                    <w:t>5、操作方式：旋钮式操作</w:t>
                  </w:r>
                </w:p>
                <w:p>
                  <w:pPr>
                    <w:pStyle w:val="null3"/>
                    <w:jc w:val="both"/>
                  </w:pPr>
                  <w:r>
                    <w:rPr>
                      <w:rFonts w:ascii="仿宋_GB2312" w:hAnsi="仿宋_GB2312" w:cs="仿宋_GB2312" w:eastAsia="仿宋_GB2312"/>
                      <w:sz w:val="20"/>
                    </w:rPr>
                    <w:t>★6、控温方式：突跳式控温器</w:t>
                  </w:r>
                </w:p>
                <w:p>
                  <w:pPr>
                    <w:pStyle w:val="null3"/>
                    <w:jc w:val="both"/>
                  </w:pPr>
                  <w:r>
                    <w:rPr>
                      <w:rFonts w:ascii="仿宋_GB2312" w:hAnsi="仿宋_GB2312" w:cs="仿宋_GB2312" w:eastAsia="仿宋_GB2312"/>
                      <w:sz w:val="20"/>
                    </w:rPr>
                    <w:t>★7、调时区间：0-60min</w:t>
                  </w:r>
                </w:p>
                <w:p>
                  <w:pPr>
                    <w:pStyle w:val="null3"/>
                    <w:jc w:val="both"/>
                  </w:pPr>
                  <w:r>
                    <w:rPr>
                      <w:rFonts w:ascii="仿宋_GB2312" w:hAnsi="仿宋_GB2312" w:cs="仿宋_GB2312" w:eastAsia="仿宋_GB2312"/>
                      <w:sz w:val="20"/>
                    </w:rPr>
                    <w:t>★8、发热管材质：食品级不锈钢304</w:t>
                  </w:r>
                </w:p>
                <w:p>
                  <w:pPr>
                    <w:pStyle w:val="null3"/>
                    <w:jc w:val="both"/>
                  </w:pPr>
                  <w:r>
                    <w:rPr>
                      <w:rFonts w:ascii="仿宋_GB2312" w:hAnsi="仿宋_GB2312" w:cs="仿宋_GB2312" w:eastAsia="仿宋_GB2312"/>
                      <w:sz w:val="20"/>
                    </w:rPr>
                    <w:t>★9、炸篮材质及涂层：镀铝板+水性不粘涂层</w:t>
                  </w:r>
                </w:p>
                <w:p>
                  <w:pPr>
                    <w:pStyle w:val="null3"/>
                    <w:jc w:val="both"/>
                  </w:pPr>
                  <w:r>
                    <w:rPr>
                      <w:rFonts w:ascii="仿宋_GB2312" w:hAnsi="仿宋_GB2312" w:cs="仿宋_GB2312" w:eastAsia="仿宋_GB2312"/>
                      <w:sz w:val="20"/>
                    </w:rPr>
                    <w:t>★10、炸板材质及涂层：镀铝板+抗菌水性涂层</w:t>
                  </w:r>
                </w:p>
                <w:p>
                  <w:pPr>
                    <w:pStyle w:val="null3"/>
                    <w:jc w:val="both"/>
                  </w:pPr>
                  <w:r>
                    <w:rPr>
                      <w:rFonts w:ascii="仿宋_GB2312" w:hAnsi="仿宋_GB2312" w:cs="仿宋_GB2312" w:eastAsia="仿宋_GB2312"/>
                      <w:sz w:val="20"/>
                    </w:rPr>
                    <w:t>11、形态：烤篮式</w:t>
                  </w:r>
                </w:p>
                <w:p>
                  <w:pPr>
                    <w:pStyle w:val="null3"/>
                    <w:jc w:val="both"/>
                  </w:pPr>
                  <w:r>
                    <w:rPr>
                      <w:rFonts w:ascii="仿宋_GB2312" w:hAnsi="仿宋_GB2312" w:cs="仿宋_GB2312" w:eastAsia="仿宋_GB2312"/>
                      <w:sz w:val="20"/>
                    </w:rPr>
                    <w:t>12、开门方式：抽拉式</w:t>
                  </w:r>
                </w:p>
                <w:p>
                  <w:pPr>
                    <w:pStyle w:val="null3"/>
                    <w:jc w:val="both"/>
                  </w:pPr>
                  <w:r>
                    <w:rPr>
                      <w:rFonts w:ascii="仿宋_GB2312" w:hAnsi="仿宋_GB2312" w:cs="仿宋_GB2312" w:eastAsia="仿宋_GB2312"/>
                      <w:sz w:val="20"/>
                    </w:rPr>
                    <w:t>★13、运行噪音≤56dB</w:t>
                  </w:r>
                </w:p>
                <w:p>
                  <w:pPr>
                    <w:pStyle w:val="null3"/>
                    <w:jc w:val="both"/>
                  </w:pPr>
                  <w:r>
                    <w:rPr>
                      <w:rFonts w:ascii="仿宋_GB2312" w:hAnsi="仿宋_GB2312" w:cs="仿宋_GB2312" w:eastAsia="仿宋_GB2312"/>
                      <w:sz w:val="20"/>
                    </w:rPr>
                    <w:t>★14、底盘类型：平面底盘（含注水区）</w:t>
                  </w:r>
                </w:p>
                <w:p>
                  <w:pPr>
                    <w:pStyle w:val="null3"/>
                    <w:jc w:val="left"/>
                  </w:pPr>
                  <w:r>
                    <w:rPr>
                      <w:rFonts w:ascii="仿宋_GB2312" w:hAnsi="仿宋_GB2312" w:cs="仿宋_GB2312" w:eastAsia="仿宋_GB2312"/>
                      <w:sz w:val="20"/>
                    </w:rPr>
                    <w:t>15、</w:t>
                  </w:r>
                  <w:r>
                    <w:rPr>
                      <w:rFonts w:ascii="仿宋_GB2312" w:hAnsi="仿宋_GB2312" w:cs="仿宋_GB2312" w:eastAsia="仿宋_GB2312"/>
                      <w:sz w:val="20"/>
                      <w:color w:val="000000"/>
                    </w:rPr>
                    <w:t>功能要求：支持嫩炸，酥嫩不干柴；支持脆炸，不加蒸汽口感焦香；支持定时，免翻面功能；具备水性环粘涂层；具有</w:t>
                  </w:r>
                  <w:r>
                    <w:rPr>
                      <w:rFonts w:ascii="仿宋_GB2312" w:hAnsi="仿宋_GB2312" w:cs="仿宋_GB2312" w:eastAsia="仿宋_GB2312"/>
                      <w:sz w:val="20"/>
                    </w:rPr>
                    <w:t>轻音运作，不扰日常生活；具备高效散热系统，安全稳定；不粘分离式炸篮，便于日常打理；预设菜谱，烹饪省心；需内置灵敏感应装置，应支持自动断电停热，放回炸篮自动续热功能；</w:t>
                  </w:r>
                  <w:r>
                    <w:rPr>
                      <w:rFonts w:ascii="仿宋_GB2312" w:hAnsi="仿宋_GB2312" w:cs="仿宋_GB2312" w:eastAsia="仿宋_GB2312"/>
                      <w:sz w:val="20"/>
                      <w:color w:val="000000"/>
                    </w:rPr>
                    <w:t>要求操作简单，易上手、安全性能保障全面等。</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501</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核心产品</w:t>
                  </w:r>
                </w:p>
              </w:tc>
            </w:tr>
          </w:tbl>
          <w:p/>
        </w:tc>
      </w:tr>
    </w:tbl>
    <w:p>
      <w:pPr>
        <w:pStyle w:val="null3"/>
      </w:pPr>
      <w:r>
        <w:rPr>
          <w:rFonts w:ascii="仿宋_GB2312" w:hAnsi="仿宋_GB2312" w:cs="仿宋_GB2312" w:eastAsia="仿宋_GB2312"/>
        </w:rPr>
        <w:t>标的名称：A02061811吸尘器501个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35"/>
              <w:gridCol w:w="1484"/>
              <w:gridCol w:w="235"/>
              <w:gridCol w:w="224"/>
              <w:gridCol w:w="224"/>
            </w:tblGrid>
            <w:tr>
              <w:tc>
                <w:tcPr>
                  <w:tcW w:type="dxa" w:w="2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采购内容</w:t>
                  </w:r>
                </w:p>
              </w:tc>
              <w:tc>
                <w:tcPr>
                  <w:tcW w:type="dxa" w:w="14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技术要求</w:t>
                  </w:r>
                </w:p>
              </w:tc>
              <w:tc>
                <w:tcPr>
                  <w:tcW w:type="dxa" w:w="2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计量单位</w:t>
                  </w:r>
                </w:p>
              </w:tc>
              <w:tc>
                <w:tcPr>
                  <w:tcW w:type="dxa" w:w="2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采购数量</w:t>
                  </w:r>
                </w:p>
              </w:tc>
              <w:tc>
                <w:tcPr>
                  <w:tcW w:type="dxa" w:w="2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备注</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车载吸尘器</w:t>
                  </w:r>
                </w:p>
              </w:tc>
              <w:tc>
                <w:tcPr>
                  <w:tcW w:type="dxa" w:w="1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★1、电机机芯：无刷电机</w:t>
                  </w:r>
                </w:p>
                <w:p>
                  <w:pPr>
                    <w:pStyle w:val="null3"/>
                    <w:jc w:val="both"/>
                  </w:pPr>
                  <w:r>
                    <w:rPr>
                      <w:rFonts w:ascii="仿宋_GB2312" w:hAnsi="仿宋_GB2312" w:cs="仿宋_GB2312" w:eastAsia="仿宋_GB2312"/>
                      <w:sz w:val="20"/>
                    </w:rPr>
                    <w:t>★2、电机转速≥86800RPM</w:t>
                  </w:r>
                </w:p>
                <w:p>
                  <w:pPr>
                    <w:pStyle w:val="null3"/>
                    <w:jc w:val="left"/>
                  </w:pPr>
                  <w:r>
                    <w:rPr>
                      <w:rFonts w:ascii="仿宋_GB2312" w:hAnsi="仿宋_GB2312" w:cs="仿宋_GB2312" w:eastAsia="仿宋_GB2312"/>
                      <w:sz w:val="20"/>
                    </w:rPr>
                    <w:t>★3、额定功率≥100W</w:t>
                  </w:r>
                </w:p>
                <w:p>
                  <w:pPr>
                    <w:pStyle w:val="null3"/>
                    <w:jc w:val="left"/>
                  </w:pPr>
                  <w:r>
                    <w:rPr>
                      <w:rFonts w:ascii="仿宋_GB2312" w:hAnsi="仿宋_GB2312" w:cs="仿宋_GB2312" w:eastAsia="仿宋_GB2312"/>
                      <w:sz w:val="20"/>
                    </w:rPr>
                    <w:t>★4、额定吸力≥22000Pa</w:t>
                  </w:r>
                </w:p>
                <w:p>
                  <w:pPr>
                    <w:pStyle w:val="null3"/>
                    <w:jc w:val="left"/>
                  </w:pPr>
                  <w:r>
                    <w:rPr>
                      <w:rFonts w:ascii="仿宋_GB2312" w:hAnsi="仿宋_GB2312" w:cs="仿宋_GB2312" w:eastAsia="仿宋_GB2312"/>
                      <w:sz w:val="20"/>
                    </w:rPr>
                    <w:t>★5、连接方式：无线</w:t>
                  </w:r>
                </w:p>
                <w:p>
                  <w:pPr>
                    <w:pStyle w:val="null3"/>
                    <w:jc w:val="left"/>
                  </w:pPr>
                  <w:r>
                    <w:rPr>
                      <w:rFonts w:ascii="仿宋_GB2312" w:hAnsi="仿宋_GB2312" w:cs="仿宋_GB2312" w:eastAsia="仿宋_GB2312"/>
                      <w:sz w:val="20"/>
                    </w:rPr>
                    <w:t>6、供电方式：电池</w:t>
                  </w:r>
                </w:p>
                <w:p>
                  <w:pPr>
                    <w:pStyle w:val="null3"/>
                    <w:jc w:val="left"/>
                  </w:pPr>
                  <w:r>
                    <w:rPr>
                      <w:rFonts w:ascii="仿宋_GB2312" w:hAnsi="仿宋_GB2312" w:cs="仿宋_GB2312" w:eastAsia="仿宋_GB2312"/>
                      <w:sz w:val="20"/>
                    </w:rPr>
                    <w:t>★7、配套充吸头</w:t>
                  </w:r>
                  <w:r>
                    <w:rPr>
                      <w:rFonts w:ascii="仿宋_GB2312" w:hAnsi="仿宋_GB2312" w:cs="仿宋_GB2312" w:eastAsia="仿宋_GB2312"/>
                      <w:sz w:val="20"/>
                      <w:color w:val="000000"/>
                    </w:rPr>
                    <w:t>≥4个</w:t>
                  </w:r>
                </w:p>
                <w:p>
                  <w:pPr>
                    <w:pStyle w:val="null3"/>
                    <w:jc w:val="left"/>
                  </w:pPr>
                  <w:r>
                    <w:rPr>
                      <w:rFonts w:ascii="仿宋_GB2312" w:hAnsi="仿宋_GB2312" w:cs="仿宋_GB2312" w:eastAsia="仿宋_GB2312"/>
                      <w:sz w:val="20"/>
                    </w:rPr>
                    <w:t>★8、充电接口：type-c</w:t>
                  </w:r>
                </w:p>
                <w:p>
                  <w:pPr>
                    <w:pStyle w:val="null3"/>
                    <w:jc w:val="left"/>
                  </w:pPr>
                  <w:r>
                    <w:rPr>
                      <w:rFonts w:ascii="仿宋_GB2312" w:hAnsi="仿宋_GB2312" w:cs="仿宋_GB2312" w:eastAsia="仿宋_GB2312"/>
                      <w:sz w:val="20"/>
                    </w:rPr>
                    <w:t>9、电池</w:t>
                  </w:r>
                  <w:r>
                    <w:rPr>
                      <w:rFonts w:ascii="仿宋_GB2312" w:hAnsi="仿宋_GB2312" w:cs="仿宋_GB2312" w:eastAsia="仿宋_GB2312"/>
                      <w:sz w:val="20"/>
                      <w:color w:val="000000"/>
                    </w:rPr>
                    <w:t>≥2500mAh（含电池组）</w:t>
                  </w:r>
                </w:p>
                <w:p>
                  <w:pPr>
                    <w:pStyle w:val="null3"/>
                    <w:jc w:val="left"/>
                  </w:pPr>
                  <w:r>
                    <w:rPr>
                      <w:rFonts w:ascii="仿宋_GB2312" w:hAnsi="仿宋_GB2312" w:cs="仿宋_GB2312" w:eastAsia="仿宋_GB2312"/>
                      <w:sz w:val="20"/>
                    </w:rPr>
                    <w:t>★10、续航时间</w:t>
                  </w:r>
                  <w:r>
                    <w:rPr>
                      <w:rFonts w:ascii="仿宋_GB2312" w:hAnsi="仿宋_GB2312" w:cs="仿宋_GB2312" w:eastAsia="仿宋_GB2312"/>
                      <w:sz w:val="20"/>
                      <w:color w:val="000000"/>
                    </w:rPr>
                    <w:t>≥40</w:t>
                  </w:r>
                  <w:r>
                    <w:rPr>
                      <w:rFonts w:ascii="仿宋_GB2312" w:hAnsi="仿宋_GB2312" w:cs="仿宋_GB2312" w:eastAsia="仿宋_GB2312"/>
                      <w:sz w:val="20"/>
                    </w:rPr>
                    <w:t>分钟</w:t>
                  </w:r>
                </w:p>
                <w:p>
                  <w:pPr>
                    <w:pStyle w:val="null3"/>
                    <w:jc w:val="left"/>
                  </w:pPr>
                  <w:r>
                    <w:rPr>
                      <w:rFonts w:ascii="仿宋_GB2312" w:hAnsi="仿宋_GB2312" w:cs="仿宋_GB2312" w:eastAsia="仿宋_GB2312"/>
                      <w:sz w:val="20"/>
                    </w:rPr>
                    <w:t>★11、噪音≤83dB</w:t>
                  </w:r>
                </w:p>
                <w:p>
                  <w:pPr>
                    <w:pStyle w:val="null3"/>
                    <w:jc w:val="both"/>
                  </w:pPr>
                  <w:r>
                    <w:rPr>
                      <w:rFonts w:ascii="仿宋_GB2312" w:hAnsi="仿宋_GB2312" w:cs="仿宋_GB2312" w:eastAsia="仿宋_GB2312"/>
                      <w:sz w:val="20"/>
                    </w:rPr>
                    <w:t>12、规格要求：配备加宽吸头，高效去除易粘易附着的毛发；具备深层清洁力；能吸走颗粒垃圾；隔空吸走各种毛发；需具备吸尘、吹风、充气等功能；具备一键倒尘功能；配备长扁吸嘴、毛刷吸头组合，吸各种死角缝隙，边吸边刷；配备充气嘴，适合多口径产品充气；配备金属滤网等高密度滤芯，可过滤细小尘埃、螨虫等，支持可水洗</w:t>
                  </w:r>
                  <w:r>
                    <w:rPr>
                      <w:rFonts w:ascii="仿宋_GB2312" w:hAnsi="仿宋_GB2312" w:cs="仿宋_GB2312" w:eastAsia="仿宋_GB2312"/>
                      <w:sz w:val="20"/>
                    </w:rPr>
                    <w:t>；配备收纳袋，便于携带及收纳</w:t>
                  </w:r>
                  <w:r>
                    <w:rPr>
                      <w:rFonts w:ascii="仿宋_GB2312" w:hAnsi="仿宋_GB2312" w:cs="仿宋_GB2312" w:eastAsia="仿宋_GB2312"/>
                      <w:sz w:val="20"/>
                    </w:rPr>
                    <w:t xml:space="preserve"> </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★13、安全性能：感应电流电压，智能检测过流、过温、过充、过放保护，提升安全性能。</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501</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核心产品</w:t>
                  </w:r>
                </w:p>
              </w:tc>
            </w:tr>
          </w:tbl>
          <w:p/>
        </w:tc>
      </w:tr>
    </w:tbl>
    <w:p>
      <w:pPr>
        <w:pStyle w:val="null3"/>
      </w:pPr>
      <w:r>
        <w:rPr>
          <w:rFonts w:ascii="仿宋_GB2312" w:hAnsi="仿宋_GB2312" w:cs="仿宋_GB2312" w:eastAsia="仿宋_GB2312"/>
        </w:rPr>
        <w:t>标的名称：A02061808取暖器500个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35"/>
              <w:gridCol w:w="1484"/>
              <w:gridCol w:w="235"/>
              <w:gridCol w:w="224"/>
              <w:gridCol w:w="224"/>
            </w:tblGrid>
            <w:tr>
              <w:tc>
                <w:tcPr>
                  <w:tcW w:type="dxa" w:w="2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采购内容</w:t>
                  </w:r>
                </w:p>
              </w:tc>
              <w:tc>
                <w:tcPr>
                  <w:tcW w:type="dxa" w:w="14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技术要求</w:t>
                  </w:r>
                </w:p>
              </w:tc>
              <w:tc>
                <w:tcPr>
                  <w:tcW w:type="dxa" w:w="2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计量单位</w:t>
                  </w:r>
                </w:p>
              </w:tc>
              <w:tc>
                <w:tcPr>
                  <w:tcW w:type="dxa" w:w="2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采购数量</w:t>
                  </w:r>
                </w:p>
              </w:tc>
              <w:tc>
                <w:tcPr>
                  <w:tcW w:type="dxa" w:w="2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备注</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立式取暖器</w:t>
                  </w:r>
                </w:p>
              </w:tc>
              <w:tc>
                <w:tcPr>
                  <w:tcW w:type="dxa" w:w="1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★1、额定电压：220V/50Hz</w:t>
                  </w:r>
                </w:p>
                <w:p>
                  <w:pPr>
                    <w:pStyle w:val="null3"/>
                    <w:jc w:val="both"/>
                  </w:pPr>
                  <w:r>
                    <w:rPr>
                      <w:rFonts w:ascii="仿宋_GB2312" w:hAnsi="仿宋_GB2312" w:cs="仿宋_GB2312" w:eastAsia="仿宋_GB2312"/>
                      <w:sz w:val="20"/>
                    </w:rPr>
                    <w:t>★2、加热方式：PTC陶瓷+石墨烯复合发热；低噪无光</w:t>
                  </w:r>
                </w:p>
                <w:p>
                  <w:pPr>
                    <w:pStyle w:val="null3"/>
                    <w:jc w:val="both"/>
                  </w:pPr>
                  <w:r>
                    <w:rPr>
                      <w:rFonts w:ascii="仿宋_GB2312" w:hAnsi="仿宋_GB2312" w:cs="仿宋_GB2312" w:eastAsia="仿宋_GB2312"/>
                      <w:sz w:val="20"/>
                    </w:rPr>
                    <w:t>★3、送风结构：支持下压送风，支持50度及以上广角摇头送热</w:t>
                  </w:r>
                </w:p>
                <w:p>
                  <w:pPr>
                    <w:pStyle w:val="null3"/>
                    <w:jc w:val="both"/>
                  </w:pPr>
                  <w:r>
                    <w:rPr>
                      <w:rFonts w:ascii="仿宋_GB2312" w:hAnsi="仿宋_GB2312" w:cs="仿宋_GB2312" w:eastAsia="仿宋_GB2312"/>
                      <w:sz w:val="20"/>
                    </w:rPr>
                    <w:t>4、抗菌：石墨烯99.9%抗菌</w:t>
                  </w:r>
                </w:p>
                <w:p>
                  <w:pPr>
                    <w:pStyle w:val="null3"/>
                    <w:jc w:val="both"/>
                  </w:pPr>
                  <w:r>
                    <w:rPr>
                      <w:rFonts w:ascii="仿宋_GB2312" w:hAnsi="仿宋_GB2312" w:cs="仿宋_GB2312" w:eastAsia="仿宋_GB2312"/>
                      <w:sz w:val="20"/>
                    </w:rPr>
                    <w:t>★5、额定功率</w:t>
                  </w:r>
                  <w:r>
                    <w:rPr>
                      <w:rFonts w:ascii="仿宋_GB2312" w:hAnsi="仿宋_GB2312" w:cs="仿宋_GB2312" w:eastAsia="仿宋_GB2312"/>
                      <w:sz w:val="20"/>
                      <w:color w:val="000000"/>
                    </w:rPr>
                    <w:t>≥1950W</w:t>
                  </w:r>
                </w:p>
                <w:p>
                  <w:pPr>
                    <w:pStyle w:val="null3"/>
                    <w:jc w:val="both"/>
                  </w:pPr>
                  <w:r>
                    <w:rPr>
                      <w:rFonts w:ascii="仿宋_GB2312" w:hAnsi="仿宋_GB2312" w:cs="仿宋_GB2312" w:eastAsia="仿宋_GB2312"/>
                      <w:sz w:val="20"/>
                    </w:rPr>
                    <w:t>6、速热：3秒出热风</w:t>
                  </w:r>
                </w:p>
                <w:p>
                  <w:pPr>
                    <w:pStyle w:val="null3"/>
                    <w:jc w:val="both"/>
                  </w:pPr>
                  <w:r>
                    <w:rPr>
                      <w:rFonts w:ascii="仿宋_GB2312" w:hAnsi="仿宋_GB2312" w:cs="仿宋_GB2312" w:eastAsia="仿宋_GB2312"/>
                      <w:sz w:val="20"/>
                    </w:rPr>
                    <w:t>7、噪音：≤50dB</w:t>
                  </w:r>
                </w:p>
                <w:p>
                  <w:pPr>
                    <w:pStyle w:val="null3"/>
                    <w:jc w:val="both"/>
                  </w:pPr>
                  <w:r>
                    <w:rPr>
                      <w:rFonts w:ascii="仿宋_GB2312" w:hAnsi="仿宋_GB2312" w:cs="仿宋_GB2312" w:eastAsia="仿宋_GB2312"/>
                      <w:sz w:val="20"/>
                    </w:rPr>
                    <w:t>★8、放置方式：落地式</w:t>
                  </w:r>
                </w:p>
                <w:p>
                  <w:pPr>
                    <w:pStyle w:val="null3"/>
                    <w:jc w:val="both"/>
                  </w:pPr>
                  <w:r>
                    <w:rPr>
                      <w:rFonts w:ascii="仿宋_GB2312" w:hAnsi="仿宋_GB2312" w:cs="仿宋_GB2312" w:eastAsia="仿宋_GB2312"/>
                      <w:sz w:val="20"/>
                    </w:rPr>
                    <w:t>9、控制方式：机械式或遥控款</w:t>
                  </w:r>
                </w:p>
                <w:p>
                  <w:pPr>
                    <w:pStyle w:val="null3"/>
                    <w:jc w:val="both"/>
                  </w:pPr>
                  <w:r>
                    <w:rPr>
                      <w:rFonts w:ascii="仿宋_GB2312" w:hAnsi="仿宋_GB2312" w:cs="仿宋_GB2312" w:eastAsia="仿宋_GB2312"/>
                      <w:sz w:val="20"/>
                    </w:rPr>
                    <w:t>★10、安全要求：支持过热保护；支持倾倒断电；整机阻燃耐高温性质材；</w:t>
                  </w:r>
                </w:p>
                <w:p>
                  <w:pPr>
                    <w:pStyle w:val="null3"/>
                    <w:jc w:val="both"/>
                  </w:pPr>
                  <w:r>
                    <w:rPr>
                      <w:rFonts w:ascii="仿宋_GB2312" w:hAnsi="仿宋_GB2312" w:cs="仿宋_GB2312" w:eastAsia="仿宋_GB2312"/>
                      <w:sz w:val="20"/>
                    </w:rPr>
                    <w:t>11、功能规格：支持曲面出风；双PTC发热芯，支持速热；具备机械旋钮，老人易操作；隐藏提手，便于移动；轻巧机身，支持台面、地面摆放；具备暧脚、安静、耐用、安全等功能。</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500</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核心产品</w:t>
                  </w:r>
                </w:p>
              </w:tc>
            </w:tr>
          </w:tbl>
          <w:p/>
        </w:tc>
      </w:tr>
    </w:tbl>
    <w:p>
      <w:pPr>
        <w:pStyle w:val="null3"/>
      </w:pPr>
      <w:r>
        <w:rPr>
          <w:rFonts w:ascii="仿宋_GB2312" w:hAnsi="仿宋_GB2312" w:cs="仿宋_GB2312" w:eastAsia="仿宋_GB2312"/>
        </w:rPr>
        <w:t>标的名称：A05030406毯子500个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35"/>
              <w:gridCol w:w="1484"/>
              <w:gridCol w:w="235"/>
              <w:gridCol w:w="224"/>
              <w:gridCol w:w="224"/>
            </w:tblGrid>
            <w:tr>
              <w:tc>
                <w:tcPr>
                  <w:tcW w:type="dxa" w:w="2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采购内容</w:t>
                  </w:r>
                </w:p>
              </w:tc>
              <w:tc>
                <w:tcPr>
                  <w:tcW w:type="dxa" w:w="14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技术要求</w:t>
                  </w:r>
                </w:p>
              </w:tc>
              <w:tc>
                <w:tcPr>
                  <w:tcW w:type="dxa" w:w="2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计量单位</w:t>
                  </w:r>
                </w:p>
              </w:tc>
              <w:tc>
                <w:tcPr>
                  <w:tcW w:type="dxa" w:w="2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采购数量</w:t>
                  </w:r>
                </w:p>
              </w:tc>
              <w:tc>
                <w:tcPr>
                  <w:tcW w:type="dxa" w:w="2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备注</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毯子</w:t>
                  </w:r>
                </w:p>
              </w:tc>
              <w:tc>
                <w:tcPr>
                  <w:tcW w:type="dxa" w:w="1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★1、规格：200cm*230</w:t>
                  </w:r>
                  <w:r>
                    <w:rPr>
                      <w:rFonts w:ascii="仿宋_GB2312" w:hAnsi="仿宋_GB2312" w:cs="仿宋_GB2312" w:eastAsia="仿宋_GB2312"/>
                      <w:sz w:val="20"/>
                    </w:rPr>
                    <w:t>cm（允差±1cm）</w:t>
                  </w:r>
                </w:p>
                <w:p>
                  <w:pPr>
                    <w:pStyle w:val="null3"/>
                    <w:jc w:val="both"/>
                  </w:pPr>
                  <w:r>
                    <w:rPr>
                      <w:rFonts w:ascii="仿宋_GB2312" w:hAnsi="仿宋_GB2312" w:cs="仿宋_GB2312" w:eastAsia="仿宋_GB2312"/>
                      <w:sz w:val="20"/>
                    </w:rPr>
                    <w:t>★2、结构：双层中厚、双面暖绒、高密织法</w:t>
                  </w:r>
                </w:p>
                <w:p>
                  <w:pPr>
                    <w:pStyle w:val="null3"/>
                    <w:jc w:val="both"/>
                  </w:pPr>
                  <w:r>
                    <w:rPr>
                      <w:rFonts w:ascii="仿宋_GB2312" w:hAnsi="仿宋_GB2312" w:cs="仿宋_GB2312" w:eastAsia="仿宋_GB2312"/>
                      <w:sz w:val="20"/>
                    </w:rPr>
                    <w:t>★3、面料：拉舍尔绒</w:t>
                  </w:r>
                </w:p>
                <w:p>
                  <w:pPr>
                    <w:pStyle w:val="null3"/>
                    <w:jc w:val="both"/>
                  </w:pPr>
                  <w:r>
                    <w:rPr>
                      <w:rFonts w:ascii="仿宋_GB2312" w:hAnsi="仿宋_GB2312" w:cs="仿宋_GB2312" w:eastAsia="仿宋_GB2312"/>
                      <w:sz w:val="20"/>
                    </w:rPr>
                    <w:t>★4、重量：净重</w:t>
                  </w:r>
                  <w:r>
                    <w:rPr>
                      <w:rFonts w:ascii="仿宋_GB2312" w:hAnsi="仿宋_GB2312" w:cs="仿宋_GB2312" w:eastAsia="仿宋_GB2312"/>
                      <w:sz w:val="20"/>
                      <w:color w:val="000000"/>
                    </w:rPr>
                    <w:t>≥</w:t>
                  </w:r>
                  <w:r>
                    <w:rPr>
                      <w:rFonts w:ascii="仿宋_GB2312" w:hAnsi="仿宋_GB2312" w:cs="仿宋_GB2312" w:eastAsia="仿宋_GB2312"/>
                      <w:sz w:val="20"/>
                    </w:rPr>
                    <w:t>6斤</w:t>
                  </w:r>
                </w:p>
                <w:p>
                  <w:pPr>
                    <w:pStyle w:val="null3"/>
                    <w:jc w:val="both"/>
                  </w:pPr>
                  <w:r>
                    <w:rPr>
                      <w:rFonts w:ascii="仿宋_GB2312" w:hAnsi="仿宋_GB2312" w:cs="仿宋_GB2312" w:eastAsia="仿宋_GB2312"/>
                      <w:sz w:val="20"/>
                    </w:rPr>
                    <w:t>★5、面料：100%聚酯纤维</w:t>
                  </w:r>
                </w:p>
                <w:p>
                  <w:pPr>
                    <w:pStyle w:val="null3"/>
                    <w:jc w:val="both"/>
                  </w:pPr>
                  <w:r>
                    <w:rPr>
                      <w:rFonts w:ascii="仿宋_GB2312" w:hAnsi="仿宋_GB2312" w:cs="仿宋_GB2312" w:eastAsia="仿宋_GB2312"/>
                      <w:sz w:val="20"/>
                    </w:rPr>
                    <w:t>6、功能：中厚保暖、四季可用,一毯多用（盖毯、沙发毯、空调毯、铺毯等）；双面绒感、细腻柔软、不易掉毛；支持可机洗，水洗《水温≤30℃温水（冷水/常温）》，便于清洁；精细锁边、直角包边</w:t>
                  </w:r>
                </w:p>
                <w:p>
                  <w:pPr>
                    <w:pStyle w:val="null3"/>
                    <w:jc w:val="both"/>
                  </w:pPr>
                  <w:r>
                    <w:rPr>
                      <w:rFonts w:ascii="仿宋_GB2312" w:hAnsi="仿宋_GB2312" w:cs="仿宋_GB2312" w:eastAsia="仿宋_GB2312"/>
                      <w:sz w:val="20"/>
                    </w:rPr>
                    <w:t>★7、要求：需满足国家标准：GB18401-《国家纺织产品基本安全技术规范》，直接接触皮肤产品要求及以上标准</w:t>
                  </w:r>
                </w:p>
                <w:p>
                  <w:pPr>
                    <w:pStyle w:val="null3"/>
                    <w:jc w:val="both"/>
                  </w:pPr>
                  <w:r>
                    <w:rPr>
                      <w:rFonts w:ascii="仿宋_GB2312" w:hAnsi="仿宋_GB2312" w:cs="仿宋_GB2312" w:eastAsia="仿宋_GB2312"/>
                      <w:sz w:val="20"/>
                    </w:rPr>
                    <w:t>★8、核心安全技术指标：</w:t>
                  </w:r>
                </w:p>
                <w:p>
                  <w:pPr>
                    <w:pStyle w:val="null3"/>
                    <w:jc w:val="both"/>
                  </w:pPr>
                  <w:r>
                    <w:rPr>
                      <w:rFonts w:ascii="仿宋_GB2312" w:hAnsi="仿宋_GB2312" w:cs="仿宋_GB2312" w:eastAsia="仿宋_GB2312"/>
                      <w:sz w:val="20"/>
                    </w:rPr>
                    <w:t>甲醛含量：</w:t>
                  </w:r>
                  <w:r>
                    <w:rPr>
                      <w:rFonts w:ascii="仿宋_GB2312" w:hAnsi="仿宋_GB2312" w:cs="仿宋_GB2312" w:eastAsia="仿宋_GB2312"/>
                      <w:sz w:val="20"/>
                    </w:rPr>
                    <w:t>≤ 75 mg/kg</w:t>
                  </w:r>
                </w:p>
                <w:p>
                  <w:pPr>
                    <w:pStyle w:val="null3"/>
                    <w:jc w:val="both"/>
                  </w:pPr>
                  <w:r>
                    <w:rPr>
                      <w:rFonts w:ascii="仿宋_GB2312" w:hAnsi="仿宋_GB2312" w:cs="仿宋_GB2312" w:eastAsia="仿宋_GB2312"/>
                      <w:sz w:val="20"/>
                    </w:rPr>
                    <w:t>pH值：4.0 ～ 8.5</w:t>
                  </w:r>
                </w:p>
                <w:p>
                  <w:pPr>
                    <w:pStyle w:val="null3"/>
                    <w:jc w:val="both"/>
                  </w:pPr>
                  <w:r>
                    <w:rPr>
                      <w:rFonts w:ascii="仿宋_GB2312" w:hAnsi="仿宋_GB2312" w:cs="仿宋_GB2312" w:eastAsia="仿宋_GB2312"/>
                      <w:sz w:val="20"/>
                    </w:rPr>
                    <w:t>禁用可分解致癌芳香胺染料</w:t>
                  </w:r>
                </w:p>
                <w:p>
                  <w:pPr>
                    <w:pStyle w:val="null3"/>
                    <w:jc w:val="both"/>
                  </w:pPr>
                  <w:r>
                    <w:rPr>
                      <w:rFonts w:ascii="仿宋_GB2312" w:hAnsi="仿宋_GB2312" w:cs="仿宋_GB2312" w:eastAsia="仿宋_GB2312"/>
                      <w:sz w:val="20"/>
                    </w:rPr>
                    <w:t>无异味（不得有霉味、高沸程石油味、鱼腥味、芳香烃气味等）</w:t>
                  </w:r>
                </w:p>
                <w:p>
                  <w:pPr>
                    <w:pStyle w:val="null3"/>
                    <w:jc w:val="both"/>
                  </w:pPr>
                  <w:r>
                    <w:rPr>
                      <w:rFonts w:ascii="仿宋_GB2312" w:hAnsi="仿宋_GB2312" w:cs="仿宋_GB2312" w:eastAsia="仿宋_GB2312"/>
                      <w:sz w:val="20"/>
                    </w:rPr>
                    <w:t>★9、色牢度要求：</w:t>
                  </w:r>
                </w:p>
                <w:p>
                  <w:pPr>
                    <w:pStyle w:val="null3"/>
                    <w:jc w:val="both"/>
                  </w:pPr>
                  <w:r>
                    <w:rPr>
                      <w:rFonts w:ascii="仿宋_GB2312" w:hAnsi="仿宋_GB2312" w:cs="仿宋_GB2312" w:eastAsia="仿宋_GB2312"/>
                      <w:sz w:val="20"/>
                    </w:rPr>
                    <w:t>耐水色牢度（变色、沾色）：</w:t>
                  </w:r>
                  <w:r>
                    <w:rPr>
                      <w:rFonts w:ascii="仿宋_GB2312" w:hAnsi="仿宋_GB2312" w:cs="仿宋_GB2312" w:eastAsia="仿宋_GB2312"/>
                      <w:sz w:val="20"/>
                    </w:rPr>
                    <w:t>≥ 3级</w:t>
                  </w:r>
                </w:p>
                <w:p>
                  <w:pPr>
                    <w:pStyle w:val="null3"/>
                    <w:jc w:val="both"/>
                  </w:pPr>
                  <w:r>
                    <w:rPr>
                      <w:rFonts w:ascii="仿宋_GB2312" w:hAnsi="仿宋_GB2312" w:cs="仿宋_GB2312" w:eastAsia="仿宋_GB2312"/>
                      <w:sz w:val="20"/>
                    </w:rPr>
                    <w:t>耐酸</w:t>
                  </w:r>
                  <w:r>
                    <w:rPr>
                      <w:rFonts w:ascii="仿宋_GB2312" w:hAnsi="仿宋_GB2312" w:cs="仿宋_GB2312" w:eastAsia="仿宋_GB2312"/>
                      <w:sz w:val="20"/>
                    </w:rPr>
                    <w:t>/碱汗渍色牢度（变色、沾色）：≥ 3级</w:t>
                  </w:r>
                </w:p>
                <w:p>
                  <w:pPr>
                    <w:pStyle w:val="null3"/>
                    <w:jc w:val="both"/>
                  </w:pPr>
                  <w:r>
                    <w:rPr>
                      <w:rFonts w:ascii="仿宋_GB2312" w:hAnsi="仿宋_GB2312" w:cs="仿宋_GB2312" w:eastAsia="仿宋_GB2312"/>
                      <w:sz w:val="20"/>
                    </w:rPr>
                    <w:t>耐干摩擦色牢度：</w:t>
                  </w:r>
                  <w:r>
                    <w:rPr>
                      <w:rFonts w:ascii="仿宋_GB2312" w:hAnsi="仿宋_GB2312" w:cs="仿宋_GB2312" w:eastAsia="仿宋_GB2312"/>
                      <w:sz w:val="20"/>
                    </w:rPr>
                    <w:t>≥ 3级</w:t>
                  </w:r>
                </w:p>
                <w:p>
                  <w:pPr>
                    <w:pStyle w:val="null3"/>
                    <w:jc w:val="left"/>
                  </w:pPr>
                  <w:r>
                    <w:rPr>
                      <w:rFonts w:ascii="仿宋_GB2312" w:hAnsi="仿宋_GB2312" w:cs="仿宋_GB2312" w:eastAsia="仿宋_GB2312"/>
                      <w:sz w:val="20"/>
                    </w:rPr>
                    <w:t>★10、需满足拉舍尔毛毯专项性能指标（依据行业标准 FZ/T 61004-2017）</w:t>
                  </w:r>
                </w:p>
                <w:p>
                  <w:pPr>
                    <w:pStyle w:val="null3"/>
                    <w:jc w:val="both"/>
                  </w:pPr>
                  <w:r>
                    <w:rPr>
                      <w:rFonts w:ascii="仿宋_GB2312" w:hAnsi="仿宋_GB2312" w:cs="仿宋_GB2312" w:eastAsia="仿宋_GB2312"/>
                      <w:sz w:val="20"/>
                    </w:rPr>
                    <w:t>11、水洗尺寸变化率：长度方向和宽度方向均需≥-5.0%</w:t>
                  </w:r>
                </w:p>
                <w:p>
                  <w:pPr>
                    <w:pStyle w:val="null3"/>
                    <w:jc w:val="both"/>
                  </w:pPr>
                  <w:r>
                    <w:rPr>
                      <w:rFonts w:ascii="仿宋_GB2312" w:hAnsi="仿宋_GB2312" w:cs="仿宋_GB2312" w:eastAsia="仿宋_GB2312"/>
                      <w:sz w:val="20"/>
                    </w:rPr>
                    <w:t>12、条重偏差率：≥-6.0%</w:t>
                  </w:r>
                </w:p>
                <w:p>
                  <w:pPr>
                    <w:pStyle w:val="null3"/>
                    <w:jc w:val="both"/>
                  </w:pPr>
                  <w:r>
                    <w:rPr>
                      <w:rFonts w:ascii="仿宋_GB2312" w:hAnsi="仿宋_GB2312" w:cs="仿宋_GB2312" w:eastAsia="仿宋_GB2312"/>
                      <w:sz w:val="20"/>
                    </w:rPr>
                    <w:t>13、耐皂洗色牢度（含印花部位）：变色 ≥3-4级，沾色≥3级</w:t>
                  </w:r>
                </w:p>
                <w:p>
                  <w:pPr>
                    <w:pStyle w:val="null3"/>
                    <w:jc w:val="both"/>
                  </w:pPr>
                  <w:r>
                    <w:rPr>
                      <w:rFonts w:ascii="仿宋_GB2312" w:hAnsi="仿宋_GB2312" w:cs="仿宋_GB2312" w:eastAsia="仿宋_GB2312"/>
                      <w:sz w:val="20"/>
                    </w:rPr>
                    <w:t>14、耐光色牢度（含印花部位）：≥4级</w:t>
                  </w:r>
                </w:p>
                <w:p>
                  <w:pPr>
                    <w:pStyle w:val="null3"/>
                    <w:jc w:val="both"/>
                  </w:pPr>
                  <w:r>
                    <w:rPr>
                      <w:rFonts w:ascii="仿宋_GB2312" w:hAnsi="仿宋_GB2312" w:cs="仿宋_GB2312" w:eastAsia="仿宋_GB2312"/>
                      <w:sz w:val="20"/>
                    </w:rPr>
                    <w:t>15、耐湿摩擦色牢度（含印花部位）：≥3级</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500</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核心产品</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注：</w:t>
            </w:r>
            <w:r>
              <w:rPr>
                <w:rFonts w:ascii="仿宋_GB2312" w:hAnsi="仿宋_GB2312" w:cs="仿宋_GB2312" w:eastAsia="仿宋_GB2312"/>
              </w:rPr>
              <w:t>1、3.3技术要求</w:t>
            </w:r>
            <w:r>
              <w:rPr>
                <w:rFonts w:ascii="仿宋_GB2312" w:hAnsi="仿宋_GB2312" w:cs="仿宋_GB2312" w:eastAsia="仿宋_GB2312"/>
              </w:rPr>
              <w:t>中四个产品（空气炸锅、车载吸尘器、立式取暖器、毯子</w:t>
            </w:r>
            <w:r>
              <w:rPr>
                <w:rFonts w:ascii="仿宋_GB2312" w:hAnsi="仿宋_GB2312" w:cs="仿宋_GB2312" w:eastAsia="仿宋_GB2312"/>
              </w:rPr>
              <w:t>）技术参数与性能指标不得出现负偏离，</w:t>
            </w:r>
            <w:r>
              <w:rPr>
                <w:rFonts w:ascii="仿宋_GB2312" w:hAnsi="仿宋_GB2312" w:cs="仿宋_GB2312" w:eastAsia="仿宋_GB2312"/>
              </w:rPr>
              <w:t>“★”条款须提供相关技术指标的佐证材料</w:t>
            </w:r>
            <w:r>
              <w:rPr>
                <w:rFonts w:ascii="仿宋_GB2312" w:hAnsi="仿宋_GB2312" w:cs="仿宋_GB2312" w:eastAsia="仿宋_GB2312"/>
              </w:rPr>
              <w:t>，佐证材料包括但不限于检测报告、技术白皮书、产品说明书、官网截图等相关</w:t>
            </w:r>
            <w:r>
              <w:rPr>
                <w:rFonts w:ascii="仿宋_GB2312" w:hAnsi="仿宋_GB2312" w:cs="仿宋_GB2312" w:eastAsia="仿宋_GB2312"/>
              </w:rPr>
              <w:t>材料</w:t>
            </w:r>
            <w:r>
              <w:rPr>
                <w:rFonts w:ascii="仿宋_GB2312" w:hAnsi="仿宋_GB2312" w:cs="仿宋_GB2312" w:eastAsia="仿宋_GB2312"/>
              </w:rPr>
              <w:t>，否则视为无效响应。</w:t>
            </w:r>
          </w:p>
          <w:p>
            <w:pPr>
              <w:pStyle w:val="null3"/>
            </w:pPr>
            <w:r>
              <w:rPr>
                <w:rFonts w:ascii="仿宋_GB2312" w:hAnsi="仿宋_GB2312" w:cs="仿宋_GB2312" w:eastAsia="仿宋_GB2312"/>
                <w:sz w:val="21"/>
              </w:rPr>
              <w:t>2、3.3技术要求</w:t>
            </w:r>
            <w:r>
              <w:rPr>
                <w:rFonts w:ascii="仿宋_GB2312" w:hAnsi="仿宋_GB2312" w:cs="仿宋_GB2312" w:eastAsia="仿宋_GB2312"/>
                <w:sz w:val="21"/>
              </w:rPr>
              <w:t>中四个产品（空气炸锅、车载吸尘器、立式取暖器、毯子</w:t>
            </w:r>
            <w:r>
              <w:rPr>
                <w:rFonts w:ascii="仿宋_GB2312" w:hAnsi="仿宋_GB2312" w:cs="仿宋_GB2312" w:eastAsia="仿宋_GB2312"/>
                <w:sz w:val="21"/>
              </w:rPr>
              <w:t>）价格包括货物及配套货物的生产、检验、包装、运输、保险、税费以及配送、发放、服务等全部费用。</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合同签订后，空气炸锅和车载吸尘器于2026年07月30日之前交货，立式取暖器和毯子于2026年11月30日之前交货。</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西安市军队转业干部培训中心指定地点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进度款，合同签订后，空气炸锅和车载吸尘器于2026年07月30日之前送货到位，达到付款条件起15个工作日内，支付合同总金额的50.0%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进度款，合同签订后，立式取暖器和毯子于2026年11月30日之前送货到位，达到付款条件起15个工作日内，支付合同总金额的50.0%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成交人与采购人应严格按照政府采购相关法律法规以及《财政部关于进一步加强政府采购需求和履约验收管理的指导意见》（财库〔2016〕205号）、《政府采购需求管理办法》（财库〔2021〕22号）、《陕西省财政厅关于进一步加强政府采购履约验收管理有关事项的通知》（陕财办采函〔2025〕19 号）的要求进行验收。 2、本项目在成交人通知服务履约完毕后进行验收。 3、验收依据包括但不限于合同文本、竞争性谈判文件、响应文件。 4、验收合格后，填写验收单，并向采购人提交所有资料，以便使用单位日后管理和维护。</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应当保证货物及其各部件是通过正常渠道获得的、全新未使用过的、经出厂检验合格的、获得国家销售许可的合格产品；其有关知识产权、技术、专利、检验、商标等均要符合中华人民共和国的有关法律、法规；并完全符合强制性的国家技术质量规范和合同规定的质量、规格、性能和技术规范等的要求。若供应商所供货物及供应商响应文件列明的货物及原配件品牌、生产地、制造厂商、质量保证达不到相关国家标准和规范以及质量监督检查部门规定的验收标准要求的，采购人有权无条件解除本合同，并保存将供应商上报监管部门列入不良行为名单。 2、质保期为:12个月（国家标准有要求或产品厂商有更高质保承诺或竞争性谈判文件技术参数中有单独要求的，按更长质保期进行质保。）若供应商承诺质保期限超过竞争性谈判文件要求，按其承诺执行。 3、供应商承诺的质保期起始时间为终验合格之日。 4、质量保证期内，产品出现质量问题，供应商负责无条件免费更换。 5、供应商应当保证所提供的货物及其各部件经正确安装、正常运转和保养，在其使用寿命期内应具有符合质量要求和产品说明书的性能。在货物质量保证期之内，供应商应对由于设计、工艺或材料的缺陷而发生的任何不足或故障负责。</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1、按《中华人民共和国民法典》及有关法律法规中的相关条款对违约情况进行处理。 2、未按合同要求提供货物或货物质量不能满足要求，采购人会同相关单位有权终止合同，并对违约方的违约行为进行追究，同时按有关法规进行相应的处罚。</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需要在线提交所有通过电子化交易平台实施的政府采购项目的响应文件，结果公告发布后，成交供应商须线下提交纸质响应文件正本壹份、副本壹份(纸质响应文件应与线上电子响应文件保持一致)。线下提交响应文件地点：西安市南二环西段21号华融国际商务大厦A座10层D区；联系电话：029-85561862/85561863转810。 2、付款⽅式：（因电⼦交易平台竞争性谈判⽂件付款⽅式描述格式受限，竞争性谈判⽂件内付款相关约定内容如有不⼀致时，均以此处约定为准）:分两次支付，2026年07月30日前，501件空气炸锅和501件车载吸尘器送货到位后，支付相应货款金额；2026年11月30日前，500件立式取暖器和500件毯子送货到位后，支付相应货款金额。 3、样品要求：样品清单：空气炸锅1个、车载吸尘器1个、立式取暖器1个、毯子1个。供应商需在开标前按竞争性谈判文件规定提交对应样品，且满足技术要求。本项目成交供应商的样品将统一封存留样，作为项目履约到货验收的核心比对依据，成交供应商供货成品材质、工艺、功能、外观、参数等不得低于封存样品标准；到货产品与封存样品不一致的，采购人有权拒收、不予验收并追究成交供应商违约责任。未成交供应商样品于采购结果公示期满后统一办理退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-1、有效的主体资格证明（任选其一）:①、供应商是企业（包括合伙企业）的，应提供其在市场监督管理部门注册的有效“营业执照”的复印件或扫描件；②供应商是事业单位的，应提供其有效的“事业单位法人证书”复印件或扫描件；③供应商是非企业专业服务机构的，应提供其有效的“执业许可证”复印件或扫描件；④供应商是民办非企业单位的，应提供其有效的登记证书复印件或扫描件； ⑤供应商是个体工商户的，应提供其有效的“营业执照”复印件或扫描件；⑥供应商是自然人的，应提供其有效的自然人身份证明复印件或扫描件。1-2、财务状况报告（任选其一）：1、提供2025年度经审计的财务报告复印件或扫描件，应满足以下要求①供应商是企业的，财务报告是指经会计师事务所审计的上述指定年度整个会计年度财务报表（须提供会计师事务所出具的审计报告）,至少须包括报告正文、资产负债表、现金流量表、利润表、附注和会计师事务所营业执照，报告正文应当有会计师事务所公章和2名注册会计师的签字及盖章。且出具的审计报告应当经过注册会计师行业统一监管平台备案赋码。②供应商适用《事业单位会计准则》的，财务报告是指上述指定年度整个会计年度财务报表（不要求必须是经审计的），至少须包括资产负债表、收入支出表（或收入费用表）、财政补助收入支出表。③供应商适用《政府会计准则》的，财务报告是指上述指定年度整个会计年度财务报表（不要求必须是经审计的），至少须包括资产负债表、收入费用表。④供应商适用《民间非营利组织会计制度》的，财务报告是指上述指定年度整个会计年度财务报表（不要求必须是经审计的），至少须包括资产负债表、业务活动表、现金流量表。⑤供应商是上述四种情况以外情况的，按照其依法适用的会计制度、财务规则或会计准则提供财务报表（不要求必须是经审计的）。2、提供资信证明（附开户行许可证或基本存款账户信息）复印件或扫描件，应满足以下要求：①资信证明须为递交响应文件截止时间前六个月内由供应商基本账户开户银行出具。②无论开具银行是否标明“复印无效”，供应商提供的复印件在本次谈判中予以认可（即不因“复印无效”字样而认定资信证明复印件无效）。③银行出具的存款证明不能替代银行资信证明。1-3、税收缴纳证明（任选其一）：①提供2026年01月01日至今已缴纳的至少一个月的纳税证明或完税证明，时间以税款所属时期为准（银行出具的缴税凭证或税务机关出具的证明的复印件或扫描件）。缴纳证明须清晰可辨，并能显示出供应商名称和所缴纳税种种类（“税种”非社会保险），单位代扣代缴的个人所得税不能作为单位纳税的凭证。②供应商若为零申报企业，需提供无欠税证明或国家税务总局电子税务局“申报结果査询截图”。③依法免税的单位应提供相关证明材料证明其依法免税。1-4、社会保障资金缴纳证明（任选其一）：①提供2026年01月01日至今已缴纳的至少一个月的社会保障资金缴存单据或社保机构开具的社会保险参保缴费情况证明复印件或扫描件（专用收据或社会保险缴纳清单）。缴纳证明须清晰可辨，并能显示出供应商名称和所缴纳的社保的种类。②依法不需要缴纳社会保障资金的单位应提供相关证明材料证明其依法不需要缴纳。1-5、无重大违法记录的声明：提供参加政府采购活动前三年内在经营活动中没有重大违法记录的书面声明；（采购人、采购代理机构将于本项目截止日在‘信用中国’网站、‘中国政府采购网’网站等渠道对供应商进行信用记录查询，凡被列入失信被执行人、重大税收违法失信主体、政府采购严重违法失信行为记录名单的，视为存在不良信用记录，参与本项目的将被拒绝。）1-6、履行本合同所必需的设备和专业技术能力：提供具有履行本合同所必需的设备和专业技术能力的说明及承诺。</w:t>
            </w:r>
          </w:p>
        </w:tc>
        <w:tc>
          <w:tcPr>
            <w:tcW w:type="dxa" w:w="1661"/>
          </w:tcPr>
          <w:p>
            <w:pPr>
              <w:pStyle w:val="null3"/>
            </w:pPr>
            <w:r>
              <w:rPr>
                <w:rFonts w:ascii="仿宋_GB2312" w:hAnsi="仿宋_GB2312" w:cs="仿宋_GB2312" w:eastAsia="仿宋_GB2312"/>
              </w:rPr>
              <w:t>附件一、供应商资格证明文件.docx 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供应商代表身份证明</w:t>
            </w:r>
          </w:p>
        </w:tc>
        <w:tc>
          <w:tcPr>
            <w:tcW w:type="dxa" w:w="3322"/>
          </w:tcPr>
          <w:p>
            <w:pPr>
              <w:pStyle w:val="null3"/>
            </w:pPr>
            <w:r>
              <w:rPr>
                <w:rFonts w:ascii="仿宋_GB2312" w:hAnsi="仿宋_GB2312" w:cs="仿宋_GB2312" w:eastAsia="仿宋_GB2312"/>
              </w:rPr>
              <w:t>供应商应授权合法的人员参加谈判，其中法定代表人或单位负责人直接参加的，须出具法定代表人或单位负责人身份证明书；被授权人参加的，须出具法定代表人或单位负责人身份证明书及授权书。</w:t>
            </w:r>
          </w:p>
        </w:tc>
        <w:tc>
          <w:tcPr>
            <w:tcW w:type="dxa" w:w="1661"/>
          </w:tcPr>
          <w:p>
            <w:pPr>
              <w:pStyle w:val="null3"/>
            </w:pPr>
            <w:r>
              <w:rPr>
                <w:rFonts w:ascii="仿宋_GB2312" w:hAnsi="仿宋_GB2312" w:cs="仿宋_GB2312" w:eastAsia="仿宋_GB2312"/>
              </w:rPr>
              <w:t>附件一、供应商资格证明文件.docx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（一）政府采购评审中出现下列情形之一的，谈判小组应当启动异常低价投标审查程序： 1.响应报价低于全部通过符合性审查供应商响应报价平均值50%的，即响应报价&lt;全部通过符合性审查供应商响应报价平均值×50%； 2.响应报价低于通过符合性审查的次低报价供应商响应报价50%的，即响应报价&lt;通过符合性审查的次低报价供应商响应报价×50%； 3.响应报价低于采购项目最高限价45%的，即响应报价&lt;采购项目最高限价×45%； 4.评审委员会基于专业判断，认为供应商报价过低，有可能影响产品质量或者不能诚信履约的其他情形。 （二）谈判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 谈判小组依据专业经验，参考同类项目中标（成交）价格、类似产品市场价格水平、行业人工费用标准、国家有关部门指导行业协会发布的行业平均成本等情况，对报价合理性进行判断。 （三）响应供应商不能提供书面说明、证明材料，或者提供的书面说明、证明材料不能证明其报价合理性的，评审委员会应当将其作为无效响应处理。供应商提交的相关证明材料，应当加盖供应商（法定名称）电子印章，在谈判小组要求的时间内通过项目电子化交易系统进行提交，否则提交的相关证明材料无效。</w:t>
            </w:r>
          </w:p>
        </w:tc>
        <w:tc>
          <w:tcPr>
            <w:tcW w:type="dxa" w:w="1661"/>
          </w:tcPr>
          <w:p>
            <w:pPr>
              <w:pStyle w:val="null3"/>
            </w:pPr>
            <w:r>
              <w:rPr>
                <w:rFonts w:ascii="仿宋_GB2312" w:hAnsi="仿宋_GB2312" w:cs="仿宋_GB2312" w:eastAsia="仿宋_GB2312"/>
              </w:rPr>
              <w:t>附件三、分项报价表.docx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签章</w:t>
            </w:r>
          </w:p>
        </w:tc>
        <w:tc>
          <w:tcPr>
            <w:tcW w:type="dxa" w:w="3322"/>
          </w:tcPr>
          <w:p>
            <w:pPr>
              <w:pStyle w:val="null3"/>
            </w:pPr>
            <w:r>
              <w:rPr>
                <w:rFonts w:ascii="仿宋_GB2312" w:hAnsi="仿宋_GB2312" w:cs="仿宋_GB2312" w:eastAsia="仿宋_GB2312"/>
              </w:rPr>
              <w:t>签章均符合竞争性谈判文件要求。</w:t>
            </w:r>
          </w:p>
        </w:tc>
        <w:tc>
          <w:tcPr>
            <w:tcW w:type="dxa" w:w="1661"/>
          </w:tcPr>
          <w:p>
            <w:pPr>
              <w:pStyle w:val="null3"/>
            </w:pPr>
            <w:r>
              <w:rPr>
                <w:rFonts w:ascii="仿宋_GB2312" w:hAnsi="仿宋_GB2312" w:cs="仿宋_GB2312" w:eastAsia="仿宋_GB2312"/>
              </w:rPr>
              <w:t>附件三、分项报价表.docx 本国产品说明 附件二、同类业绩一览表.docx 中小企业声明函 商务应答表 供应商应提交的相关资格证明材料 报价表 附件四、其他供应商认为需要提供的文件和资料.docx 中国境内生产的组件成本核算基本规则 响应文件封面 产品技术参数表 残疾人福利性单位声明函 附件一、供应商资格证明文件.docx 标的清单 关于符合本国产品标准的声明函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符合竞争性谈判文件要求。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同时满足以下条款： （1）货币单位符合竞争性谈判文件要求； （2）报价符合唯一性要求； （3）未超出采购预算或最高限价； （4）符合“报价表”的填报要求。</w:t>
            </w:r>
          </w:p>
        </w:tc>
        <w:tc>
          <w:tcPr>
            <w:tcW w:type="dxa" w:w="1661"/>
          </w:tcPr>
          <w:p>
            <w:pPr>
              <w:pStyle w:val="null3"/>
            </w:pPr>
            <w:r>
              <w:rPr>
                <w:rFonts w:ascii="仿宋_GB2312" w:hAnsi="仿宋_GB2312" w:cs="仿宋_GB2312" w:eastAsia="仿宋_GB2312"/>
              </w:rPr>
              <w:t>附件三、分项报价表.docx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商务要求和技术要求</w:t>
            </w:r>
          </w:p>
        </w:tc>
        <w:tc>
          <w:tcPr>
            <w:tcW w:type="dxa" w:w="3322"/>
          </w:tcPr>
          <w:p>
            <w:pPr>
              <w:pStyle w:val="null3"/>
            </w:pPr>
            <w:r>
              <w:rPr>
                <w:rFonts w:ascii="仿宋_GB2312" w:hAnsi="仿宋_GB2312" w:cs="仿宋_GB2312" w:eastAsia="仿宋_GB2312"/>
              </w:rPr>
              <w:t>商务要求和技术要求不得出现负偏离。</w:t>
            </w:r>
          </w:p>
        </w:tc>
        <w:tc>
          <w:tcPr>
            <w:tcW w:type="dxa" w:w="1661"/>
          </w:tcPr>
          <w:p>
            <w:pPr>
              <w:pStyle w:val="null3"/>
            </w:pPr>
            <w:r>
              <w:rPr>
                <w:rFonts w:ascii="仿宋_GB2312" w:hAnsi="仿宋_GB2312" w:cs="仿宋_GB2312" w:eastAsia="仿宋_GB2312"/>
              </w:rPr>
              <w:t>产品技术参数表 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完全理解并接受法律法规和竞争性谈判文件对供应商合法经营的各类规约和责任义务要求，没有出现法律法规或竞争性谈判文件规定的其他无效情形。</w:t>
            </w:r>
          </w:p>
        </w:tc>
        <w:tc>
          <w:tcPr>
            <w:tcW w:type="dxa" w:w="1661"/>
          </w:tcPr>
          <w:p>
            <w:pPr>
              <w:pStyle w:val="null3"/>
            </w:pPr>
            <w:r>
              <w:rPr>
                <w:rFonts w:ascii="仿宋_GB2312" w:hAnsi="仿宋_GB2312" w:cs="仿宋_GB2312" w:eastAsia="仿宋_GB2312"/>
              </w:rPr>
              <w:t>响应文件封面</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 注：根据相关规定，对适用本国产品标准的采购包，既有本国产品又有非本国产品参与竞争的，依法对本国产品给予价格评审优惠；仅有本国产品参与竞争的政府采购项目，本国产品不享受价格扣除评审优惠。</w:t>
            </w:r>
          </w:p>
        </w:tc>
        <w:tc>
          <w:tcPr>
            <w:tcW w:type="dxa" w:w="1910"/>
          </w:tcPr>
          <w:p>
            <w:pPr>
              <w:pStyle w:val="null3"/>
            </w:pPr>
            <w:r>
              <w:rPr>
                <w:rFonts w:ascii="仿宋_GB2312" w:hAnsi="仿宋_GB2312" w:cs="仿宋_GB2312" w:eastAsia="仿宋_GB2312"/>
              </w:rPr>
              <w:t>本国产品说明 关于符合本国产品标准的声明函 中国境内生产的组件成本核算基本规则</w:t>
            </w:r>
          </w:p>
        </w:tc>
      </w:tr>
      <w:tr>
        <w:tc>
          <w:tcPr>
            <w:tcW w:type="dxa" w:w="58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报价相同的，由采购人或者采购人委托谈判小组按照随机抽取方式确定一个参加谈判的供应商，其他响应无效。</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详见附件：附件一、供应商资格证明文件.docx</w:t>
      </w:r>
    </w:p>
    <w:p>
      <w:pPr>
        <w:pStyle w:val="null3"/>
        <w:ind w:firstLine="960"/>
      </w:pPr>
      <w:r>
        <w:rPr>
          <w:rFonts w:ascii="仿宋_GB2312" w:hAnsi="仿宋_GB2312" w:cs="仿宋_GB2312" w:eastAsia="仿宋_GB2312"/>
        </w:rPr>
        <w:t>详见附件：附件二、同类业绩一览表.docx</w:t>
      </w:r>
    </w:p>
    <w:p>
      <w:pPr>
        <w:pStyle w:val="null3"/>
        <w:ind w:firstLine="960"/>
      </w:pPr>
      <w:r>
        <w:rPr>
          <w:rFonts w:ascii="仿宋_GB2312" w:hAnsi="仿宋_GB2312" w:cs="仿宋_GB2312" w:eastAsia="仿宋_GB2312"/>
        </w:rPr>
        <w:t>详见附件：附件三、分项报价表.docx</w:t>
      </w:r>
    </w:p>
    <w:p>
      <w:pPr>
        <w:pStyle w:val="null3"/>
        <w:ind w:firstLine="960"/>
      </w:pPr>
      <w:r>
        <w:rPr>
          <w:rFonts w:ascii="仿宋_GB2312" w:hAnsi="仿宋_GB2312" w:cs="仿宋_GB2312" w:eastAsia="仿宋_GB2312"/>
        </w:rPr>
        <w:t>详见附件：附件四、其他供应商认为需要提供的文件和资料.docx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