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19578">
      <w:pPr>
        <w:spacing w:line="360" w:lineRule="auto"/>
        <w:jc w:val="left"/>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71A78BDE">
      <w:pPr>
        <w:spacing w:line="360" w:lineRule="auto"/>
        <w:rPr>
          <w:rFonts w:hint="eastAsia" w:ascii="宋体" w:hAnsi="宋体" w:eastAsia="宋体" w:cs="宋体"/>
          <w:sz w:val="24"/>
        </w:rPr>
      </w:pPr>
      <w:r>
        <w:rPr>
          <w:rFonts w:hint="eastAsia" w:ascii="宋体" w:hAnsi="宋体" w:eastAsia="宋体" w:cs="宋体"/>
          <w:sz w:val="24"/>
        </w:rPr>
        <w:t xml:space="preserve">签订地点： XXXX。                                        </w:t>
      </w:r>
    </w:p>
    <w:p w14:paraId="4035F687">
      <w:pPr>
        <w:spacing w:line="360" w:lineRule="auto"/>
        <w:rPr>
          <w:rFonts w:hint="eastAsia" w:ascii="宋体" w:hAnsi="宋体" w:eastAsia="宋体" w:cs="宋体"/>
          <w:sz w:val="24"/>
        </w:rPr>
      </w:pPr>
      <w:r>
        <w:rPr>
          <w:rFonts w:hint="eastAsia" w:ascii="宋体" w:hAnsi="宋体" w:eastAsia="宋体" w:cs="宋体"/>
          <w:sz w:val="24"/>
        </w:rPr>
        <w:t xml:space="preserve">签订时间： XXXX年XX月XX日。                                        </w:t>
      </w:r>
    </w:p>
    <w:p w14:paraId="256FF6CB">
      <w:pPr>
        <w:spacing w:line="360" w:lineRule="auto"/>
        <w:rPr>
          <w:rFonts w:hint="eastAsia" w:ascii="宋体" w:hAnsi="宋体" w:eastAsia="宋体" w:cs="宋体"/>
          <w:sz w:val="24"/>
        </w:rPr>
      </w:pPr>
      <w:r>
        <w:rPr>
          <w:rFonts w:hint="eastAsia" w:ascii="宋体" w:hAnsi="宋体" w:eastAsia="宋体" w:cs="宋体"/>
          <w:sz w:val="24"/>
        </w:rPr>
        <w:t>采购人（甲方）：</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264FD762">
      <w:pPr>
        <w:spacing w:line="360" w:lineRule="auto"/>
        <w:rPr>
          <w:rFonts w:hint="eastAsia" w:ascii="宋体" w:hAnsi="宋体" w:eastAsia="宋体" w:cs="宋体"/>
          <w:sz w:val="24"/>
        </w:rPr>
      </w:pPr>
      <w:r>
        <w:rPr>
          <w:rFonts w:hint="eastAsia" w:ascii="宋体" w:hAnsi="宋体" w:eastAsia="宋体" w:cs="宋体"/>
          <w:sz w:val="24"/>
        </w:rPr>
        <w:t>供应商（乙方）：</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5246CCA">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根据《中华人民共和国政府采购法》、《中华人民共和国民法典》及陕西万德招标有限公司</w:t>
      </w:r>
      <w:r>
        <w:rPr>
          <w:rFonts w:hint="eastAsia" w:ascii="宋体" w:hAnsi="宋体" w:eastAsia="宋体" w:cs="宋体"/>
          <w:sz w:val="24"/>
          <w:u w:val="single"/>
        </w:rPr>
        <w:t xml:space="preserve">            </w:t>
      </w:r>
      <w:r>
        <w:rPr>
          <w:rFonts w:hint="eastAsia" w:ascii="宋体" w:hAnsi="宋体" w:eastAsia="宋体" w:cs="宋体"/>
          <w:sz w:val="24"/>
        </w:rPr>
        <w:t>采购项目（项目编号：XX-x包）的《竞争性谈判文件》、乙方的《响应文件》及《成交通知书》，甲、乙双方同意签订本合同。详细技术说明及其他有关合同项目的特定信息由合同附件予以说明，合同附件及本项目的竞争性谈判文件、响应文件、《成交通知书》等均为本合同不可分割的部分。双方同意共同遵守如下条款：</w:t>
      </w:r>
    </w:p>
    <w:p w14:paraId="52F7DF17">
      <w:pPr>
        <w:kinsoku w:val="0"/>
        <w:spacing w:line="360" w:lineRule="auto"/>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b/>
          <w:bCs/>
          <w:sz w:val="24"/>
        </w:rPr>
        <w:t>合同内容</w:t>
      </w:r>
    </w:p>
    <w:tbl>
      <w:tblPr>
        <w:tblStyle w:val="2"/>
        <w:tblW w:w="9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821"/>
        <w:gridCol w:w="1416"/>
        <w:gridCol w:w="1010"/>
        <w:gridCol w:w="1010"/>
        <w:gridCol w:w="1010"/>
        <w:gridCol w:w="1003"/>
        <w:gridCol w:w="942"/>
      </w:tblGrid>
      <w:tr w14:paraId="1FA6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883" w:type="dxa"/>
            <w:vAlign w:val="center"/>
          </w:tcPr>
          <w:p w14:paraId="420DF317">
            <w:pPr>
              <w:spacing w:line="360" w:lineRule="auto"/>
              <w:jc w:val="center"/>
              <w:rPr>
                <w:rFonts w:hint="eastAsia" w:ascii="宋体" w:hAnsi="宋体" w:eastAsia="宋体" w:cs="宋体"/>
                <w:b/>
                <w:bCs/>
                <w:sz w:val="24"/>
              </w:rPr>
            </w:pPr>
            <w:r>
              <w:rPr>
                <w:rFonts w:hint="eastAsia" w:ascii="宋体" w:hAnsi="宋体" w:eastAsia="宋体" w:cs="宋体"/>
                <w:b/>
                <w:bCs/>
                <w:sz w:val="24"/>
              </w:rPr>
              <w:t>编号</w:t>
            </w:r>
          </w:p>
        </w:tc>
        <w:tc>
          <w:tcPr>
            <w:tcW w:w="1821" w:type="dxa"/>
            <w:vAlign w:val="center"/>
          </w:tcPr>
          <w:p w14:paraId="1232BFE5">
            <w:pPr>
              <w:spacing w:line="360" w:lineRule="auto"/>
              <w:jc w:val="center"/>
              <w:rPr>
                <w:rFonts w:hint="eastAsia" w:ascii="宋体" w:hAnsi="宋体" w:eastAsia="宋体" w:cs="宋体"/>
                <w:b/>
                <w:bCs/>
                <w:sz w:val="24"/>
              </w:rPr>
            </w:pPr>
            <w:r>
              <w:rPr>
                <w:rFonts w:hint="eastAsia" w:ascii="宋体" w:hAnsi="宋体" w:eastAsia="宋体" w:cs="宋体"/>
                <w:b/>
                <w:bCs/>
                <w:sz w:val="24"/>
              </w:rPr>
              <w:t>货物名称</w:t>
            </w:r>
          </w:p>
        </w:tc>
        <w:tc>
          <w:tcPr>
            <w:tcW w:w="1416" w:type="dxa"/>
            <w:vAlign w:val="center"/>
          </w:tcPr>
          <w:p w14:paraId="0CD74B8E">
            <w:pPr>
              <w:spacing w:line="360" w:lineRule="auto"/>
              <w:jc w:val="center"/>
              <w:rPr>
                <w:rFonts w:hint="eastAsia" w:ascii="宋体" w:hAnsi="宋体" w:eastAsia="宋体" w:cs="宋体"/>
                <w:b/>
                <w:bCs/>
                <w:sz w:val="24"/>
              </w:rPr>
            </w:pPr>
            <w:r>
              <w:rPr>
                <w:rFonts w:hint="eastAsia" w:ascii="宋体" w:hAnsi="宋体" w:eastAsia="宋体" w:cs="宋体"/>
                <w:b/>
                <w:bCs/>
                <w:sz w:val="24"/>
              </w:rPr>
              <w:t>型号</w:t>
            </w:r>
          </w:p>
        </w:tc>
        <w:tc>
          <w:tcPr>
            <w:tcW w:w="1010" w:type="dxa"/>
            <w:vAlign w:val="center"/>
          </w:tcPr>
          <w:p w14:paraId="3FEF323D">
            <w:pPr>
              <w:spacing w:line="360" w:lineRule="auto"/>
              <w:jc w:val="center"/>
              <w:rPr>
                <w:rFonts w:hint="eastAsia" w:ascii="宋体" w:hAnsi="宋体" w:eastAsia="宋体" w:cs="宋体"/>
                <w:b/>
                <w:bCs/>
                <w:sz w:val="24"/>
              </w:rPr>
            </w:pPr>
            <w:r>
              <w:rPr>
                <w:rFonts w:hint="eastAsia" w:ascii="宋体" w:hAnsi="宋体" w:eastAsia="宋体" w:cs="宋体"/>
                <w:b/>
                <w:bCs/>
                <w:sz w:val="24"/>
              </w:rPr>
              <w:t>产地</w:t>
            </w:r>
          </w:p>
        </w:tc>
        <w:tc>
          <w:tcPr>
            <w:tcW w:w="1010" w:type="dxa"/>
            <w:vAlign w:val="center"/>
          </w:tcPr>
          <w:p w14:paraId="453F651A">
            <w:pPr>
              <w:spacing w:line="360" w:lineRule="auto"/>
              <w:jc w:val="center"/>
              <w:rPr>
                <w:rFonts w:hint="eastAsia" w:ascii="宋体" w:hAnsi="宋体" w:eastAsia="宋体" w:cs="宋体"/>
                <w:b/>
                <w:bCs/>
                <w:sz w:val="24"/>
              </w:rPr>
            </w:pPr>
            <w:r>
              <w:rPr>
                <w:rFonts w:hint="eastAsia" w:ascii="宋体" w:hAnsi="宋体" w:eastAsia="宋体" w:cs="宋体"/>
                <w:b/>
                <w:bCs/>
                <w:sz w:val="24"/>
              </w:rPr>
              <w:t>数量</w:t>
            </w:r>
          </w:p>
        </w:tc>
        <w:tc>
          <w:tcPr>
            <w:tcW w:w="1010" w:type="dxa"/>
            <w:vAlign w:val="center"/>
          </w:tcPr>
          <w:p w14:paraId="354EB9C3">
            <w:pPr>
              <w:spacing w:line="360" w:lineRule="auto"/>
              <w:jc w:val="center"/>
              <w:rPr>
                <w:rFonts w:hint="eastAsia" w:ascii="宋体" w:hAnsi="宋体" w:eastAsia="宋体" w:cs="宋体"/>
                <w:b/>
                <w:bCs/>
                <w:sz w:val="24"/>
              </w:rPr>
            </w:pPr>
            <w:r>
              <w:rPr>
                <w:rFonts w:hint="eastAsia" w:ascii="宋体" w:hAnsi="宋体" w:eastAsia="宋体" w:cs="宋体"/>
                <w:b/>
                <w:bCs/>
                <w:sz w:val="24"/>
              </w:rPr>
              <w:t>单价</w:t>
            </w:r>
          </w:p>
        </w:tc>
        <w:tc>
          <w:tcPr>
            <w:tcW w:w="1003" w:type="dxa"/>
            <w:vAlign w:val="center"/>
          </w:tcPr>
          <w:p w14:paraId="07343CA8">
            <w:pPr>
              <w:spacing w:line="360" w:lineRule="auto"/>
              <w:jc w:val="center"/>
              <w:rPr>
                <w:rFonts w:hint="eastAsia" w:ascii="宋体" w:hAnsi="宋体" w:eastAsia="宋体" w:cs="宋体"/>
                <w:b/>
                <w:bCs/>
                <w:sz w:val="24"/>
              </w:rPr>
            </w:pPr>
            <w:r>
              <w:rPr>
                <w:rFonts w:hint="eastAsia" w:ascii="宋体" w:hAnsi="宋体" w:eastAsia="宋体" w:cs="宋体"/>
                <w:b/>
                <w:bCs/>
                <w:sz w:val="24"/>
              </w:rPr>
              <w:t>总价</w:t>
            </w:r>
          </w:p>
        </w:tc>
        <w:tc>
          <w:tcPr>
            <w:tcW w:w="942" w:type="dxa"/>
            <w:vAlign w:val="center"/>
          </w:tcPr>
          <w:p w14:paraId="5D7334C4">
            <w:pPr>
              <w:spacing w:line="360" w:lineRule="auto"/>
              <w:jc w:val="center"/>
              <w:rPr>
                <w:rFonts w:hint="eastAsia" w:ascii="宋体" w:hAnsi="宋体" w:eastAsia="宋体" w:cs="宋体"/>
                <w:b/>
                <w:bCs/>
                <w:sz w:val="24"/>
              </w:rPr>
            </w:pPr>
            <w:r>
              <w:rPr>
                <w:rFonts w:hint="eastAsia" w:ascii="宋体" w:hAnsi="宋体" w:eastAsia="宋体" w:cs="宋体"/>
                <w:b/>
                <w:bCs/>
                <w:sz w:val="24"/>
              </w:rPr>
              <w:t>备注</w:t>
            </w:r>
          </w:p>
        </w:tc>
      </w:tr>
      <w:tr w14:paraId="5891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exact"/>
          <w:jc w:val="center"/>
        </w:trPr>
        <w:tc>
          <w:tcPr>
            <w:tcW w:w="883" w:type="dxa"/>
            <w:vAlign w:val="center"/>
          </w:tcPr>
          <w:p w14:paraId="79B152A6">
            <w:pPr>
              <w:adjustRightInd w:val="0"/>
              <w:snapToGrid w:val="0"/>
              <w:spacing w:line="360" w:lineRule="auto"/>
              <w:jc w:val="center"/>
              <w:rPr>
                <w:rFonts w:hint="eastAsia" w:ascii="宋体" w:hAnsi="宋体" w:eastAsia="宋体" w:cs="宋体"/>
                <w:sz w:val="24"/>
              </w:rPr>
            </w:pPr>
            <w:r>
              <w:rPr>
                <w:rFonts w:hint="eastAsia" w:ascii="宋体" w:hAnsi="宋体" w:eastAsia="宋体" w:cs="宋体"/>
                <w:sz w:val="24"/>
              </w:rPr>
              <w:t>1</w:t>
            </w:r>
          </w:p>
        </w:tc>
        <w:tc>
          <w:tcPr>
            <w:tcW w:w="1821" w:type="dxa"/>
            <w:vAlign w:val="center"/>
          </w:tcPr>
          <w:p w14:paraId="24AEE053">
            <w:pPr>
              <w:adjustRightInd w:val="0"/>
              <w:snapToGrid w:val="0"/>
              <w:spacing w:line="360" w:lineRule="auto"/>
              <w:jc w:val="center"/>
              <w:rPr>
                <w:rFonts w:hint="eastAsia" w:ascii="宋体" w:hAnsi="宋体" w:eastAsia="宋体" w:cs="宋体"/>
                <w:sz w:val="24"/>
              </w:rPr>
            </w:pPr>
          </w:p>
        </w:tc>
        <w:tc>
          <w:tcPr>
            <w:tcW w:w="1416" w:type="dxa"/>
            <w:vAlign w:val="center"/>
          </w:tcPr>
          <w:p w14:paraId="0C7643D0">
            <w:pPr>
              <w:spacing w:line="360" w:lineRule="auto"/>
              <w:jc w:val="center"/>
              <w:rPr>
                <w:rFonts w:hint="eastAsia" w:ascii="宋体" w:hAnsi="宋体" w:eastAsia="宋体" w:cs="宋体"/>
                <w:sz w:val="24"/>
              </w:rPr>
            </w:pPr>
          </w:p>
        </w:tc>
        <w:tc>
          <w:tcPr>
            <w:tcW w:w="1010" w:type="dxa"/>
            <w:vAlign w:val="center"/>
          </w:tcPr>
          <w:p w14:paraId="16107D6C">
            <w:pPr>
              <w:spacing w:line="360" w:lineRule="auto"/>
              <w:jc w:val="center"/>
              <w:rPr>
                <w:rFonts w:hint="eastAsia" w:ascii="宋体" w:hAnsi="宋体" w:eastAsia="宋体" w:cs="宋体"/>
                <w:sz w:val="24"/>
              </w:rPr>
            </w:pPr>
          </w:p>
        </w:tc>
        <w:tc>
          <w:tcPr>
            <w:tcW w:w="1010" w:type="dxa"/>
            <w:vAlign w:val="center"/>
          </w:tcPr>
          <w:p w14:paraId="5C93FE6D">
            <w:pPr>
              <w:adjustRightInd w:val="0"/>
              <w:snapToGrid w:val="0"/>
              <w:spacing w:line="360" w:lineRule="auto"/>
              <w:jc w:val="center"/>
              <w:rPr>
                <w:rFonts w:hint="eastAsia" w:ascii="宋体" w:hAnsi="宋体" w:eastAsia="宋体" w:cs="宋体"/>
                <w:sz w:val="24"/>
              </w:rPr>
            </w:pPr>
          </w:p>
        </w:tc>
        <w:tc>
          <w:tcPr>
            <w:tcW w:w="1010" w:type="dxa"/>
            <w:vAlign w:val="center"/>
          </w:tcPr>
          <w:p w14:paraId="0B3C88E3">
            <w:pPr>
              <w:autoSpaceDN w:val="0"/>
              <w:spacing w:line="360" w:lineRule="auto"/>
              <w:jc w:val="center"/>
              <w:textAlignment w:val="center"/>
              <w:rPr>
                <w:rFonts w:hint="eastAsia" w:ascii="宋体" w:hAnsi="宋体" w:eastAsia="宋体" w:cs="宋体"/>
                <w:sz w:val="24"/>
              </w:rPr>
            </w:pPr>
          </w:p>
        </w:tc>
        <w:tc>
          <w:tcPr>
            <w:tcW w:w="1003" w:type="dxa"/>
            <w:vAlign w:val="center"/>
          </w:tcPr>
          <w:p w14:paraId="58938696">
            <w:pPr>
              <w:autoSpaceDN w:val="0"/>
              <w:spacing w:line="360" w:lineRule="auto"/>
              <w:jc w:val="center"/>
              <w:textAlignment w:val="center"/>
              <w:rPr>
                <w:rFonts w:hint="eastAsia" w:ascii="宋体" w:hAnsi="宋体" w:eastAsia="宋体" w:cs="宋体"/>
                <w:sz w:val="24"/>
              </w:rPr>
            </w:pPr>
          </w:p>
        </w:tc>
        <w:tc>
          <w:tcPr>
            <w:tcW w:w="942" w:type="dxa"/>
            <w:vAlign w:val="center"/>
          </w:tcPr>
          <w:p w14:paraId="7F3649D0">
            <w:pPr>
              <w:autoSpaceDN w:val="0"/>
              <w:spacing w:line="360" w:lineRule="auto"/>
              <w:jc w:val="center"/>
              <w:textAlignment w:val="center"/>
              <w:rPr>
                <w:rFonts w:hint="eastAsia" w:ascii="宋体" w:hAnsi="宋体" w:eastAsia="宋体" w:cs="宋体"/>
                <w:sz w:val="24"/>
              </w:rPr>
            </w:pPr>
          </w:p>
        </w:tc>
      </w:tr>
      <w:tr w14:paraId="51E4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exact"/>
          <w:jc w:val="center"/>
        </w:trPr>
        <w:tc>
          <w:tcPr>
            <w:tcW w:w="883" w:type="dxa"/>
            <w:vAlign w:val="center"/>
          </w:tcPr>
          <w:p w14:paraId="1B29B55F">
            <w:pPr>
              <w:adjustRightInd w:val="0"/>
              <w:snapToGrid w:val="0"/>
              <w:spacing w:line="360" w:lineRule="auto"/>
              <w:jc w:val="center"/>
              <w:rPr>
                <w:rFonts w:hint="eastAsia" w:ascii="宋体" w:hAnsi="宋体" w:eastAsia="宋体" w:cs="宋体"/>
                <w:sz w:val="24"/>
              </w:rPr>
            </w:pPr>
          </w:p>
        </w:tc>
        <w:tc>
          <w:tcPr>
            <w:tcW w:w="1821" w:type="dxa"/>
            <w:vAlign w:val="center"/>
          </w:tcPr>
          <w:p w14:paraId="3D3A82D9">
            <w:pPr>
              <w:adjustRightInd w:val="0"/>
              <w:snapToGrid w:val="0"/>
              <w:spacing w:line="360" w:lineRule="auto"/>
              <w:jc w:val="center"/>
              <w:rPr>
                <w:rFonts w:hint="eastAsia" w:ascii="宋体" w:hAnsi="宋体" w:eastAsia="宋体" w:cs="宋体"/>
                <w:sz w:val="24"/>
              </w:rPr>
            </w:pPr>
          </w:p>
        </w:tc>
        <w:tc>
          <w:tcPr>
            <w:tcW w:w="1416" w:type="dxa"/>
            <w:vAlign w:val="center"/>
          </w:tcPr>
          <w:p w14:paraId="59B89358">
            <w:pPr>
              <w:spacing w:line="360" w:lineRule="auto"/>
              <w:jc w:val="center"/>
              <w:rPr>
                <w:rFonts w:hint="eastAsia" w:ascii="宋体" w:hAnsi="宋体" w:eastAsia="宋体" w:cs="宋体"/>
                <w:sz w:val="24"/>
              </w:rPr>
            </w:pPr>
          </w:p>
        </w:tc>
        <w:tc>
          <w:tcPr>
            <w:tcW w:w="1010" w:type="dxa"/>
            <w:vAlign w:val="center"/>
          </w:tcPr>
          <w:p w14:paraId="7552C2B6">
            <w:pPr>
              <w:spacing w:line="360" w:lineRule="auto"/>
              <w:jc w:val="center"/>
              <w:rPr>
                <w:rFonts w:hint="eastAsia" w:ascii="宋体" w:hAnsi="宋体" w:eastAsia="宋体" w:cs="宋体"/>
                <w:sz w:val="24"/>
              </w:rPr>
            </w:pPr>
          </w:p>
        </w:tc>
        <w:tc>
          <w:tcPr>
            <w:tcW w:w="1010" w:type="dxa"/>
            <w:vAlign w:val="center"/>
          </w:tcPr>
          <w:p w14:paraId="71F4F236">
            <w:pPr>
              <w:adjustRightInd w:val="0"/>
              <w:snapToGrid w:val="0"/>
              <w:spacing w:line="360" w:lineRule="auto"/>
              <w:jc w:val="center"/>
              <w:rPr>
                <w:rFonts w:hint="eastAsia" w:ascii="宋体" w:hAnsi="宋体" w:eastAsia="宋体" w:cs="宋体"/>
                <w:sz w:val="24"/>
              </w:rPr>
            </w:pPr>
          </w:p>
        </w:tc>
        <w:tc>
          <w:tcPr>
            <w:tcW w:w="1010" w:type="dxa"/>
            <w:vAlign w:val="center"/>
          </w:tcPr>
          <w:p w14:paraId="1B3BBA16">
            <w:pPr>
              <w:autoSpaceDN w:val="0"/>
              <w:spacing w:line="360" w:lineRule="auto"/>
              <w:jc w:val="center"/>
              <w:textAlignment w:val="center"/>
              <w:rPr>
                <w:rFonts w:hint="eastAsia" w:ascii="宋体" w:hAnsi="宋体" w:eastAsia="宋体" w:cs="宋体"/>
                <w:sz w:val="24"/>
              </w:rPr>
            </w:pPr>
          </w:p>
        </w:tc>
        <w:tc>
          <w:tcPr>
            <w:tcW w:w="1003" w:type="dxa"/>
            <w:vAlign w:val="center"/>
          </w:tcPr>
          <w:p w14:paraId="3D9FFDBF">
            <w:pPr>
              <w:autoSpaceDN w:val="0"/>
              <w:spacing w:line="360" w:lineRule="auto"/>
              <w:jc w:val="center"/>
              <w:textAlignment w:val="center"/>
              <w:rPr>
                <w:rFonts w:hint="eastAsia" w:ascii="宋体" w:hAnsi="宋体" w:eastAsia="宋体" w:cs="宋体"/>
                <w:sz w:val="24"/>
              </w:rPr>
            </w:pPr>
          </w:p>
        </w:tc>
        <w:tc>
          <w:tcPr>
            <w:tcW w:w="942" w:type="dxa"/>
            <w:vAlign w:val="center"/>
          </w:tcPr>
          <w:p w14:paraId="3CC0D88C">
            <w:pPr>
              <w:autoSpaceDN w:val="0"/>
              <w:spacing w:line="360" w:lineRule="auto"/>
              <w:jc w:val="center"/>
              <w:textAlignment w:val="center"/>
              <w:rPr>
                <w:rFonts w:hint="eastAsia" w:ascii="宋体" w:hAnsi="宋体" w:eastAsia="宋体" w:cs="宋体"/>
                <w:sz w:val="24"/>
              </w:rPr>
            </w:pPr>
          </w:p>
        </w:tc>
      </w:tr>
      <w:tr w14:paraId="68BB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exact"/>
          <w:jc w:val="center"/>
        </w:trPr>
        <w:tc>
          <w:tcPr>
            <w:tcW w:w="2704" w:type="dxa"/>
            <w:gridSpan w:val="2"/>
            <w:vAlign w:val="center"/>
          </w:tcPr>
          <w:p w14:paraId="229D2BF1">
            <w:pPr>
              <w:adjustRightInd w:val="0"/>
              <w:snapToGrid w:val="0"/>
              <w:spacing w:line="360" w:lineRule="auto"/>
              <w:jc w:val="center"/>
              <w:rPr>
                <w:rFonts w:hint="eastAsia" w:ascii="宋体" w:hAnsi="宋体" w:eastAsia="宋体" w:cs="宋体"/>
                <w:b/>
                <w:bCs/>
                <w:sz w:val="24"/>
              </w:rPr>
            </w:pPr>
            <w:r>
              <w:rPr>
                <w:rFonts w:hint="eastAsia" w:ascii="宋体" w:hAnsi="宋体" w:eastAsia="宋体" w:cs="宋体"/>
                <w:b/>
                <w:bCs/>
                <w:sz w:val="24"/>
              </w:rPr>
              <w:t>总计（人民币/元）</w:t>
            </w:r>
          </w:p>
        </w:tc>
        <w:tc>
          <w:tcPr>
            <w:tcW w:w="6391" w:type="dxa"/>
            <w:gridSpan w:val="6"/>
            <w:vAlign w:val="center"/>
          </w:tcPr>
          <w:p w14:paraId="57B815AB">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       （大写）</w:t>
            </w:r>
          </w:p>
        </w:tc>
      </w:tr>
    </w:tbl>
    <w:p w14:paraId="6F64AE75">
      <w:pPr>
        <w:kinsoku w:val="0"/>
        <w:spacing w:line="360" w:lineRule="auto"/>
        <w:ind w:firstLine="600" w:firstLineChars="250"/>
        <w:rPr>
          <w:rFonts w:hint="eastAsia" w:ascii="宋体" w:hAnsi="宋体" w:eastAsia="宋体" w:cs="宋体"/>
          <w:sz w:val="24"/>
        </w:rPr>
      </w:pPr>
      <w:r>
        <w:rPr>
          <w:rFonts w:hint="eastAsia" w:ascii="宋体" w:hAnsi="宋体" w:eastAsia="宋体" w:cs="宋体"/>
          <w:sz w:val="24"/>
        </w:rPr>
        <w:t>乙方负责按以上确定的货物规格、型号及配套内容进行供货，及时运到甲方指定交货地点，确保所有货物达到最佳运行状态，负责对甲方操作、维护人员进行培训，指导操作、使用和维修保养，做好售后服务工作。</w:t>
      </w:r>
    </w:p>
    <w:p w14:paraId="1A527A16">
      <w:pPr>
        <w:spacing w:line="360" w:lineRule="auto"/>
        <w:rPr>
          <w:rFonts w:hint="eastAsia" w:ascii="宋体" w:hAnsi="宋体" w:eastAsia="宋体" w:cs="宋体"/>
          <w:b/>
          <w:bCs/>
          <w:sz w:val="24"/>
        </w:rPr>
      </w:pPr>
      <w:r>
        <w:rPr>
          <w:rFonts w:hint="eastAsia" w:ascii="宋体" w:hAnsi="宋体" w:eastAsia="宋体" w:cs="宋体"/>
          <w:b/>
          <w:bCs/>
          <w:sz w:val="24"/>
        </w:rPr>
        <w:t>二、合同价格</w:t>
      </w:r>
    </w:p>
    <w:p w14:paraId="38697F5E">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合同总价：人民币大写</w:t>
      </w:r>
      <w:r>
        <w:rPr>
          <w:rFonts w:hint="eastAsia" w:ascii="宋体" w:hAnsi="宋体" w:eastAsia="宋体" w:cs="宋体"/>
          <w:sz w:val="24"/>
          <w:u w:val="single"/>
        </w:rPr>
        <w:t>：</w:t>
      </w:r>
      <w:r>
        <w:rPr>
          <w:rFonts w:hint="eastAsia" w:ascii="宋体" w:hAnsi="宋体" w:eastAsia="宋体" w:cs="宋体"/>
          <w:b/>
          <w:bCs/>
          <w:sz w:val="24"/>
          <w:u w:val="single"/>
        </w:rPr>
        <w:t xml:space="preserve">          </w:t>
      </w:r>
      <w:r>
        <w:rPr>
          <w:rFonts w:hint="eastAsia" w:ascii="宋体" w:hAnsi="宋体" w:eastAsia="宋体" w:cs="宋体"/>
          <w:b/>
          <w:bCs/>
          <w:sz w:val="24"/>
        </w:rPr>
        <w:t>元整；</w:t>
      </w:r>
      <w:r>
        <w:rPr>
          <w:rFonts w:hint="eastAsia" w:ascii="宋体" w:hAnsi="宋体" w:eastAsia="宋体" w:cs="宋体"/>
          <w:sz w:val="24"/>
        </w:rPr>
        <w:t xml:space="preserve">￥ </w:t>
      </w:r>
      <w:r>
        <w:rPr>
          <w:rFonts w:hint="eastAsia" w:ascii="宋体" w:hAnsi="宋体" w:eastAsia="宋体" w:cs="宋体"/>
          <w:b/>
          <w:bCs/>
          <w:sz w:val="24"/>
          <w:u w:val="single"/>
        </w:rPr>
        <w:t xml:space="preserve">       </w:t>
      </w:r>
      <w:r>
        <w:rPr>
          <w:rFonts w:hint="eastAsia" w:ascii="宋体" w:hAnsi="宋体" w:eastAsia="宋体" w:cs="宋体"/>
          <w:sz w:val="24"/>
        </w:rPr>
        <w:t>元。</w:t>
      </w:r>
    </w:p>
    <w:p w14:paraId="6B154DA5">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合同总价包括：货物及配套货物的生产、检验、包装、运输、保险、税费以及配送、发放、服务等全部费用。合同总价不可变更，不受市场价变化的影响，不受实际数量变化的影响。</w:t>
      </w:r>
    </w:p>
    <w:p w14:paraId="29E1A6FB">
      <w:pPr>
        <w:spacing w:line="360" w:lineRule="auto"/>
        <w:rPr>
          <w:rFonts w:hint="eastAsia" w:ascii="宋体" w:hAnsi="宋体" w:eastAsia="宋体" w:cs="宋体"/>
          <w:b/>
          <w:bCs/>
          <w:sz w:val="24"/>
        </w:rPr>
      </w:pPr>
      <w:r>
        <w:rPr>
          <w:rFonts w:hint="eastAsia" w:ascii="宋体" w:hAnsi="宋体" w:eastAsia="宋体" w:cs="宋体"/>
          <w:b/>
          <w:bCs/>
          <w:sz w:val="24"/>
        </w:rPr>
        <w:t>三、款项支付</w:t>
      </w:r>
    </w:p>
    <w:p w14:paraId="384BD8FC">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1、支付时间：</w:t>
      </w:r>
    </w:p>
    <w:p w14:paraId="79866E27">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2、支付方式：银行转帐。</w:t>
      </w:r>
    </w:p>
    <w:p w14:paraId="7E0A6F9C">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3、结算方式：</w:t>
      </w:r>
    </w:p>
    <w:p w14:paraId="1D5991E6">
      <w:pPr>
        <w:spacing w:line="360" w:lineRule="auto"/>
        <w:rPr>
          <w:rFonts w:hint="eastAsia" w:ascii="宋体" w:hAnsi="宋体" w:eastAsia="宋体" w:cs="宋体"/>
          <w:b/>
          <w:bCs/>
          <w:sz w:val="24"/>
        </w:rPr>
      </w:pPr>
      <w:r>
        <w:rPr>
          <w:rFonts w:hint="eastAsia" w:ascii="宋体" w:hAnsi="宋体" w:eastAsia="宋体" w:cs="宋体"/>
          <w:b/>
          <w:bCs/>
          <w:sz w:val="24"/>
        </w:rPr>
        <w:t>四、交货条件</w:t>
      </w:r>
    </w:p>
    <w:p w14:paraId="47CFF70D">
      <w:pPr>
        <w:kinsoku w:val="0"/>
        <w:spacing w:line="360" w:lineRule="auto"/>
        <w:ind w:firstLine="600" w:firstLineChars="250"/>
        <w:rPr>
          <w:rFonts w:hint="eastAsia" w:ascii="宋体" w:hAnsi="宋体" w:eastAsia="宋体" w:cs="宋体"/>
          <w:sz w:val="24"/>
        </w:rPr>
      </w:pPr>
      <w:r>
        <w:rPr>
          <w:rFonts w:hint="eastAsia" w:ascii="宋体" w:hAnsi="宋体" w:eastAsia="宋体" w:cs="宋体"/>
          <w:sz w:val="24"/>
        </w:rPr>
        <w:t>1、交货地点：</w:t>
      </w:r>
    </w:p>
    <w:p w14:paraId="18C5F33E">
      <w:pPr>
        <w:kinsoku w:val="0"/>
        <w:spacing w:line="360" w:lineRule="auto"/>
        <w:ind w:firstLine="600" w:firstLineChars="250"/>
        <w:rPr>
          <w:rFonts w:hint="eastAsia" w:ascii="宋体" w:hAnsi="宋体" w:eastAsia="宋体" w:cs="宋体"/>
          <w:sz w:val="24"/>
        </w:rPr>
      </w:pPr>
      <w:r>
        <w:rPr>
          <w:rFonts w:hint="eastAsia" w:ascii="宋体" w:hAnsi="宋体" w:eastAsia="宋体" w:cs="宋体"/>
          <w:sz w:val="24"/>
        </w:rPr>
        <w:t>2、交货日期：</w:t>
      </w:r>
    </w:p>
    <w:p w14:paraId="70C0A967">
      <w:pPr>
        <w:spacing w:line="360" w:lineRule="auto"/>
        <w:rPr>
          <w:rFonts w:hint="eastAsia" w:ascii="宋体" w:hAnsi="宋体" w:eastAsia="宋体" w:cs="宋体"/>
          <w:b/>
          <w:bCs/>
          <w:sz w:val="24"/>
        </w:rPr>
      </w:pPr>
      <w:r>
        <w:rPr>
          <w:rFonts w:hint="eastAsia" w:ascii="宋体" w:hAnsi="宋体" w:eastAsia="宋体" w:cs="宋体"/>
          <w:b/>
          <w:bCs/>
          <w:sz w:val="24"/>
        </w:rPr>
        <w:t>五、运输方式：</w:t>
      </w:r>
      <w:r>
        <w:rPr>
          <w:rFonts w:hint="eastAsia" w:ascii="宋体" w:hAnsi="宋体" w:eastAsia="宋体" w:cs="宋体"/>
          <w:sz w:val="24"/>
        </w:rPr>
        <w:t>根据产品特性，由乙方在保证产品质量的前提下，自行选择运输及包装方式，发生的一切费用全部由乙方承担。</w:t>
      </w:r>
    </w:p>
    <w:p w14:paraId="3E60F278">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六、质量保证</w:t>
      </w:r>
    </w:p>
    <w:p w14:paraId="61CBC71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1、乙方保证所提供的货物质量可靠，进货渠道正常，配置合理，技术性能完全满足竞争性谈判文件要求；</w:t>
      </w:r>
    </w:p>
    <w:p w14:paraId="0B4C536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若货物所用原材料或加工工艺造成的质量和内外观缺陷问题，由乙方负责解决并承担费用。（卖方保证货物是全新的、未曾使用过的、以优质工艺及材料制造，并保证所供货物的完整性，本合同货物为成套供货，合同总价中已包括满足货物完整运行的附件、备件、配套件等，产品质量应符合国标标准和本合同附件的要求,卖方应随机提供产品检验报告。）</w:t>
      </w:r>
    </w:p>
    <w:p w14:paraId="4BFBFB12">
      <w:pPr>
        <w:adjustRightInd w:val="0"/>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3、货物的质保期为货物验收合格后XX年，质保期内若发生产品质量问题，卖方应立即免费解决；否则，甲方有权从质保金中支付相关费用；超过质保期的，按照厂家承诺进行。</w:t>
      </w:r>
    </w:p>
    <w:p w14:paraId="53496A89">
      <w:pPr>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七、技术服务</w:t>
      </w:r>
    </w:p>
    <w:p w14:paraId="2C7E9B0E">
      <w:pPr>
        <w:spacing w:line="360" w:lineRule="auto"/>
        <w:ind w:firstLine="496" w:firstLineChars="207"/>
        <w:rPr>
          <w:rFonts w:hint="eastAsia" w:ascii="宋体" w:hAnsi="宋体" w:eastAsia="宋体" w:cs="宋体"/>
          <w:sz w:val="24"/>
        </w:rPr>
      </w:pPr>
      <w:r>
        <w:rPr>
          <w:rFonts w:hint="eastAsia" w:ascii="宋体" w:hAnsi="宋体" w:eastAsia="宋体" w:cs="宋体"/>
          <w:sz w:val="24"/>
        </w:rPr>
        <w:t>1、技术资料包括：</w:t>
      </w:r>
    </w:p>
    <w:p w14:paraId="6E826411">
      <w:pPr>
        <w:spacing w:line="360" w:lineRule="auto"/>
        <w:ind w:firstLine="480" w:firstLineChars="200"/>
        <w:rPr>
          <w:rFonts w:hint="eastAsia" w:ascii="宋体" w:hAnsi="宋体" w:eastAsia="宋体" w:cs="宋体"/>
          <w:sz w:val="24"/>
        </w:rPr>
      </w:pPr>
      <w:r>
        <w:rPr>
          <w:rFonts w:hint="eastAsia" w:ascii="宋体" w:hAnsi="宋体" w:eastAsia="宋体" w:cs="宋体"/>
          <w:sz w:val="24"/>
        </w:rPr>
        <w:t>2、在质保期内（保修起始日为货到验收合格之日起），乙方在接到用户对所购货物进行维修的要求后，XX小时内到用户现场进行维修服务，全部费用由乙方支付。</w:t>
      </w:r>
    </w:p>
    <w:p w14:paraId="01A891D6">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3、乙方保证货物完全按采购要求提供，若达不到要求，乙方须及时跟甲方沟通协商更换货物，并按照再次验收合格时间相应延长该产品保修期。</w:t>
      </w:r>
    </w:p>
    <w:p w14:paraId="7A610E78">
      <w:pPr>
        <w:spacing w:line="360" w:lineRule="auto"/>
        <w:ind w:firstLine="480" w:firstLineChars="200"/>
        <w:rPr>
          <w:rFonts w:hint="eastAsia" w:ascii="宋体" w:hAnsi="宋体" w:eastAsia="宋体" w:cs="宋体"/>
          <w:sz w:val="24"/>
        </w:rPr>
      </w:pPr>
      <w:r>
        <w:rPr>
          <w:rFonts w:hint="eastAsia" w:ascii="宋体" w:hAnsi="宋体" w:eastAsia="宋体" w:cs="宋体"/>
          <w:sz w:val="24"/>
        </w:rPr>
        <w:t>4、技术培训</w:t>
      </w:r>
    </w:p>
    <w:p w14:paraId="05295E4E">
      <w:pPr>
        <w:spacing w:line="360" w:lineRule="auto"/>
        <w:ind w:firstLine="600" w:firstLineChars="250"/>
        <w:rPr>
          <w:rFonts w:hint="eastAsia" w:ascii="宋体" w:hAnsi="宋体" w:eastAsia="宋体" w:cs="宋体"/>
          <w:sz w:val="24"/>
        </w:rPr>
      </w:pPr>
      <w:r>
        <w:rPr>
          <w:rFonts w:hint="eastAsia" w:ascii="宋体" w:hAnsi="宋体" w:eastAsia="宋体" w:cs="宋体"/>
          <w:sz w:val="24"/>
        </w:rPr>
        <w:t>1）内容：</w:t>
      </w:r>
    </w:p>
    <w:p w14:paraId="21E8EAC3">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2）培训准备：</w:t>
      </w:r>
    </w:p>
    <w:p w14:paraId="28B89370">
      <w:pPr>
        <w:spacing w:line="360" w:lineRule="auto"/>
        <w:ind w:firstLine="600" w:firstLineChars="250"/>
        <w:rPr>
          <w:rFonts w:hint="eastAsia" w:ascii="宋体" w:hAnsi="宋体" w:eastAsia="宋体" w:cs="宋体"/>
          <w:sz w:val="24"/>
        </w:rPr>
      </w:pPr>
      <w:r>
        <w:rPr>
          <w:rFonts w:hint="eastAsia" w:ascii="宋体" w:hAnsi="宋体" w:eastAsia="宋体" w:cs="宋体"/>
          <w:sz w:val="24"/>
        </w:rPr>
        <w:t>3）地点：</w:t>
      </w:r>
    </w:p>
    <w:p w14:paraId="04F3B3B1">
      <w:pPr>
        <w:spacing w:line="360" w:lineRule="auto"/>
        <w:ind w:firstLine="600" w:firstLineChars="250"/>
        <w:rPr>
          <w:rFonts w:hint="eastAsia" w:ascii="宋体" w:hAnsi="宋体" w:eastAsia="宋体" w:cs="宋体"/>
          <w:sz w:val="24"/>
        </w:rPr>
      </w:pPr>
      <w:r>
        <w:rPr>
          <w:rFonts w:hint="eastAsia" w:ascii="宋体" w:hAnsi="宋体" w:eastAsia="宋体" w:cs="宋体"/>
          <w:sz w:val="24"/>
        </w:rPr>
        <w:t>4）时间：</w:t>
      </w:r>
    </w:p>
    <w:p w14:paraId="4C9FB5E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5、服务承诺：按响应文件中的服务承诺执行。</w:t>
      </w:r>
    </w:p>
    <w:p w14:paraId="60607EC3">
      <w:pPr>
        <w:tabs>
          <w:tab w:val="left" w:pos="5355"/>
        </w:tabs>
        <w:spacing w:line="360" w:lineRule="auto"/>
        <w:rPr>
          <w:rFonts w:hint="eastAsia" w:ascii="宋体" w:hAnsi="宋体" w:eastAsia="宋体" w:cs="宋体"/>
          <w:b/>
          <w:bCs/>
          <w:sz w:val="24"/>
        </w:rPr>
      </w:pPr>
      <w:r>
        <w:rPr>
          <w:rFonts w:hint="eastAsia" w:ascii="宋体" w:hAnsi="宋体" w:eastAsia="宋体" w:cs="宋体"/>
          <w:b/>
          <w:bCs/>
          <w:sz w:val="24"/>
        </w:rPr>
        <w:t>八、违约责任：</w:t>
      </w:r>
    </w:p>
    <w:p w14:paraId="0AA16F4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1、按《中华人民共和国民法典》中的相关条款执行。</w:t>
      </w:r>
    </w:p>
    <w:p w14:paraId="31E055C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2、未按合同要求提供产品或货物质量不能满足技术要求，甲方有权终止合同，并保留追究乙方违约责任的权利。</w:t>
      </w:r>
    </w:p>
    <w:p w14:paraId="5E8D494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3、时间迟延的，违约方按照每天1%向对方承担违约责任。产品质量问题违约的，除了按照迟延时间计算违约金外，另可以采取退货、换货等方式，由供方承担一切费用。</w:t>
      </w:r>
    </w:p>
    <w:p w14:paraId="4B39E500">
      <w:pPr>
        <w:spacing w:line="360" w:lineRule="auto"/>
        <w:rPr>
          <w:rFonts w:hint="eastAsia" w:ascii="宋体" w:hAnsi="宋体" w:eastAsia="宋体" w:cs="宋体"/>
          <w:b/>
          <w:bCs/>
          <w:sz w:val="24"/>
        </w:rPr>
      </w:pPr>
      <w:r>
        <w:rPr>
          <w:rFonts w:hint="eastAsia" w:ascii="宋体" w:hAnsi="宋体" w:eastAsia="宋体" w:cs="宋体"/>
          <w:b/>
          <w:bCs/>
          <w:sz w:val="24"/>
        </w:rPr>
        <w:t>九、货物验收</w:t>
      </w:r>
    </w:p>
    <w:p w14:paraId="0F506985">
      <w:pPr>
        <w:spacing w:line="360" w:lineRule="auto"/>
        <w:ind w:firstLine="480" w:firstLineChars="200"/>
        <w:rPr>
          <w:rFonts w:hint="eastAsia" w:ascii="宋体" w:hAnsi="宋体" w:eastAsia="宋体" w:cs="宋体"/>
          <w:sz w:val="24"/>
        </w:rPr>
      </w:pPr>
      <w:r>
        <w:rPr>
          <w:rFonts w:hint="eastAsia" w:ascii="宋体" w:hAnsi="宋体" w:eastAsia="宋体" w:cs="宋体"/>
          <w:sz w:val="24"/>
        </w:rPr>
        <w:t>1、货物到货后，乙方负责书面通知甲方验收。</w:t>
      </w:r>
    </w:p>
    <w:p w14:paraId="6AB7F741">
      <w:pPr>
        <w:spacing w:line="360" w:lineRule="auto"/>
        <w:ind w:firstLine="480" w:firstLineChars="200"/>
        <w:rPr>
          <w:rFonts w:hint="eastAsia" w:ascii="宋体" w:hAnsi="宋体" w:eastAsia="宋体" w:cs="宋体"/>
          <w:sz w:val="24"/>
        </w:rPr>
      </w:pPr>
      <w:r>
        <w:rPr>
          <w:rFonts w:hint="eastAsia" w:ascii="宋体" w:hAnsi="宋体" w:eastAsia="宋体" w:cs="宋体"/>
          <w:sz w:val="24"/>
        </w:rPr>
        <w:t>2、提供完整的制造厂家的检验测试报告。</w:t>
      </w:r>
    </w:p>
    <w:p w14:paraId="044F4B0D">
      <w:pPr>
        <w:spacing w:line="360" w:lineRule="auto"/>
        <w:ind w:firstLine="480" w:firstLineChars="200"/>
        <w:rPr>
          <w:rFonts w:hint="eastAsia" w:ascii="宋体" w:hAnsi="宋体" w:eastAsia="宋体" w:cs="宋体"/>
          <w:sz w:val="24"/>
        </w:rPr>
      </w:pPr>
      <w:r>
        <w:rPr>
          <w:rFonts w:hint="eastAsia" w:ascii="宋体" w:hAnsi="宋体" w:eastAsia="宋体" w:cs="宋体"/>
          <w:sz w:val="24"/>
        </w:rPr>
        <w:t>3、甲方根据合同要求对货物进行验收、确认货物的产地、规格、型号和数量。验收依据为</w:t>
      </w:r>
      <w:bookmarkStart w:id="0" w:name="_Toc337393760"/>
      <w:r>
        <w:rPr>
          <w:rFonts w:hint="eastAsia" w:ascii="宋体" w:hAnsi="宋体" w:eastAsia="宋体" w:cs="宋体"/>
          <w:sz w:val="24"/>
        </w:rPr>
        <w:t>本合同文本、谈判文件、响应文件和国内相应的标准、规范</w:t>
      </w:r>
      <w:bookmarkEnd w:id="0"/>
      <w:bookmarkStart w:id="1" w:name="_Toc337393761"/>
      <w:r>
        <w:rPr>
          <w:rFonts w:hint="eastAsia" w:ascii="宋体" w:hAnsi="宋体" w:eastAsia="宋体" w:cs="宋体"/>
          <w:sz w:val="24"/>
        </w:rPr>
        <w:t>。</w:t>
      </w:r>
      <w:bookmarkEnd w:id="1"/>
    </w:p>
    <w:p w14:paraId="08E1663A">
      <w:pPr>
        <w:spacing w:line="360" w:lineRule="auto"/>
        <w:ind w:firstLine="480" w:firstLineChars="200"/>
        <w:rPr>
          <w:rFonts w:hint="eastAsia" w:ascii="宋体" w:hAnsi="宋体" w:eastAsia="宋体" w:cs="宋体"/>
          <w:sz w:val="24"/>
        </w:rPr>
      </w:pPr>
      <w:r>
        <w:rPr>
          <w:rFonts w:hint="eastAsia" w:ascii="宋体" w:hAnsi="宋体" w:eastAsia="宋体" w:cs="宋体"/>
          <w:sz w:val="24"/>
        </w:rPr>
        <w:t>4、验收合格后，填写货物验收单，并向甲方提交货物所包含的所有资料，以便使用单位日后管理和维护。</w:t>
      </w:r>
    </w:p>
    <w:p w14:paraId="6CA0363C">
      <w:pPr>
        <w:tabs>
          <w:tab w:val="left" w:pos="5355"/>
        </w:tabs>
        <w:spacing w:line="360" w:lineRule="auto"/>
        <w:rPr>
          <w:rFonts w:hint="eastAsia" w:ascii="宋体" w:hAnsi="宋体" w:eastAsia="宋体" w:cs="宋体"/>
          <w:b/>
          <w:bCs/>
          <w:sz w:val="24"/>
        </w:rPr>
      </w:pPr>
      <w:r>
        <w:rPr>
          <w:rFonts w:hint="eastAsia" w:ascii="宋体" w:hAnsi="宋体" w:eastAsia="宋体" w:cs="宋体"/>
          <w:b/>
          <w:bCs/>
          <w:sz w:val="24"/>
        </w:rPr>
        <w:t>十、合同争议的解决：</w:t>
      </w:r>
    </w:p>
    <w:p w14:paraId="7A3B5006">
      <w:pPr>
        <w:tabs>
          <w:tab w:val="left" w:pos="5355"/>
        </w:tabs>
        <w:spacing w:line="360" w:lineRule="auto"/>
        <w:ind w:firstLine="480" w:firstLineChars="200"/>
        <w:rPr>
          <w:rFonts w:hint="eastAsia" w:ascii="宋体" w:hAnsi="宋体" w:eastAsia="宋体" w:cs="宋体"/>
          <w:b/>
          <w:bCs/>
          <w:sz w:val="24"/>
        </w:rPr>
      </w:pPr>
      <w:r>
        <w:rPr>
          <w:rFonts w:hint="eastAsia" w:ascii="宋体" w:hAnsi="宋体" w:eastAsia="宋体" w:cs="宋体"/>
          <w:sz w:val="24"/>
        </w:rPr>
        <w:t>1、合同一经签订，不得随意变更、中止或终止。对确需变更、调整或者中止、终止合同的，应按规定履行相应的手续。</w:t>
      </w:r>
    </w:p>
    <w:p w14:paraId="4C76DB6A">
      <w:pPr>
        <w:tabs>
          <w:tab w:val="left" w:pos="5355"/>
        </w:tabs>
        <w:spacing w:line="360" w:lineRule="auto"/>
        <w:ind w:firstLine="480" w:firstLineChars="200"/>
        <w:rPr>
          <w:rFonts w:hint="eastAsia" w:ascii="宋体" w:hAnsi="宋体" w:eastAsia="宋体" w:cs="宋体"/>
          <w:sz w:val="24"/>
        </w:rPr>
      </w:pPr>
      <w:r>
        <w:rPr>
          <w:rFonts w:hint="eastAsia" w:ascii="宋体" w:hAnsi="宋体" w:eastAsia="宋体" w:cs="宋体"/>
          <w:sz w:val="24"/>
        </w:rPr>
        <w:t>2、合同执行中发生争议的，甲、乙双方应协商解决，协商达不成一致时，可向合同履行地人民法院提请诉讼。</w:t>
      </w:r>
    </w:p>
    <w:p w14:paraId="44266E3B">
      <w:pPr>
        <w:tabs>
          <w:tab w:val="left" w:pos="5355"/>
        </w:tabs>
        <w:spacing w:line="360" w:lineRule="auto"/>
        <w:rPr>
          <w:rFonts w:hint="eastAsia" w:ascii="宋体" w:hAnsi="宋体" w:eastAsia="宋体" w:cs="宋体"/>
          <w:b/>
          <w:bCs/>
          <w:sz w:val="24"/>
        </w:rPr>
      </w:pPr>
      <w:r>
        <w:rPr>
          <w:rFonts w:hint="eastAsia" w:ascii="宋体" w:hAnsi="宋体" w:eastAsia="宋体" w:cs="宋体"/>
          <w:b/>
          <w:bCs/>
          <w:sz w:val="24"/>
        </w:rPr>
        <w:t>十一、其它事项</w:t>
      </w:r>
    </w:p>
    <w:p w14:paraId="2582155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1、甲、乙双方做为合同执行的主体，有义务及时完全履行合同。</w:t>
      </w:r>
    </w:p>
    <w:p w14:paraId="21232E5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2、合同未尽事宜，由甲、乙双方协商，协商方案作为本合同不可分割的组成部分，与本合同具有同等法律效力。</w:t>
      </w:r>
    </w:p>
    <w:p w14:paraId="0F63819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3、竞争性谈判文件和乙方的响应文件以及合同附件均为合同不可分割的部分。</w:t>
      </w:r>
    </w:p>
    <w:p w14:paraId="34809D0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4、合同一式**份，甲方**份、乙方**份（返回招标代理机构壹份）。甲方、乙方及确认方签字盖章后生效，合同执行完毕自动失效。（合同的服务承诺长期有效）。</w:t>
      </w:r>
    </w:p>
    <w:p w14:paraId="2285F29F">
      <w:pPr>
        <w:adjustRightInd w:val="0"/>
        <w:snapToGrid w:val="0"/>
        <w:spacing w:line="360" w:lineRule="auto"/>
        <w:rPr>
          <w:rFonts w:hint="eastAsia" w:ascii="宋体" w:hAnsi="宋体" w:eastAsia="宋体" w:cs="宋体"/>
          <w:sz w:val="24"/>
        </w:rPr>
      </w:pPr>
      <w:r>
        <w:rPr>
          <w:rFonts w:hint="eastAsia" w:ascii="宋体" w:hAnsi="宋体" w:eastAsia="宋体" w:cs="宋体"/>
          <w:sz w:val="24"/>
        </w:rPr>
        <w:t>甲  方：</w:t>
      </w:r>
      <w:r>
        <w:rPr>
          <w:rFonts w:hint="eastAsia" w:ascii="宋体" w:hAnsi="宋体" w:eastAsia="宋体" w:cs="宋体"/>
          <w:sz w:val="24"/>
          <w:u w:val="single"/>
        </w:rPr>
        <w:t xml:space="preserve">           </w:t>
      </w:r>
      <w:r>
        <w:rPr>
          <w:rFonts w:hint="eastAsia" w:ascii="宋体" w:hAnsi="宋体" w:eastAsia="宋体" w:cs="宋体"/>
          <w:sz w:val="24"/>
        </w:rPr>
        <w:t>（公章）              乙  方：</w:t>
      </w:r>
      <w:r>
        <w:rPr>
          <w:rFonts w:hint="eastAsia" w:ascii="宋体" w:hAnsi="宋体" w:eastAsia="宋体" w:cs="宋体"/>
          <w:sz w:val="24"/>
          <w:u w:val="single"/>
        </w:rPr>
        <w:t xml:space="preserve">           </w:t>
      </w:r>
      <w:r>
        <w:rPr>
          <w:rFonts w:hint="eastAsia" w:ascii="宋体" w:hAnsi="宋体" w:eastAsia="宋体" w:cs="宋体"/>
          <w:sz w:val="24"/>
        </w:rPr>
        <w:t>（公章）</w:t>
      </w:r>
    </w:p>
    <w:p w14:paraId="6FAB69E1">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地  址：                                 地    址： </w:t>
      </w:r>
    </w:p>
    <w:p w14:paraId="256C367D">
      <w:pPr>
        <w:adjustRightInd w:val="0"/>
        <w:snapToGrid w:val="0"/>
        <w:spacing w:line="360" w:lineRule="auto"/>
        <w:rPr>
          <w:rFonts w:hint="eastAsia" w:ascii="宋体" w:hAnsi="宋体" w:eastAsia="宋体" w:cs="宋体"/>
          <w:sz w:val="24"/>
        </w:rPr>
      </w:pPr>
      <w:r>
        <w:rPr>
          <w:rFonts w:hint="eastAsia" w:ascii="宋体" w:hAnsi="宋体" w:eastAsia="宋体" w:cs="宋体"/>
          <w:sz w:val="24"/>
        </w:rPr>
        <w:t>法定代表人：（签字）                      法定代表人：（签字）</w:t>
      </w:r>
    </w:p>
    <w:p w14:paraId="07543268">
      <w:pPr>
        <w:adjustRightInd w:val="0"/>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 xml:space="preserve"> </w:t>
      </w:r>
    </w:p>
    <w:p w14:paraId="36BF316F">
      <w:pPr>
        <w:adjustRightInd w:val="0"/>
        <w:snapToGrid w:val="0"/>
        <w:spacing w:line="360" w:lineRule="auto"/>
        <w:rPr>
          <w:rFonts w:hint="eastAsia" w:ascii="宋体" w:hAnsi="宋体" w:eastAsia="宋体" w:cs="宋体"/>
          <w:sz w:val="24"/>
        </w:rPr>
      </w:pPr>
      <w:r>
        <w:rPr>
          <w:rFonts w:hint="eastAsia" w:ascii="宋体" w:hAnsi="宋体" w:eastAsia="宋体" w:cs="宋体"/>
          <w:sz w:val="24"/>
        </w:rPr>
        <w:t>代理人：（签字）                          代理人：（签字）</w:t>
      </w:r>
    </w:p>
    <w:p w14:paraId="1B7F8A0A">
      <w:pPr>
        <w:adjustRightInd w:val="0"/>
        <w:snapToGrid w:val="0"/>
        <w:spacing w:line="360" w:lineRule="auto"/>
        <w:rPr>
          <w:rFonts w:hint="eastAsia" w:ascii="宋体" w:hAnsi="宋体" w:eastAsia="宋体" w:cs="宋体"/>
          <w:sz w:val="24"/>
        </w:rPr>
      </w:pPr>
      <w:r>
        <w:rPr>
          <w:rFonts w:hint="eastAsia" w:ascii="宋体" w:hAnsi="宋体" w:eastAsia="宋体" w:cs="宋体"/>
          <w:sz w:val="24"/>
        </w:rPr>
        <w:t>联系电话：                               开户银行：</w:t>
      </w:r>
    </w:p>
    <w:p w14:paraId="394F09D9">
      <w:pPr>
        <w:adjustRightInd w:val="0"/>
        <w:snapToGrid w:val="0"/>
        <w:spacing w:line="360" w:lineRule="auto"/>
        <w:ind w:firstLine="4920" w:firstLineChars="2050"/>
        <w:rPr>
          <w:rFonts w:hint="eastAsia" w:ascii="宋体" w:hAnsi="宋体" w:eastAsia="宋体" w:cs="宋体"/>
          <w:sz w:val="24"/>
        </w:rPr>
      </w:pPr>
      <w:r>
        <w:rPr>
          <w:rFonts w:hint="eastAsia" w:ascii="宋体" w:hAnsi="宋体" w:eastAsia="宋体" w:cs="宋体"/>
          <w:sz w:val="24"/>
        </w:rPr>
        <w:t xml:space="preserve">帐    号： </w:t>
      </w:r>
    </w:p>
    <w:p w14:paraId="0A48E3D4">
      <w:pPr>
        <w:adjustRightInd w:val="0"/>
        <w:snapToGrid w:val="0"/>
        <w:spacing w:line="360" w:lineRule="auto"/>
        <w:ind w:firstLine="4920" w:firstLineChars="2050"/>
        <w:rPr>
          <w:rFonts w:hint="eastAsia" w:ascii="宋体" w:hAnsi="宋体" w:eastAsia="宋体" w:cs="宋体"/>
          <w:sz w:val="24"/>
        </w:rPr>
      </w:pPr>
      <w:r>
        <w:rPr>
          <w:rFonts w:hint="eastAsia" w:ascii="宋体" w:hAnsi="宋体" w:eastAsia="宋体" w:cs="宋体"/>
          <w:sz w:val="24"/>
        </w:rPr>
        <w:t>联系电话：</w:t>
      </w:r>
    </w:p>
    <w:p w14:paraId="53D6E3E5">
      <w:pPr>
        <w:spacing w:line="360" w:lineRule="auto"/>
        <w:rPr>
          <w:rFonts w:hint="eastAsia" w:ascii="宋体" w:hAnsi="宋体" w:eastAsia="宋体" w:cs="宋体"/>
          <w:sz w:val="24"/>
        </w:rPr>
      </w:pPr>
      <w:r>
        <w:rPr>
          <w:rFonts w:hint="eastAsia" w:ascii="宋体" w:hAnsi="宋体" w:eastAsia="宋体" w:cs="宋体"/>
          <w:sz w:val="24"/>
        </w:rPr>
        <w:t>签订日期：   年  月  日                  签订日期：   年  月  日</w:t>
      </w:r>
    </w:p>
    <w:p w14:paraId="792BF028">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2D6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2026-06-25T08:46:57Z</dcterms:created>
  <dc:creator>Administrator</dc:creator>
  <cp:lastModifiedBy>QL</cp:lastModifiedBy>
  <dcterms:modified xsi:type="dcterms:W3CDTF">2026-06-25T08:47:09Z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eyJoZGlkIjoiNWRlOTViMzNkMzJhMzAzMDM5M2Q5ZWI5NzhjZGE0Y2IiLCJ1c2VySWQiOiIzNTM3NDI5MzQifQ==</vt:lpwstr>
  </property>
  <property fmtid="{D5CDD505-2E9C-101B-9397-08002B2CF9AE}" pid="4" name="ICV">
    <vt:lpwstr>BC441A53B11F4D1E9B2A9D693A4209A1_12</vt:lpwstr>
  </property>
</Properties>
</file>