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版本号：ZKGSF(ZB)-2026151920260813002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省武术中心散打馆维修改造项目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ZKGSF(ZB)-20261519</w:t>
      </w:r>
      <w:r>
        <w:br/>
      </w:r>
      <w:r>
        <w:br/>
      </w:r>
      <w:r>
        <w:br/>
      </w:r>
    </w:p>
    <w:p>
      <w:pPr>
        <w:pStyle w:val="null3"/>
        <w:jc w:val="center"/>
        <w:outlineLvl w:val="2"/>
      </w:pPr>
      <w:r>
        <w:rPr>
          <w:rFonts w:ascii="仿宋_GB2312" w:hAnsi="仿宋_GB2312" w:cs="仿宋_GB2312" w:eastAsia="仿宋_GB2312"/>
          <w:sz w:val="28"/>
          <w:b/>
        </w:rPr>
        <w:t>陕西省体育训练中心</w:t>
      </w:r>
    </w:p>
    <w:p>
      <w:pPr>
        <w:pStyle w:val="null3"/>
        <w:jc w:val="center"/>
        <w:outlineLvl w:val="2"/>
      </w:pPr>
      <w:r>
        <w:rPr>
          <w:rFonts w:ascii="仿宋_GB2312" w:hAnsi="仿宋_GB2312" w:cs="仿宋_GB2312" w:eastAsia="仿宋_GB2312"/>
          <w:sz w:val="28"/>
          <w:b/>
        </w:rPr>
        <w:t>中科高盛咨询集团有限公司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中科高盛咨询集团有限公司</w:t>
      </w:r>
      <w:r>
        <w:rPr>
          <w:rFonts w:ascii="仿宋_GB2312" w:hAnsi="仿宋_GB2312" w:cs="仿宋_GB2312" w:eastAsia="仿宋_GB2312"/>
        </w:rPr>
        <w:t>（以下简称“代理机构”）受</w:t>
      </w:r>
      <w:r>
        <w:rPr>
          <w:rFonts w:ascii="仿宋_GB2312" w:hAnsi="仿宋_GB2312" w:cs="仿宋_GB2312" w:eastAsia="仿宋_GB2312"/>
        </w:rPr>
        <w:t>陕西省体育训练中心</w:t>
      </w:r>
      <w:r>
        <w:rPr>
          <w:rFonts w:ascii="仿宋_GB2312" w:hAnsi="仿宋_GB2312" w:cs="仿宋_GB2312" w:eastAsia="仿宋_GB2312"/>
        </w:rPr>
        <w:t>委托，拟对</w:t>
      </w:r>
      <w:r>
        <w:rPr>
          <w:rFonts w:ascii="仿宋_GB2312" w:hAnsi="仿宋_GB2312" w:cs="仿宋_GB2312" w:eastAsia="仿宋_GB2312"/>
        </w:rPr>
        <w:t>省武术中心散打馆维修改造项目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ZKGSF(ZB)-20261519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省武术中心散打馆维修改造项目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省武术中心散打馆建成投用于2002年，建筑面积约1500平方米，馆内木地板因长期使用磨损开裂严重、墙皮老旧破损、部分线缆老化、卫生间设施陈旧无法正常使用，影响运动员正常开展训练，省体育训练中心拟对武术中心散打馆进行维修改造。 主要改造内容包括：拆除原有地面木地板、龙骨及饰面，将原设计重新铺设木地板调整为全铺地胶地面，粉刷场馆墙面及顶面，拆除重做卫生间，更换老旧线缆，更换入户门及部分室内门窗等。具体以工程量清单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采购包1（省武术中心散打馆维修改造项目）：属于专门面向中小企业采购。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1、供应商资质要求：供应商须具备建设行政主管部门颁发的建筑装修装饰工程专业承包二级（及以上）资质，并具备有效的安全生产许可证。</w:t>
      </w:r>
    </w:p>
    <w:p>
      <w:pPr>
        <w:pStyle w:val="null3"/>
      </w:pPr>
      <w:r>
        <w:rPr>
          <w:rFonts w:ascii="仿宋_GB2312" w:hAnsi="仿宋_GB2312" w:cs="仿宋_GB2312" w:eastAsia="仿宋_GB2312"/>
        </w:rPr>
        <w:t>2、项目经理：供应商拟派项目经理具备建筑工程专业二级（及以上）注册建造师证书和有效的安全生产考核合格证书（B证）且在本单位注册，并提供未担任其他在建工程项目经理和无不良记录承诺。</w:t>
      </w:r>
    </w:p>
    <w:p>
      <w:pPr>
        <w:pStyle w:val="null3"/>
      </w:pPr>
      <w:r>
        <w:rPr>
          <w:rFonts w:ascii="仿宋_GB2312" w:hAnsi="仿宋_GB2312" w:cs="仿宋_GB2312" w:eastAsia="仿宋_GB2312"/>
        </w:rPr>
        <w:t>3、专门面向中小企业采购：本项目专门面向中小企业采购，仅限符合《政府采购促进中小企业发展暂行办法》（财库〔2020〕46号）条件的中小企业参与，供应商应填写中小企业声明函并对真实性负责。（残疾人福利性单位及监狱企业视同为小型、微型企业），供应商需在项目电子化交易系统中按要求上传相应承诺函并进行电子签章。</w:t>
      </w:r>
    </w:p>
    <w:p>
      <w:pPr>
        <w:pStyle w:val="null3"/>
      </w:pPr>
      <w:r>
        <w:rPr>
          <w:rFonts w:ascii="仿宋_GB2312" w:hAnsi="仿宋_GB2312" w:cs="仿宋_GB2312" w:eastAsia="仿宋_GB2312"/>
        </w:rPr>
        <w:t>4、法定代表人身份证明或法定代表人授权书：法定代表人直接参加磋商的，须出具法定代表人身份证明。法定代表人委托代理人参加磋商的，须出具法定代表人授权书（附法定代表人、代理人身份证复印件）。</w:t>
      </w:r>
    </w:p>
    <w:p>
      <w:pPr>
        <w:pStyle w:val="null3"/>
      </w:pPr>
      <w:r>
        <w:rPr>
          <w:rFonts w:ascii="仿宋_GB2312" w:hAnsi="仿宋_GB2312" w:cs="仿宋_GB2312" w:eastAsia="仿宋_GB2312"/>
        </w:rPr>
        <w:t>5、其他要求：供应商基本信息及项目经理的基本信息在“陕西省住房和城乡建设厅（http://js.shaanxi.gov.cn/）”或全国建筑市场监管公共服务平台（四库一平台）（https://jzsc.mohurd.gov.cn/home）可查询。</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陕西省体育训练中心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西安市丈八东路303号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田林倩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029-88587245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中科高盛咨询集团有限公司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西安市未央区未央路113号雅荷花园A18栋</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张俊姣、郭雅楠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029-81310033、17792634642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采购包1：823,910.66元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履约保证金收取与退还：乙方在合同签订前将项目履约保证金转账至甲方指定账户,未按照磋商文件要求按时足额缴纳履约保证金的，甲方将取消乙方成交资格，且无需承担任何责任，甲方可重新组织采购活动。质保期满后，在扣除相关款项后（若有），剩余部分无息返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标准的95%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陕西省体育训练中心</w:t>
      </w:r>
      <w:r>
        <w:rPr>
          <w:rFonts w:ascii="仿宋_GB2312" w:hAnsi="仿宋_GB2312" w:cs="仿宋_GB2312" w:eastAsia="仿宋_GB2312"/>
        </w:rPr>
        <w:t>和</w:t>
      </w:r>
      <w:r>
        <w:rPr>
          <w:rFonts w:ascii="仿宋_GB2312" w:hAnsi="仿宋_GB2312" w:cs="仿宋_GB2312" w:eastAsia="仿宋_GB2312"/>
        </w:rPr>
        <w:t>中科高盛咨询集团有限公司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陕西省体育训练中心</w:t>
      </w:r>
      <w:r>
        <w:rPr>
          <w:rFonts w:ascii="仿宋_GB2312" w:hAnsi="仿宋_GB2312" w:cs="仿宋_GB2312" w:eastAsia="仿宋_GB2312"/>
        </w:rPr>
        <w:t>负责解释。除上述磋商文件内容，其他内容由</w:t>
      </w:r>
      <w:r>
        <w:rPr>
          <w:rFonts w:ascii="仿宋_GB2312" w:hAnsi="仿宋_GB2312" w:cs="仿宋_GB2312" w:eastAsia="仿宋_GB2312"/>
        </w:rPr>
        <w:t>中科高盛咨询集团有限公司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陕西省体育训练中心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中科高盛咨询集团有限公司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使用该知识成果后，供应商需提供相关技术资料，并承诺提供无限期支持，采购人享有使用权（含采购人委托第三方在该项目后续开发的使用权）。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整体工程符合国家现行建筑、体育场地施工验收规范，工程质量合格。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中科高盛咨询集团有限公司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中科高盛咨询集团有限公司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中科高盛咨询集团有限公司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联系人：张俊姣、郭雅楠</w:t>
      </w:r>
    </w:p>
    <w:p>
      <w:pPr>
        <w:pStyle w:val="null3"/>
      </w:pPr>
      <w:r>
        <w:rPr>
          <w:rFonts w:ascii="仿宋_GB2312" w:hAnsi="仿宋_GB2312" w:cs="仿宋_GB2312" w:eastAsia="仿宋_GB2312"/>
        </w:rPr>
        <w:t>联系电话：029-81310033</w:t>
      </w:r>
    </w:p>
    <w:p>
      <w:pPr>
        <w:pStyle w:val="null3"/>
      </w:pPr>
      <w:r>
        <w:rPr>
          <w:rFonts w:ascii="仿宋_GB2312" w:hAnsi="仿宋_GB2312" w:cs="仿宋_GB2312" w:eastAsia="仿宋_GB2312"/>
        </w:rPr>
        <w:t>地址：西安市未央区未央路113号雅荷花园A18栋</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823,910.66</w:t>
      </w:r>
    </w:p>
    <w:p>
      <w:pPr>
        <w:pStyle w:val="null3"/>
      </w:pPr>
      <w:r>
        <w:rPr>
          <w:rFonts w:ascii="仿宋_GB2312" w:hAnsi="仿宋_GB2312" w:cs="仿宋_GB2312" w:eastAsia="仿宋_GB2312"/>
        </w:rPr>
        <w:t>采购包最高限价（元）: 823,910.66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省武术中心散打馆维修改造项目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823,910.66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标的名称：省武术中心散打馆维修改造项目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b/>
                <w:color w:val="000000"/>
              </w:rPr>
              <w:t>一、项目概况</w:t>
            </w:r>
          </w:p>
          <w:p>
            <w:pPr>
              <w:pStyle w:val="null3"/>
              <w:jc w:val="left"/>
            </w:pPr>
            <w:r>
              <w:rPr>
                <w:rFonts w:ascii="仿宋_GB2312" w:hAnsi="仿宋_GB2312" w:cs="仿宋_GB2312" w:eastAsia="仿宋_GB2312"/>
              </w:rPr>
              <w:t>省武术中心散打馆建成投用于</w:t>
            </w:r>
            <w:r>
              <w:rPr>
                <w:rFonts w:ascii="仿宋_GB2312" w:hAnsi="仿宋_GB2312" w:cs="仿宋_GB2312" w:eastAsia="仿宋_GB2312"/>
              </w:rPr>
              <w:t>2002年，建筑面积约1500平方米，馆内木地板因长期使用磨损开裂严重、墙皮老旧破损、部分线缆老化、卫生间设施陈旧无法正常使用，影响运动员正常开展训练，省体育训练中心拟对武术中心散打馆进行维修改造。</w:t>
            </w:r>
          </w:p>
          <w:p>
            <w:pPr>
              <w:pStyle w:val="null3"/>
              <w:jc w:val="left"/>
            </w:pPr>
            <w:r>
              <w:rPr>
                <w:rFonts w:ascii="仿宋_GB2312" w:hAnsi="仿宋_GB2312" w:cs="仿宋_GB2312" w:eastAsia="仿宋_GB2312"/>
                <w:sz w:val="20"/>
                <w:b/>
                <w:color w:val="000000"/>
              </w:rPr>
              <w:t>二、工程内容和施工地点、计划工期、缺陷责任期、质量保修期</w:t>
            </w:r>
          </w:p>
          <w:p>
            <w:pPr>
              <w:pStyle w:val="null3"/>
              <w:jc w:val="left"/>
            </w:pPr>
            <w:r>
              <w:rPr>
                <w:rFonts w:ascii="仿宋_GB2312" w:hAnsi="仿宋_GB2312" w:cs="仿宋_GB2312" w:eastAsia="仿宋_GB2312"/>
                <w:sz w:val="20"/>
                <w:color w:val="000000"/>
              </w:rPr>
              <w:t>（一）工程内容：</w:t>
            </w:r>
            <w:r>
              <w:rPr>
                <w:rFonts w:ascii="仿宋_GB2312" w:hAnsi="仿宋_GB2312" w:cs="仿宋_GB2312" w:eastAsia="仿宋_GB2312"/>
              </w:rPr>
              <w:t>拆除原有地面木地板、龙骨及饰面，将原设计重新铺设木地板调整为全铺地胶地面，粉刷场馆墙面及顶面，拆除重做卫生间，更换老旧线缆，更换入户门及部分室内门窗等</w:t>
            </w:r>
            <w:r>
              <w:rPr>
                <w:rFonts w:ascii="仿宋_GB2312" w:hAnsi="仿宋_GB2312" w:cs="仿宋_GB2312" w:eastAsia="仿宋_GB2312"/>
              </w:rPr>
              <w:t>。具体以工程量清单为准</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（二）工程地点：</w:t>
            </w:r>
            <w:r>
              <w:rPr>
                <w:rFonts w:ascii="仿宋_GB2312" w:hAnsi="仿宋_GB2312" w:cs="仿宋_GB2312" w:eastAsia="仿宋_GB2312"/>
                <w:sz w:val="20"/>
                <w:color w:val="000000"/>
              </w:rPr>
              <w:t>西安市雁塔区丈八东路</w:t>
            </w:r>
            <w:r>
              <w:rPr>
                <w:rFonts w:ascii="仿宋_GB2312" w:hAnsi="仿宋_GB2312" w:cs="仿宋_GB2312" w:eastAsia="仿宋_GB2312"/>
                <w:sz w:val="20"/>
                <w:color w:val="000000"/>
              </w:rPr>
              <w:t>303 号</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（三）计划工期：</w:t>
            </w:r>
            <w:r>
              <w:rPr>
                <w:rFonts w:ascii="仿宋_GB2312" w:hAnsi="仿宋_GB2312" w:cs="仿宋_GB2312" w:eastAsia="仿宋_GB2312"/>
                <w:sz w:val="20"/>
                <w:color w:val="000000"/>
              </w:rPr>
              <w:t>自进场之日起</w:t>
            </w:r>
            <w:r>
              <w:rPr>
                <w:rFonts w:ascii="仿宋_GB2312" w:hAnsi="仿宋_GB2312" w:cs="仿宋_GB2312" w:eastAsia="仿宋_GB2312"/>
                <w:sz w:val="20"/>
                <w:color w:val="000000"/>
              </w:rPr>
              <w:t>45日历天内竣工</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（四）缺陷责任期：本工程缺陷责任期为</w:t>
            </w:r>
            <w:r>
              <w:rPr>
                <w:rFonts w:ascii="仿宋_GB2312" w:hAnsi="仿宋_GB2312" w:cs="仿宋_GB2312" w:eastAsia="仿宋_GB2312"/>
                <w:sz w:val="20"/>
                <w:color w:val="000000"/>
              </w:rPr>
              <w:t>24个月，缺陷责任期自工程竣工验收合格之日起计算。</w:t>
            </w:r>
          </w:p>
          <w:p>
            <w:pPr>
              <w:pStyle w:val="null3"/>
              <w:jc w:val="left"/>
            </w:pPr>
            <w:r>
              <w:rPr>
                <w:rFonts w:ascii="仿宋_GB2312" w:hAnsi="仿宋_GB2312" w:cs="仿宋_GB2312" w:eastAsia="仿宋_GB2312"/>
                <w:sz w:val="20"/>
                <w:color w:val="000000"/>
              </w:rPr>
              <w:t>（五）质量保修期：</w:t>
            </w:r>
            <w:r>
              <w:rPr>
                <w:rFonts w:ascii="仿宋_GB2312" w:hAnsi="仿宋_GB2312" w:cs="仿宋_GB2312" w:eastAsia="仿宋_GB2312"/>
                <w:sz w:val="20"/>
                <w:color w:val="000000"/>
              </w:rPr>
              <w:t>自工程竣工验收合格之日进入工程质量保修期，质量保修期</w:t>
            </w:r>
            <w:r>
              <w:rPr>
                <w:rFonts w:ascii="仿宋_GB2312" w:hAnsi="仿宋_GB2312" w:cs="仿宋_GB2312" w:eastAsia="仿宋_GB2312"/>
                <w:sz w:val="20"/>
                <w:color w:val="000000"/>
              </w:rPr>
              <w:t>2年</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（六）质量要求：合格。</w:t>
            </w:r>
          </w:p>
          <w:p>
            <w:pPr>
              <w:pStyle w:val="null3"/>
              <w:jc w:val="left"/>
            </w:pPr>
            <w:r>
              <w:rPr>
                <w:rFonts w:ascii="仿宋_GB2312" w:hAnsi="仿宋_GB2312" w:cs="仿宋_GB2312" w:eastAsia="仿宋_GB2312"/>
                <w:sz w:val="20"/>
                <w:b/>
                <w:color w:val="000000"/>
              </w:rPr>
              <w:t>三</w:t>
            </w:r>
            <w:r>
              <w:rPr>
                <w:rFonts w:ascii="仿宋_GB2312" w:hAnsi="仿宋_GB2312" w:cs="仿宋_GB2312" w:eastAsia="仿宋_GB2312"/>
                <w:sz w:val="20"/>
                <w:b/>
                <w:color w:val="000000"/>
              </w:rPr>
              <w:t>、施工要求</w:t>
            </w:r>
          </w:p>
          <w:p>
            <w:pPr>
              <w:pStyle w:val="null3"/>
              <w:jc w:val="left"/>
            </w:pPr>
            <w:r>
              <w:rPr>
                <w:rFonts w:ascii="仿宋_GB2312" w:hAnsi="仿宋_GB2312" w:cs="仿宋_GB2312" w:eastAsia="仿宋_GB2312"/>
                <w:sz w:val="20"/>
                <w:color w:val="000000"/>
              </w:rPr>
              <w:t>1.在施工期间，供应商必须注意施工现场人员安全，加强安全措施，并对施工人员进行安全教育。施工人员必须持证上岗。</w:t>
            </w:r>
          </w:p>
          <w:p>
            <w:pPr>
              <w:pStyle w:val="null3"/>
              <w:jc w:val="left"/>
            </w:pPr>
            <w:r>
              <w:rPr>
                <w:rFonts w:ascii="仿宋_GB2312" w:hAnsi="仿宋_GB2312" w:cs="仿宋_GB2312" w:eastAsia="仿宋_GB2312"/>
                <w:sz w:val="20"/>
                <w:color w:val="000000"/>
              </w:rPr>
              <w:t>2.供应商在本工程中的项目负责人(项目经理)，要求技术水平高、组织能力强、有丰富的工程业绩和实践经验，懂管理、善于协调。施工人员中特殊工程人员要求有上岗证。施工队伍稳定，保证整个工程顺利完工。</w:t>
            </w:r>
          </w:p>
          <w:p>
            <w:pPr>
              <w:pStyle w:val="null3"/>
              <w:jc w:val="left"/>
            </w:pPr>
            <w:r>
              <w:rPr>
                <w:rFonts w:ascii="仿宋_GB2312" w:hAnsi="仿宋_GB2312" w:cs="仿宋_GB2312" w:eastAsia="仿宋_GB2312"/>
                <w:sz w:val="20"/>
                <w:color w:val="000000"/>
              </w:rPr>
              <w:t>3.施工过程中，严格遵守采购人各种管理规定及规章制度，做到文明施工。发生工伤及意外事故由施工单位负责。</w:t>
            </w:r>
          </w:p>
          <w:p>
            <w:pPr>
              <w:pStyle w:val="null3"/>
              <w:jc w:val="left"/>
            </w:pPr>
            <w:r>
              <w:rPr>
                <w:rFonts w:ascii="仿宋_GB2312" w:hAnsi="仿宋_GB2312" w:cs="仿宋_GB2312" w:eastAsia="仿宋_GB2312"/>
                <w:sz w:val="20"/>
                <w:color w:val="000000"/>
              </w:rPr>
              <w:t>4.严格按照国家和省上有关规定施工、规范施工，确保工程合格，如有更改须事先征得有关方面的同意，并在采购人落实后实施，并出具书面说明。</w:t>
            </w:r>
          </w:p>
          <w:p>
            <w:pPr>
              <w:pStyle w:val="null3"/>
              <w:jc w:val="left"/>
            </w:pPr>
            <w:r>
              <w:rPr>
                <w:rFonts w:ascii="仿宋_GB2312" w:hAnsi="仿宋_GB2312" w:cs="仿宋_GB2312" w:eastAsia="仿宋_GB2312"/>
                <w:sz w:val="20"/>
                <w:color w:val="000000"/>
              </w:rPr>
              <w:t>5.工程实行包工包料，供应商必须具备相应的资质，不得转包、分包。</w:t>
            </w:r>
          </w:p>
          <w:p>
            <w:pPr>
              <w:pStyle w:val="null3"/>
              <w:jc w:val="left"/>
            </w:pPr>
            <w:r>
              <w:rPr>
                <w:rFonts w:ascii="仿宋_GB2312" w:hAnsi="仿宋_GB2312" w:cs="仿宋_GB2312" w:eastAsia="仿宋_GB2312"/>
                <w:sz w:val="20"/>
                <w:color w:val="000000"/>
              </w:rPr>
              <w:t>6.供应商根据工程实际情况编制施工方案，制定工期进度安排表，并随磋商响应文件一并提交。</w:t>
            </w:r>
          </w:p>
          <w:p>
            <w:pPr>
              <w:pStyle w:val="null3"/>
              <w:jc w:val="left"/>
            </w:pPr>
            <w:r>
              <w:rPr>
                <w:rFonts w:ascii="仿宋_GB2312" w:hAnsi="仿宋_GB2312" w:cs="仿宋_GB2312" w:eastAsia="仿宋_GB2312"/>
                <w:sz w:val="20"/>
                <w:color w:val="000000"/>
              </w:rPr>
              <w:t>7.所有进场材料需携带合格证</w:t>
            </w:r>
            <w:r>
              <w:rPr>
                <w:rFonts w:ascii="仿宋_GB2312" w:hAnsi="仿宋_GB2312" w:cs="仿宋_GB2312" w:eastAsia="仿宋_GB2312"/>
                <w:sz w:val="20"/>
                <w:color w:val="000000"/>
              </w:rPr>
              <w:t>、</w:t>
            </w:r>
            <w:r>
              <w:rPr>
                <w:rFonts w:ascii="仿宋_GB2312" w:hAnsi="仿宋_GB2312" w:cs="仿宋_GB2312" w:eastAsia="仿宋_GB2312"/>
                <w:sz w:val="20"/>
                <w:color w:val="000000"/>
              </w:rPr>
              <w:t>检验报告</w:t>
            </w:r>
            <w:r>
              <w:rPr>
                <w:rFonts w:ascii="仿宋_GB2312" w:hAnsi="仿宋_GB2312" w:cs="仿宋_GB2312" w:eastAsia="仿宋_GB2312"/>
                <w:sz w:val="20"/>
                <w:color w:val="000000"/>
              </w:rPr>
              <w:t>等质量证明文件，所有提供的材料均需使用环保产品，对学校师生无危害，由采购人现场代表对所进场材料予以验收并签字确认。</w:t>
            </w:r>
          </w:p>
          <w:p>
            <w:pPr>
              <w:pStyle w:val="null3"/>
              <w:jc w:val="left"/>
            </w:pPr>
            <w:r>
              <w:rPr>
                <w:rFonts w:ascii="仿宋_GB2312" w:hAnsi="仿宋_GB2312" w:cs="仿宋_GB2312" w:eastAsia="仿宋_GB2312"/>
                <w:sz w:val="20"/>
                <w:color w:val="000000"/>
              </w:rPr>
              <w:t>8.施工期间需采取必要措施确保现场正常运行。</w:t>
            </w:r>
          </w:p>
          <w:p>
            <w:pPr>
              <w:pStyle w:val="null3"/>
              <w:jc w:val="left"/>
            </w:pPr>
            <w:r>
              <w:rPr>
                <w:rFonts w:ascii="仿宋_GB2312" w:hAnsi="仿宋_GB2312" w:cs="仿宋_GB2312" w:eastAsia="仿宋_GB2312"/>
                <w:sz w:val="20"/>
                <w:color w:val="000000"/>
              </w:rPr>
              <w:t>9.所有施工人员需统一着装统一单位标识，严禁随意通行。</w:t>
            </w:r>
          </w:p>
          <w:p>
            <w:pPr>
              <w:pStyle w:val="null3"/>
              <w:jc w:val="left"/>
            </w:pPr>
            <w:r>
              <w:rPr>
                <w:rFonts w:ascii="仿宋_GB2312" w:hAnsi="仿宋_GB2312" w:cs="仿宋_GB2312" w:eastAsia="仿宋_GB2312"/>
                <w:sz w:val="20"/>
                <w:color w:val="000000"/>
              </w:rPr>
              <w:t>10.选用的主材、设备、辅材必须使用合格产品，并明确其品牌、规格、型号、产地，并附鉴定证书，对主要设备材料需先提交样品，经认质后，方可订货，不得使用未经检验或不合格的设备、材料，若发生此种情况，将追究相关人员责任，并赔偿由此造成的一切经济损失。</w:t>
            </w:r>
          </w:p>
          <w:p>
            <w:pPr>
              <w:pStyle w:val="null3"/>
              <w:jc w:val="left"/>
            </w:pPr>
            <w:r>
              <w:rPr>
                <w:rFonts w:ascii="仿宋_GB2312" w:hAnsi="仿宋_GB2312" w:cs="仿宋_GB2312" w:eastAsia="仿宋_GB2312"/>
                <w:sz w:val="20"/>
                <w:color w:val="000000"/>
              </w:rPr>
              <w:t>11.供应商必须向采购人及时提供合格证及材料检验单。在征得有关方面认可后，方可进行施工，并做好相应的检验环节。</w:t>
            </w:r>
          </w:p>
          <w:p>
            <w:pPr>
              <w:pStyle w:val="null3"/>
              <w:jc w:val="left"/>
            </w:pPr>
            <w:r>
              <w:rPr>
                <w:rFonts w:ascii="仿宋_GB2312" w:hAnsi="仿宋_GB2312" w:cs="仿宋_GB2312" w:eastAsia="仿宋_GB2312"/>
                <w:sz w:val="20"/>
                <w:color w:val="000000"/>
              </w:rPr>
              <w:t>12.供应商未经采购人同意，不得擅自更换本工程在磋商响应文件中指定的项目施工负责人(项目经理)及施工队伍。不得分包、转包。确需分包时须征得采购人同意。否则将终止合同并按政府采购有关规定进行处理。</w:t>
            </w:r>
          </w:p>
          <w:p>
            <w:pPr>
              <w:pStyle w:val="null3"/>
              <w:jc w:val="left"/>
            </w:pPr>
            <w:r>
              <w:rPr>
                <w:rFonts w:ascii="仿宋_GB2312" w:hAnsi="仿宋_GB2312" w:cs="仿宋_GB2312" w:eastAsia="仿宋_GB2312"/>
                <w:sz w:val="20"/>
                <w:b/>
                <w:color w:val="000000"/>
              </w:rPr>
              <w:t>四</w:t>
            </w:r>
            <w:r>
              <w:rPr>
                <w:rFonts w:ascii="仿宋_GB2312" w:hAnsi="仿宋_GB2312" w:cs="仿宋_GB2312" w:eastAsia="仿宋_GB2312"/>
                <w:sz w:val="20"/>
                <w:b/>
                <w:color w:val="000000"/>
              </w:rPr>
              <w:t>、其他要求</w:t>
            </w:r>
          </w:p>
          <w:p>
            <w:pPr>
              <w:pStyle w:val="null3"/>
              <w:jc w:val="left"/>
            </w:pPr>
            <w:r>
              <w:rPr>
                <w:rFonts w:ascii="仿宋_GB2312" w:hAnsi="仿宋_GB2312" w:cs="仿宋_GB2312" w:eastAsia="仿宋_GB2312"/>
                <w:sz w:val="20"/>
                <w:color w:val="000000"/>
              </w:rPr>
              <w:t>1.需严格遵循行业规程，地层划分准确，清表工作完整，无遗漏、无破坏。</w:t>
            </w:r>
          </w:p>
          <w:p>
            <w:pPr>
              <w:pStyle w:val="null3"/>
              <w:jc w:val="left"/>
            </w:pPr>
            <w:r>
              <w:rPr>
                <w:rFonts w:ascii="仿宋_GB2312" w:hAnsi="仿宋_GB2312" w:cs="仿宋_GB2312" w:eastAsia="仿宋_GB2312"/>
                <w:sz w:val="20"/>
                <w:color w:val="000000"/>
              </w:rPr>
              <w:t>2.所有记录资料、图纸、影像需规范归档，编号统一，内容对应，能够完整反映全过程及成果；</w:t>
            </w:r>
          </w:p>
          <w:p>
            <w:pPr>
              <w:pStyle w:val="null3"/>
              <w:jc w:val="left"/>
            </w:pPr>
            <w:r>
              <w:rPr>
                <w:rFonts w:ascii="仿宋_GB2312" w:hAnsi="仿宋_GB2312" w:cs="仿宋_GB2312" w:eastAsia="仿宋_GB2312"/>
                <w:sz w:val="20"/>
                <w:color w:val="000000"/>
              </w:rPr>
              <w:t>3.工作报告需符合行业编制规范，内容涵盖项目概况、清表过程等，经采购人组织专家评审合格后方可正式交付。</w:t>
            </w:r>
          </w:p>
          <w:p>
            <w:pPr>
              <w:pStyle w:val="null3"/>
            </w:pPr>
            <w:r>
              <w:rPr>
                <w:rFonts w:ascii="仿宋_GB2312" w:hAnsi="仿宋_GB2312" w:cs="仿宋_GB2312" w:eastAsia="仿宋_GB2312"/>
                <w:sz w:val="20"/>
                <w:color w:val="000000"/>
              </w:rPr>
              <w:t>4.工程竣工验收阶段，成交供应商须提交国家认证或省级及以上第三方权威检测机构出具的《室内空气质量检测报告》，检测项目必须包含甲醛含量检测，检测结果须符合《民用建筑工程室内环境污染控制标准》（GB50325）及体育训练场馆室内环境安全标准，检测报告真实有效、加盖CMA/CNAS 认证章，否则视为验收不合格。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1）达到国家及行业现行建设工程施工质量验收规范；（2）符合《建设工程安全生产管理条例》及建筑施工、安全生产相关管理规定；2.本项目交付竣工验收工程，须达到国家及行业建设工程施工合格质量标准，具备完整的工程技术资料、工程量清单资料、设备材料合格证明及经签署的工程保修书，并满足国家规定的其他竣工条件。本工程经竣工验收合格后方可正式交付投入使用；未组织验收或验收不合格的，严禁交付使用、不得投入使用。3.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1.供应商的磋商报价包括施工设备费、人工费、管理费、材料与设备费、安装费、维护费、保险费、税金、利润、风险、责任等所有费用，并符合建设工程计价规则。 2.成交供应商在施工期间应严格遵守国家、省、市有关防火、安全文明施工、夜间施工等规定,建立规章制度和防护措施,应按安全施工的要求,采取严格科学的安全措施,确保施工安全和第三者的安全,确保工程质量和生产安全。否则,由此造成的经济和法律责任均由成交人承担。 3.成交供应商应配合项目建设进度,向采购人提供本项目施工组织方案、施工进度计划和施工作业计划，并签订施工安全责任书。 4.成交供应商在领取成交通知书前，须向采购代理机构提供纸质版响应文件3套（1正2副），U盘2份（U盘需包括系统生成的全部已签章响应文件（PDF格式）、U盘标明供应商名称。）且提供的响应文件必须与在陕西省政府采购综合管理平台的项目电子化交易系统中提交的电子响应文件内容一致，纸质版响应文件必须装订成册签字盖章。 5.付款方式：合同签订后10个工作日内甲方拨付合同总额的40%作为工程预付款；工程进度达到整体项目的60%时支付合同总价的20%；工程竣工后，采购人组织各参建方对本项目进行最终验收，竣工验收合格后，甲方向乙方支付至合同总额的80%；工程竣工结算审核完成后30日内，甲方向乙方支付工程款至结算价总额的100%。履约保证金在质保期满后无质量问题全额退还。 6.支付方式：银行转账；甲方付款前，乙方需提供等额发票。7.根据《建设工程工程量清单计价标准（DB61/T5126-2025）》、《房屋建筑与装饰工程工程量计算标准（DB61/T5129-2025）》、《通用安装工程工程量计算标准（DB61/T5130-2025）》、《陕西省房屋建筑与装饰工程消耗量定额(2025)》、《陕西省通用安装工程消耗量定额(2025)》、《陕西省房屋建筑与装饰工程基价表(2025)》、《陕西省通用安装工程基价表(2025)》、《陕西省建设工程费用规则(2025)》及其他相关的计价依据和办法； 8.材料价格按2026年4期《陕西省工程造价信息》价格信息计价。信息价没有的主材价格按市场价计入； 9.广联达软件版本为GCCP7.0版本号: 7.5000.23.3。 10.本工程暂列金额税前为18348.62元，税后为20000元。</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在中华人民共和国境内注册，依法取得并有效存续的营业执照（含电子营业执照）；2.财务状况报告：提供2025年度经审计的财务报告，成立时间至提交竞争性磋商响应文件截止时间不足一年的可提供成立后任意时段的资产负债表；或响应文件递交截止前前六个月内基本存款账户开户银行出具的资信证明。（以上两种形式的资料提供任何一种即可）；3.提供响应文件递交截止时间前六个月内任意时段的纳税证明或完税证明（除印花税外任意税种），纳税证明或完税证明上应有代收机构或税务机关的公章或业务专用章。依法免税的供应商应提供相关文件证明；4.提供响应文件递交截止时间前六个月内任意时段的社会保障资金缴存单据或社保机构开具的社会保险参保缴费情况证明，依法不需要缴纳社会保障资金的单位应提供相关证明材料；5.提供具有履行合同所必需的设备和专业技术能力的承诺；6.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供应商须具备建设行政主管部门颁发的建筑装修装饰工程专业承包二级（及以上）资质，并具备有效的安全生产许可证。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供应商拟派项目经理具备建筑工程专业二级（及以上）注册建造师证书和有效的安全生产考核合格证书（B证）且在本单位注册，并提供未担任其他在建工程项目经理和无不良记录承诺。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专门面向中小企业采购</w:t>
            </w:r>
          </w:p>
        </w:tc>
        <w:tc>
          <w:tcPr>
            <w:tcW w:type="dxa" w:w="3322"/>
          </w:tcPr>
          <w:p>
            <w:pPr>
              <w:pStyle w:val="null3"/>
            </w:pPr>
            <w:r>
              <w:rPr>
                <w:rFonts w:ascii="仿宋_GB2312" w:hAnsi="仿宋_GB2312" w:cs="仿宋_GB2312" w:eastAsia="仿宋_GB2312"/>
              </w:rPr>
              <w:t>本项目专门面向中小企业采购，仅限符合《政府采购促进中小企业发展暂行办法》（财库〔2020〕46号）条件的中小企业参与，供应商应填写中小企业声明函并对真实性负责。（残疾人福利性单位及监狱企业视同为小型、微型企业），供应商需在项目电子化交易系统中按要求上传相应承诺函并进行电子签章。</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供应商基本信息及项目经理的基本信息在“陕西省住房和城乡建设厅（http://js.shaanxi.gov.cn/）”或全国建筑市场监管公共服务平台（四库一平台）（https://jzsc.mohurd.gov.cn/home）可查询。</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响应文件上法定代表人（单位负责人）或其委托代理人的签名齐全并加盖单位公章</w:t>
            </w:r>
          </w:p>
        </w:tc>
        <w:tc>
          <w:tcPr>
            <w:tcW w:type="dxa" w:w="1661"/>
          </w:tcPr>
          <w:p>
            <w:pPr>
              <w:pStyle w:val="null3"/>
            </w:pPr>
            <w:r>
              <w:rPr>
                <w:rFonts w:ascii="仿宋_GB2312" w:hAnsi="仿宋_GB2312" w:cs="仿宋_GB2312" w:eastAsia="仿宋_GB2312"/>
              </w:rPr>
              <w:t>响应文件封面 残疾人福利性单位声明函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已标价工程量清单.docx 报价函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满足竞争性磋商文件中的要求</w:t>
            </w:r>
          </w:p>
        </w:tc>
        <w:tc>
          <w:tcPr>
            <w:tcW w:type="dxa" w:w="1661"/>
          </w:tcPr>
          <w:p>
            <w:pPr>
              <w:pStyle w:val="null3"/>
            </w:pPr>
            <w:r>
              <w:rPr>
                <w:rFonts w:ascii="仿宋_GB2312" w:hAnsi="仿宋_GB2312" w:cs="仿宋_GB2312" w:eastAsia="仿宋_GB2312"/>
              </w:rPr>
              <w:t>磋商方案.docx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满足竞争性磋商文件中的要求</w:t>
            </w:r>
          </w:p>
        </w:tc>
        <w:tc>
          <w:tcPr>
            <w:tcW w:type="dxa" w:w="1661"/>
          </w:tcPr>
          <w:p>
            <w:pPr>
              <w:pStyle w:val="null3"/>
            </w:pPr>
            <w:r>
              <w:rPr>
                <w:rFonts w:ascii="仿宋_GB2312" w:hAnsi="仿宋_GB2312" w:cs="仿宋_GB2312" w:eastAsia="仿宋_GB2312"/>
              </w:rPr>
              <w:t>磋商方案.docx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质量保修期</w:t>
            </w:r>
          </w:p>
        </w:tc>
        <w:tc>
          <w:tcPr>
            <w:tcW w:type="dxa" w:w="3322"/>
          </w:tcPr>
          <w:p>
            <w:pPr>
              <w:pStyle w:val="null3"/>
            </w:pPr>
            <w:r>
              <w:rPr>
                <w:rFonts w:ascii="仿宋_GB2312" w:hAnsi="仿宋_GB2312" w:cs="仿宋_GB2312" w:eastAsia="仿宋_GB2312"/>
              </w:rPr>
              <w:t>满足竞争性磋商文件中的要求</w:t>
            </w:r>
          </w:p>
        </w:tc>
        <w:tc>
          <w:tcPr>
            <w:tcW w:type="dxa" w:w="1661"/>
          </w:tcPr>
          <w:p>
            <w:pPr>
              <w:pStyle w:val="null3"/>
            </w:pPr>
            <w:r>
              <w:rPr>
                <w:rFonts w:ascii="仿宋_GB2312" w:hAnsi="仿宋_GB2312" w:cs="仿宋_GB2312" w:eastAsia="仿宋_GB2312"/>
              </w:rPr>
              <w:t>磋商方案.docx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满足竞争性磋商文件中的要求</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已标价工程量清单.docx 中小企业声明函 响应偏离表.docx 强制优先采购产品承诺函 供应商应提交的相关资格证明材料.docx 项目管理机构组成表 残疾人福利性单位声明函 报价函 标的清单 供应商类似项目业绩一览表 响应函 主要人员简历表 监狱企业的证明文件 磋商方案.docx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1.原材料检验；2.施工过程管控；3.成品验收方案；4.质量通病防治措施；5.拆除、地胶铺设、粉刷、防水、门窗安装、强弱电安装等关键工序；6.检测试验方案。 二、评分标准 每提供一项计2分，最高计12分。每有一处内容存在缺陷扣0.5分，扣完为止，每缺一项，或内容直接复制其他项目，或无针对性内容，或仅列标题/框架，或无具体落地措施，该项得0分。 备注：缺陷包括但不限于存在项目名称错误、地点区域错误、内容与本项目需求无关、方案内容矛盾或表述前后不一致、仅有框架或标题、适用的标准（方法）错误、明显复制其他项目内容等情形。独立一条不符合要求、一处文字错误、一处逻辑矛盾，计1处缺陷；同一自然段内多处同类瑕疵，合并计1处缺陷。</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响应偏离表.docx</w:t>
            </w:r>
          </w:p>
        </w:tc>
      </w:tr>
      <w:tr>
        <w:tc>
          <w:tcPr>
            <w:tcW w:type="dxa" w:w="831"/>
            <w:vMerge/>
          </w:tcPr>
          <w:p/>
        </w:tc>
        <w:tc>
          <w:tcPr>
            <w:tcW w:type="dxa" w:w="1661"/>
          </w:tcPr>
          <w:p>
            <w:pPr>
              <w:pStyle w:val="null3"/>
            </w:pPr>
            <w:r>
              <w:rPr>
                <w:rFonts w:ascii="仿宋_GB2312" w:hAnsi="仿宋_GB2312" w:cs="仿宋_GB2312" w:eastAsia="仿宋_GB2312"/>
              </w:rPr>
              <w:t>确保安全生产技术组织措施</w:t>
            </w:r>
          </w:p>
        </w:tc>
        <w:tc>
          <w:tcPr>
            <w:tcW w:type="dxa" w:w="2492"/>
          </w:tcPr>
          <w:p>
            <w:pPr>
              <w:pStyle w:val="null3"/>
            </w:pPr>
            <w:r>
              <w:rPr>
                <w:rFonts w:ascii="仿宋_GB2312" w:hAnsi="仿宋_GB2312" w:cs="仿宋_GB2312" w:eastAsia="仿宋_GB2312"/>
              </w:rPr>
              <w:t>一、评审内容 1.安全生产管理体系；2.装饰工程安全专项措施；3.用电安全专项措施；4.安全培训计划；5.安全应急预案。 二、评分标准 每提供一项计2分，最高计10分。每有一处内容存在缺陷扣0.5分，扣完为止。每缺一项，或内容直接复制其他项目，或无针对性内容，或仅列标题/框架，或无具体落地措施，该项得0分。 备注：缺陷包括但不限于存在项目名称错误、地点区域错误、内容与本项目需求无关、方案内容矛盾或表述前后不一致、仅有框架或标题、适用的标准（方法）错误、明显复制其他项目内容等情形。独立一条不符合要求、一处文字错误、一处逻辑矛盾，计1处缺陷；同一自然段内多处同类瑕疵，合并计1处缺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响应偏离表.docx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一、评审内容 1.现场物料管理；2.施工秩序维护；3.现场围挡与出入口管理；4.施工现场噪声控制措施。 二、评分标准 每提供一项计2分，最高计8分。每有一处内容存在缺陷扣0.5分，扣完为止。每缺一项，或内容直接复制其他项目，或无针对性内容，或仅列标题/框架，或无具体落地措施，该项得0分。 备注：缺陷包括但不限于存在项目名称错误、地点区域错误、内容与本项目需求无关、方案内容矛盾或表述前后不一致、仅有框架或标题、适用的标准（方法）错误、明显复制其他项目内容等情形。独立一条不符合要求、一处文字错误、一处逻辑矛盾，计1处缺陷；同一自然段内多处同类瑕疵，合并计1处缺陷。</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响应偏离表.docx</w:t>
            </w:r>
          </w:p>
        </w:tc>
      </w:tr>
      <w:tr>
        <w:tc>
          <w:tcPr>
            <w:tcW w:type="dxa" w:w="831"/>
            <w:vMerge/>
          </w:tcPr>
          <w:p/>
        </w:tc>
        <w:tc>
          <w:tcPr>
            <w:tcW w:type="dxa" w:w="1661"/>
          </w:tcPr>
          <w:p>
            <w:pPr>
              <w:pStyle w:val="null3"/>
            </w:pPr>
            <w:r>
              <w:rPr>
                <w:rFonts w:ascii="仿宋_GB2312" w:hAnsi="仿宋_GB2312" w:cs="仿宋_GB2312" w:eastAsia="仿宋_GB2312"/>
              </w:rPr>
              <w:t>确保环境保护组织措施</w:t>
            </w:r>
          </w:p>
        </w:tc>
        <w:tc>
          <w:tcPr>
            <w:tcW w:type="dxa" w:w="2492"/>
          </w:tcPr>
          <w:p>
            <w:pPr>
              <w:pStyle w:val="null3"/>
            </w:pPr>
            <w:r>
              <w:rPr>
                <w:rFonts w:ascii="仿宋_GB2312" w:hAnsi="仿宋_GB2312" w:cs="仿宋_GB2312" w:eastAsia="仿宋_GB2312"/>
              </w:rPr>
              <w:t>一、评审内容 1.现场拆除扬尘管控措施；2.建筑垃圾管理。 二、评分标准 每提供一项计1.5分，最高计3分。每有一处内容存在缺陷扣0.5分，扣完为止。每缺一项，或内容直接复制其他项目，或无针对性内容，或仅列标题/框架，或无具体落地措施，该项得0分。 备注：缺陷包括但不限于存在项目名称错误、地点区域错误、内容与本项目需求无关、方案内容矛盾或表述前后不一致、仅有框架或标题、适用的标准（方法）错误、明显复制其他项目内容等情形。独立一条不符合要求、一处文字错误、一处逻辑矛盾，计1处缺陷；同一自然段内多处同类瑕疵，合并计1处缺陷。</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响应偏离表.docx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1.工期保障措施；2.进度计划编制说明，提供施工进度表或施工网络图；3.进度计划与资源配置情况；4.进度延误应对预案。 二、评分标准 每提供一项计1分，最高计4分。每有一处内容存在缺陷扣0.5分，扣完为止。每缺一项，或内容直接复制其他项目，或无针对性内容，或仅列标题/框架，或无具体落地措施，该项得0分。 备注：缺陷包括但不限于存在项目名称错误、地点区域错误、内容与本项目需求无关、方案内容矛盾或表述前后不一致、仅有框架或标题、适用的标准（方法）错误、明显复制其他项目内容等情形。独立一条不符合要求、一处文字错误、一处逻辑矛盾，计1处缺陷；同一自然段内多处同类瑕疵，合并计1处缺陷。</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响应偏离表.docx</w:t>
            </w:r>
          </w:p>
        </w:tc>
      </w:tr>
      <w:tr>
        <w:tc>
          <w:tcPr>
            <w:tcW w:type="dxa" w:w="831"/>
            <w:vMerge/>
          </w:tcPr>
          <w:p/>
        </w:tc>
        <w:tc>
          <w:tcPr>
            <w:tcW w:type="dxa" w:w="1661"/>
          </w:tcPr>
          <w:p>
            <w:pPr>
              <w:pStyle w:val="null3"/>
            </w:pPr>
            <w:r>
              <w:rPr>
                <w:rFonts w:ascii="仿宋_GB2312" w:hAnsi="仿宋_GB2312" w:cs="仿宋_GB2312" w:eastAsia="仿宋_GB2312"/>
              </w:rPr>
              <w:t>项目管理机构及劳动力安排计划</w:t>
            </w:r>
          </w:p>
        </w:tc>
        <w:tc>
          <w:tcPr>
            <w:tcW w:type="dxa" w:w="2492"/>
          </w:tcPr>
          <w:p>
            <w:pPr>
              <w:pStyle w:val="null3"/>
            </w:pPr>
            <w:r>
              <w:rPr>
                <w:rFonts w:ascii="仿宋_GB2312" w:hAnsi="仿宋_GB2312" w:cs="仿宋_GB2312" w:eastAsia="仿宋_GB2312"/>
              </w:rPr>
              <w:t>一、评审内容 1.设置针对本项目的管理机构并制定完善的项目部岗位权责划分、日常管理、奖惩约束全套内部管理制度、岗位职责清晰流程闭环；2.项目部配备属地化常驻管理、应急作业人员，建立现场应急物资、设备储备，具备独立快速处理本地突发事件、抢险施工能力； 3.建立劳动力动态调度、进退场、储备补充机制，可根据施工进度灵活调整作业人员数量，保障施工连续推进。 4.针对室内装饰装修工程、强弱电工程分阶段配置对应工种班组，各工种岗位职责清晰，人员配置贴合项目全周期各施工阶段作业需求。 二、评分标准 每提供一项计2分，最高计8分。每有一处内容存在缺陷扣0.5分，扣完为止。每缺一项，或内容直接复制其他项目，或无针对性内容，或仅列标题/框架，或无具体落地措施，该项得0分。 备注：缺陷包括但不限于存在项目名称错误、地点区域错误、内容与本项目需求无关、方案内容矛盾或表述前后不一致、仅有框架或标题、适用的标准（方法）错误、明显复制其他项目内容等情形。独立一条不符合要求、一处文字错误、一处逻辑矛盾，计1处缺陷；同一自然段内多处同类瑕疵，合并计1处缺陷。</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响应偏离表.docx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一、评审内容：1.供应商针对本项目提供施工机械配置清单；2.机械进场时间计划；3.材料进场批次计划。二、评分标准 每提供一项计1分，最高计3分。每有一处内容存在缺陷扣0.5分，扣完为止。每缺一项，或内容直接复制其他项目，或无针对性内容，或仅列标题/框架，或无具体落地措施，该项得0分。 备注：缺陷包括但不限于存在项目名称错误、地点区域错误、内容与本项目需求无关、方案内容矛盾或表述前后不一致、仅有框架或标题、适用的标准（方法）错误、明显复制其他项目内容等情形。独立一条不符合要求、一处文字错误、一处逻辑矛盾，计1处缺陷；同一自然段内多处同类瑕疵，合并计1处缺陷。</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响应偏离表.docx</w:t>
            </w:r>
          </w:p>
        </w:tc>
      </w:tr>
      <w:tr>
        <w:tc>
          <w:tcPr>
            <w:tcW w:type="dxa" w:w="831"/>
            <w:vMerge/>
          </w:tcPr>
          <w:p/>
        </w:tc>
        <w:tc>
          <w:tcPr>
            <w:tcW w:type="dxa" w:w="1661"/>
          </w:tcPr>
          <w:p>
            <w:pPr>
              <w:pStyle w:val="null3"/>
            </w:pPr>
            <w:r>
              <w:rPr>
                <w:rFonts w:ascii="仿宋_GB2312" w:hAnsi="仿宋_GB2312" w:cs="仿宋_GB2312" w:eastAsia="仿宋_GB2312"/>
              </w:rPr>
              <w:t>主要材料与设备为环境标志产品</w:t>
            </w:r>
          </w:p>
        </w:tc>
        <w:tc>
          <w:tcPr>
            <w:tcW w:type="dxa" w:w="2492"/>
          </w:tcPr>
          <w:p>
            <w:pPr>
              <w:pStyle w:val="null3"/>
            </w:pPr>
            <w:r>
              <w:rPr>
                <w:rFonts w:ascii="仿宋_GB2312" w:hAnsi="仿宋_GB2312" w:cs="仿宋_GB2312" w:eastAsia="仿宋_GB2312"/>
              </w:rPr>
              <w:t>提供得2分，没有得0分。（产品名称详见采购文件第二章：落实节能、环保产品政策第3项，供应商需提供优先采购产品认证证书）</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响应偏离表.docx</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一、评审内容： 供应商须提交 1块 30cm×30cm 4mm PU地垫样品，于响应文件提交截止时间前做好标记（注明项目名称，项目编号，供应商名称等）。 二、评审标准：①厚度与材质结构 样品不同位置取 3 点检测，以算术平均值作为判定依据，实测厚度平均值≥4.0mm；剖面清晰可见耐磨 PU 面层、玻纤稳定层、PU 微发泡弹性底层，三层复合粘接牢固，无分层脱层、切面平整无碎渣的，得 2 分，每有一项瑕疵，扣0.5分，扣完本项得分为止。 ②外观工艺 表面纹理均匀一致，无针孔、划痕、色差、污渍、凹凸颗粒；边缘裁切整齐无毛边；无明显刺鼻化工异味，得 2.5 分，每有一项瑕疵，扣0.5分，扣完本项得分为止。 ③物理手感与性能 手按压后回弹迅速，无明显残留压痕，柔韧不发硬；表面防滑纹理清晰，擦拭不掉色；弯折无发白、无裂纹，得 2.5 分，每有一项瑕疵，扣0.5分，扣完本项得分为止。 ④提供 CMA 第三方检测报告，检测项目包含：低 VOC、可溶性重金属、邻苯二甲酸酯、抗菌性能各项指标满足国家现行相关标准限值，全部达标得 3 分；缺任意一项检测项目或任意指标不达标不得分；未提供不得分。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响应偏离表.docx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 年 1 月 1 日（含）以来同类（装饰装修）项目业绩（以合同签订日期为准），每提供1项有效业绩计 2 分，最高计10 分。 备注：每项业绩须完整提供中标通知书、合同、支付凭证复印件。业绩材料不符合要求或证明文件不全的，评审时将不予承认。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财库〔2020〕46号文件的规定，采用低价优先法计算，以本次满足磋商文件要求的最后最低磋商报价为磋商基准价，其磋商报价为满分。供应商的磋商报价得分，统一按照下列公式计算：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已标价工程量清单.docx</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详见附件：响应偏离表.docx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