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版本号：ZCXG-ZB-202604220260714001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绩效管理及组织管理服务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ZCXG-ZB-2026042</w:t>
      </w:r>
      <w:r>
        <w:br/>
      </w:r>
      <w:r>
        <w:br/>
      </w:r>
      <w:r>
        <w:br/>
      </w:r>
    </w:p>
    <w:p>
      <w:pPr>
        <w:pStyle w:val="null3"/>
        <w:jc w:val="center"/>
        <w:outlineLvl w:val="2"/>
      </w:pPr>
      <w:r>
        <w:rPr>
          <w:rFonts w:ascii="仿宋_GB2312" w:hAnsi="仿宋_GB2312" w:cs="仿宋_GB2312" w:eastAsia="仿宋_GB2312"/>
          <w:sz w:val="28"/>
          <w:b/>
        </w:rPr>
        <w:t>西安市雁塔区中医医院</w:t>
      </w:r>
    </w:p>
    <w:p>
      <w:pPr>
        <w:pStyle w:val="null3"/>
        <w:jc w:val="center"/>
        <w:outlineLvl w:val="2"/>
      </w:pPr>
      <w:r>
        <w:rPr>
          <w:rFonts w:ascii="仿宋_GB2312" w:hAnsi="仿宋_GB2312" w:cs="仿宋_GB2312" w:eastAsia="仿宋_GB2312"/>
          <w:sz w:val="28"/>
          <w:b/>
        </w:rPr>
        <w:t>陕西众诚项目管理有限公司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陕西众诚项目管理有限公司</w:t>
      </w:r>
      <w:r>
        <w:rPr>
          <w:rFonts w:ascii="仿宋_GB2312" w:hAnsi="仿宋_GB2312" w:cs="仿宋_GB2312" w:eastAsia="仿宋_GB2312"/>
        </w:rPr>
        <w:t>（以下简称“代理机构”）受</w:t>
      </w:r>
      <w:r>
        <w:rPr>
          <w:rFonts w:ascii="仿宋_GB2312" w:hAnsi="仿宋_GB2312" w:cs="仿宋_GB2312" w:eastAsia="仿宋_GB2312"/>
        </w:rPr>
        <w:t>西安市雁塔区中医医院</w:t>
      </w:r>
      <w:r>
        <w:rPr>
          <w:rFonts w:ascii="仿宋_GB2312" w:hAnsi="仿宋_GB2312" w:cs="仿宋_GB2312" w:eastAsia="仿宋_GB2312"/>
        </w:rPr>
        <w:t>委托，拟对</w:t>
      </w:r>
      <w:r>
        <w:rPr>
          <w:rFonts w:ascii="仿宋_GB2312" w:hAnsi="仿宋_GB2312" w:cs="仿宋_GB2312" w:eastAsia="仿宋_GB2312"/>
        </w:rPr>
        <w:t>绩效管理及组织管理服务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ZCXG-ZB-2026042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绩效管理及组织管理服务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绩效管理及组织管理服务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采购包1（绩效管理及组织管理服务）：属于专门面向中小企业采购。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 , 并出具合法有效的营业执照或事业单位法人证书等国家规定的相关证明， 自然人参与的提供其身份证明；</w:t>
      </w:r>
    </w:p>
    <w:p>
      <w:pPr>
        <w:pStyle w:val="null3"/>
      </w:pPr>
      <w:r>
        <w:rPr>
          <w:rFonts w:ascii="仿宋_GB2312" w:hAnsi="仿宋_GB2312" w:cs="仿宋_GB2312" w:eastAsia="仿宋_GB2312"/>
        </w:rPr>
        <w:t>2、社会保障资金缴纳证明：提供响应时间前六个月内已缴存的至少一个月的社会保障资金缴存单据或社保机构开具的社会保险参保缴费情况证明，依法不需要缴纳社会保障资金的单位应提供相关证明材料；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3、税收缴纳证明：提供响应时间前六个月内已缴纳的至少一个月的纳税证明或完税证明，依法免税的单位应提供相关证明材料；</w:t>
      </w:r>
    </w:p>
    <w:p>
      <w:pPr>
        <w:pStyle w:val="null3"/>
      </w:pPr>
      <w:r>
        <w:rPr>
          <w:rFonts w:ascii="仿宋_GB2312" w:hAnsi="仿宋_GB2312" w:cs="仿宋_GB2312" w:eastAsia="仿宋_GB2312"/>
        </w:rPr>
        <w:t>4、履约能力声明：提供具有履行合同所必需的设备和专业技术能力的承诺；</w:t>
      </w:r>
    </w:p>
    <w:p>
      <w:pPr>
        <w:pStyle w:val="null3"/>
      </w:pPr>
      <w:r>
        <w:rPr>
          <w:rFonts w:ascii="仿宋_GB2312" w:hAnsi="仿宋_GB2312" w:cs="仿宋_GB2312" w:eastAsia="仿宋_GB2312"/>
        </w:rPr>
        <w:t>5、三年无违法声明：参加政府采购活动前3年内，在经营活动中没有重大违法记录的书面声明；</w:t>
      </w:r>
    </w:p>
    <w:p>
      <w:pPr>
        <w:pStyle w:val="null3"/>
      </w:pPr>
      <w:r>
        <w:rPr>
          <w:rFonts w:ascii="仿宋_GB2312" w:hAnsi="仿宋_GB2312" w:cs="仿宋_GB2312" w:eastAsia="仿宋_GB2312"/>
        </w:rPr>
        <w:t>6、身份证明：法定代表人授权书（附法定代表人、被授权人身份证复印件）（法定代表人直接参加的，须提供法定代表人身份证明），分支机构由负责人授权即可；</w:t>
      </w:r>
    </w:p>
    <w:p>
      <w:pPr>
        <w:pStyle w:val="null3"/>
      </w:pPr>
      <w:r>
        <w:rPr>
          <w:rFonts w:ascii="仿宋_GB2312" w:hAnsi="仿宋_GB2312" w:cs="仿宋_GB2312" w:eastAsia="仿宋_GB2312"/>
        </w:rPr>
        <w:t>7、非联合体声明：本项目不接受联合体。</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西安市雁塔区中医医院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西安市雁塔区长安南路495号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杨娟华</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029-88666369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陕西众诚项目管理有限公司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西安市雁塔区南二环路老三届世纪星大厦8层K座</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张航帆</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029-88816603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西安市雁塔区政府采购管理股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85241676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采购包1：296,000.00元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代理服务费收费标准：1、根据《国家发展改革委关于进-步放开建设项目专业服务价格的通知 》(发改价格[2015]299号)的有关规定执行。 代理费缴存账户：开户名称：陕西众诚项目管理有限公司 开户银行：中国建设银行股份有限公司西安汇轩路支行 账号：6105 0172 3700 0000 1337 行号：105791000282 （备注：项目名称包号+代理服务费） 2、中标单位在领取中标通知书前，须向采购代理机构一次性支付采购代理服务费。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西安市雁塔区中医医院</w:t>
      </w:r>
      <w:r>
        <w:rPr>
          <w:rFonts w:ascii="仿宋_GB2312" w:hAnsi="仿宋_GB2312" w:cs="仿宋_GB2312" w:eastAsia="仿宋_GB2312"/>
        </w:rPr>
        <w:t>和</w:t>
      </w:r>
      <w:r>
        <w:rPr>
          <w:rFonts w:ascii="仿宋_GB2312" w:hAnsi="仿宋_GB2312" w:cs="仿宋_GB2312" w:eastAsia="仿宋_GB2312"/>
        </w:rPr>
        <w:t>陕西众诚项目管理有限公司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西安市雁塔区中医医院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陕西众诚项目管理有限公司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西安市雁塔区中医医院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陕西众诚项目管理有限公司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陕西众诚项目管理有限公司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陕西众诚项目管理有限公司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陕西众诚项目管理有限公司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联系人：张工</w:t>
      </w:r>
    </w:p>
    <w:p>
      <w:pPr>
        <w:pStyle w:val="null3"/>
      </w:pPr>
      <w:r>
        <w:rPr>
          <w:rFonts w:ascii="仿宋_GB2312" w:hAnsi="仿宋_GB2312" w:cs="仿宋_GB2312" w:eastAsia="仿宋_GB2312"/>
        </w:rPr>
        <w:t>联系电话：029-88816603</w:t>
      </w:r>
    </w:p>
    <w:p>
      <w:pPr>
        <w:pStyle w:val="null3"/>
      </w:pPr>
      <w:r>
        <w:rPr>
          <w:rFonts w:ascii="仿宋_GB2312" w:hAnsi="仿宋_GB2312" w:cs="仿宋_GB2312" w:eastAsia="仿宋_GB2312"/>
        </w:rPr>
        <w:t>地址：西安市雁塔区南二环路老三届世纪星大厦8层K座</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绩效管理及组织管理服务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296,000.00</w:t>
      </w:r>
    </w:p>
    <w:p>
      <w:pPr>
        <w:pStyle w:val="null3"/>
      </w:pPr>
      <w:r>
        <w:rPr>
          <w:rFonts w:ascii="仿宋_GB2312" w:hAnsi="仿宋_GB2312" w:cs="仿宋_GB2312" w:eastAsia="仿宋_GB2312"/>
        </w:rPr>
        <w:t>采购包最高限价（元）: 296,000.00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绩效管理及组织管理服务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296,000.00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标的名称：绩效管理及组织管理服务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285"/>
              <w:ind w:left="480"/>
              <w:jc w:val="both"/>
            </w:pPr>
            <w:r>
              <w:rPr>
                <w:rFonts w:ascii="仿宋_GB2312" w:hAnsi="仿宋_GB2312" w:cs="仿宋_GB2312" w:eastAsia="仿宋_GB2312"/>
                <w:sz w:val="24"/>
                <w:b/>
              </w:rPr>
              <w:t>一、</w:t>
            </w:r>
            <w:r>
              <w:rPr>
                <w:rFonts w:ascii="仿宋_GB2312" w:hAnsi="仿宋_GB2312" w:cs="仿宋_GB2312" w:eastAsia="仿宋_GB2312"/>
                <w:sz w:val="24"/>
                <w:b/>
              </w:rPr>
              <w:t>项目概况</w:t>
            </w:r>
          </w:p>
          <w:p>
            <w:pPr>
              <w:pStyle w:val="null3"/>
              <w:spacing w:before="75"/>
              <w:ind w:firstLine="493"/>
              <w:jc w:val="both"/>
            </w:pPr>
            <w:r>
              <w:rPr>
                <w:rFonts w:ascii="仿宋_GB2312" w:hAnsi="仿宋_GB2312" w:cs="仿宋_GB2312" w:eastAsia="仿宋_GB2312"/>
                <w:sz w:val="24"/>
              </w:rPr>
              <w:t>通过采购绩效管理服务，对</w:t>
            </w:r>
            <w:r>
              <w:rPr>
                <w:rFonts w:ascii="仿宋_GB2312" w:hAnsi="仿宋_GB2312" w:cs="仿宋_GB2312" w:eastAsia="仿宋_GB2312"/>
                <w:sz w:val="24"/>
              </w:rPr>
              <w:t>组织管理优化，实现目标、管理、责任、服务与利益的协同统一。结合关键岗位的监测指标，系统性地梳理并优化组织结构、管理职能、岗位职责、职级编制及岗位价值系数，构建一个高效、清晰的现代化医院管理体系。</w:t>
            </w:r>
            <w:r>
              <w:rPr>
                <w:rFonts w:ascii="仿宋_GB2312" w:hAnsi="仿宋_GB2312" w:cs="仿宋_GB2312" w:eastAsia="仿宋_GB2312"/>
                <w:sz w:val="24"/>
              </w:rPr>
              <w:t>，以满足医院需求。</w:t>
            </w:r>
          </w:p>
          <w:p>
            <w:pPr>
              <w:pStyle w:val="null3"/>
              <w:ind w:left="480"/>
              <w:jc w:val="both"/>
            </w:pPr>
            <w:r>
              <w:rPr>
                <w:rFonts w:ascii="仿宋_GB2312" w:hAnsi="仿宋_GB2312" w:cs="仿宋_GB2312" w:eastAsia="仿宋_GB2312"/>
                <w:sz w:val="24"/>
                <w:b/>
              </w:rPr>
              <w:t>二</w:t>
            </w:r>
            <w:r>
              <w:rPr>
                <w:rFonts w:ascii="仿宋_GB2312" w:hAnsi="仿宋_GB2312" w:cs="仿宋_GB2312" w:eastAsia="仿宋_GB2312"/>
                <w:sz w:val="24"/>
                <w:b/>
              </w:rPr>
              <w:t>、服务指标的具体要求</w:t>
            </w:r>
          </w:p>
          <w:p>
            <w:pPr>
              <w:pStyle w:val="null3"/>
              <w:spacing w:before="75"/>
              <w:ind w:left="495"/>
              <w:jc w:val="both"/>
            </w:pPr>
            <w:r>
              <w:rPr>
                <w:rFonts w:ascii="仿宋_GB2312" w:hAnsi="仿宋_GB2312" w:cs="仿宋_GB2312" w:eastAsia="仿宋_GB2312"/>
                <w:sz w:val="24"/>
                <w:b/>
              </w:rPr>
              <w:t>1.服务内容：</w:t>
            </w:r>
          </w:p>
          <w:p>
            <w:pPr>
              <w:pStyle w:val="null3"/>
              <w:spacing w:before="75"/>
              <w:ind w:left="480"/>
              <w:jc w:val="both"/>
            </w:pPr>
            <w:r>
              <w:rPr>
                <w:rFonts w:ascii="仿宋_GB2312" w:hAnsi="仿宋_GB2312" w:cs="仿宋_GB2312" w:eastAsia="仿宋_GB2312"/>
                <w:sz w:val="24"/>
                <w:b/>
              </w:rPr>
              <w:t>职能梳理与优化</w:t>
            </w:r>
          </w:p>
          <w:p>
            <w:pPr>
              <w:pStyle w:val="null3"/>
              <w:spacing w:before="75"/>
              <w:ind w:left="480"/>
              <w:jc w:val="both"/>
            </w:pPr>
            <w:r>
              <w:rPr>
                <w:rFonts w:ascii="仿宋_GB2312" w:hAnsi="仿宋_GB2312" w:cs="仿宋_GB2312" w:eastAsia="仿宋_GB2312"/>
                <w:sz w:val="24"/>
              </w:rPr>
              <w:t>根据医院发展战略和业务需求，</w:t>
            </w:r>
            <w:r>
              <w:rPr>
                <w:rFonts w:ascii="仿宋_GB2312" w:hAnsi="仿宋_GB2312" w:cs="仿宋_GB2312" w:eastAsia="仿宋_GB2312"/>
                <w:sz w:val="24"/>
              </w:rPr>
              <w:t>对</w:t>
            </w:r>
            <w:r>
              <w:rPr>
                <w:rFonts w:ascii="仿宋_GB2312" w:hAnsi="仿宋_GB2312" w:cs="仿宋_GB2312" w:eastAsia="仿宋_GB2312"/>
                <w:sz w:val="24"/>
              </w:rPr>
              <w:t>全院所有科室</w:t>
            </w:r>
            <w:r>
              <w:rPr>
                <w:rFonts w:ascii="仿宋_GB2312" w:hAnsi="仿宋_GB2312" w:cs="仿宋_GB2312" w:eastAsia="仿宋_GB2312"/>
                <w:sz w:val="24"/>
              </w:rPr>
              <w:t>的职</w:t>
            </w:r>
            <w:r>
              <w:rPr>
                <w:rFonts w:ascii="仿宋_GB2312" w:hAnsi="仿宋_GB2312" w:cs="仿宋_GB2312" w:eastAsia="仿宋_GB2312"/>
                <w:sz w:val="24"/>
              </w:rPr>
              <w:t>能进行重新梳理和界定；</w:t>
            </w:r>
          </w:p>
          <w:p>
            <w:pPr>
              <w:pStyle w:val="null3"/>
              <w:spacing w:before="75"/>
              <w:ind w:left="510"/>
              <w:jc w:val="both"/>
            </w:pPr>
            <w:r>
              <w:rPr>
                <w:rFonts w:ascii="仿宋_GB2312" w:hAnsi="仿宋_GB2312" w:cs="仿宋_GB2312" w:eastAsia="仿宋_GB2312"/>
                <w:sz w:val="24"/>
              </w:rPr>
              <w:t>明确各部门的核心职能和辅助职能，优化职能配置，避免职能交叉和重复；</w:t>
            </w:r>
          </w:p>
          <w:p>
            <w:pPr>
              <w:pStyle w:val="null3"/>
              <w:spacing w:before="75"/>
              <w:ind w:firstLine="478"/>
              <w:jc w:val="both"/>
            </w:pPr>
            <w:r>
              <w:rPr>
                <w:rFonts w:ascii="仿宋_GB2312" w:hAnsi="仿宋_GB2312" w:cs="仿宋_GB2312" w:eastAsia="仿宋_GB2312"/>
                <w:sz w:val="24"/>
              </w:rPr>
              <w:t>梳理各部门业务开展特性，建立跨部门的多</w:t>
            </w:r>
            <w:r>
              <w:rPr>
                <w:rFonts w:ascii="仿宋_GB2312" w:hAnsi="仿宋_GB2312" w:cs="仿宋_GB2312" w:eastAsia="仿宋_GB2312"/>
                <w:sz w:val="24"/>
              </w:rPr>
              <w:t>科联合业务融合与实践，提升服务效率</w:t>
            </w:r>
            <w:r>
              <w:rPr>
                <w:rFonts w:ascii="仿宋_GB2312" w:hAnsi="仿宋_GB2312" w:cs="仿宋_GB2312" w:eastAsia="仿宋_GB2312"/>
                <w:sz w:val="24"/>
              </w:rPr>
              <w:t>和综合质量。</w:t>
            </w:r>
          </w:p>
          <w:p>
            <w:pPr>
              <w:pStyle w:val="null3"/>
              <w:ind w:left="510"/>
              <w:jc w:val="both"/>
            </w:pPr>
            <w:r>
              <w:rPr>
                <w:rFonts w:ascii="仿宋_GB2312" w:hAnsi="仿宋_GB2312" w:cs="仿宋_GB2312" w:eastAsia="仿宋_GB2312"/>
                <w:sz w:val="24"/>
                <w:b/>
              </w:rPr>
              <w:t>岗位设置与编制核定</w:t>
            </w:r>
          </w:p>
          <w:p>
            <w:pPr>
              <w:pStyle w:val="null3"/>
              <w:spacing w:before="75"/>
              <w:ind w:firstLine="479"/>
              <w:jc w:val="both"/>
            </w:pPr>
            <w:r>
              <w:rPr>
                <w:rFonts w:ascii="仿宋_GB2312" w:hAnsi="仿宋_GB2312" w:cs="仿宋_GB2312" w:eastAsia="仿宋_GB2312"/>
                <w:sz w:val="24"/>
              </w:rPr>
              <w:t>根据职能梳理结果，</w:t>
            </w:r>
            <w:r>
              <w:rPr>
                <w:rFonts w:ascii="仿宋_GB2312" w:hAnsi="仿宋_GB2312" w:cs="仿宋_GB2312" w:eastAsia="仿宋_GB2312"/>
                <w:sz w:val="24"/>
              </w:rPr>
              <w:t>科学设置岗位，明确岗位名称、岗位职责、任</w:t>
            </w:r>
            <w:r>
              <w:rPr>
                <w:rFonts w:ascii="仿宋_GB2312" w:hAnsi="仿宋_GB2312" w:cs="仿宋_GB2312" w:eastAsia="仿宋_GB2312"/>
                <w:sz w:val="24"/>
              </w:rPr>
              <w:t>职资格等；</w:t>
            </w:r>
          </w:p>
          <w:p>
            <w:pPr>
              <w:pStyle w:val="null3"/>
              <w:ind w:firstLine="478"/>
              <w:jc w:val="both"/>
            </w:pPr>
            <w:r>
              <w:rPr>
                <w:rFonts w:ascii="仿宋_GB2312" w:hAnsi="仿宋_GB2312" w:cs="仿宋_GB2312" w:eastAsia="仿宋_GB2312"/>
                <w:sz w:val="24"/>
              </w:rPr>
              <w:t>采用科学的方法，如工作量分析、标杆对照</w:t>
            </w:r>
            <w:r>
              <w:rPr>
                <w:rFonts w:ascii="仿宋_GB2312" w:hAnsi="仿宋_GB2312" w:cs="仿宋_GB2312" w:eastAsia="仿宋_GB2312"/>
                <w:sz w:val="24"/>
              </w:rPr>
              <w:t>等，合理核定各部门、各岗位的人员编</w:t>
            </w:r>
            <w:r>
              <w:rPr>
                <w:rFonts w:ascii="仿宋_GB2312" w:hAnsi="仿宋_GB2312" w:cs="仿宋_GB2312" w:eastAsia="仿宋_GB2312"/>
                <w:sz w:val="24"/>
              </w:rPr>
              <w:t>制；</w:t>
            </w:r>
          </w:p>
          <w:p>
            <w:pPr>
              <w:pStyle w:val="null3"/>
              <w:ind w:left="480"/>
              <w:jc w:val="both"/>
            </w:pPr>
            <w:r>
              <w:rPr>
                <w:rFonts w:ascii="仿宋_GB2312" w:hAnsi="仿宋_GB2312" w:cs="仿宋_GB2312" w:eastAsia="仿宋_GB2312"/>
                <w:sz w:val="24"/>
              </w:rPr>
              <w:t>建立岗位动态调整机制，根据医院发展需要</w:t>
            </w:r>
            <w:r>
              <w:rPr>
                <w:rFonts w:ascii="仿宋_GB2312" w:hAnsi="仿宋_GB2312" w:cs="仿宋_GB2312" w:eastAsia="仿宋_GB2312"/>
                <w:sz w:val="24"/>
              </w:rPr>
              <w:t>及时调整岗位设置和人员编制</w:t>
            </w:r>
          </w:p>
          <w:p>
            <w:pPr>
              <w:pStyle w:val="null3"/>
              <w:spacing w:before="75"/>
              <w:ind w:left="480"/>
              <w:jc w:val="both"/>
            </w:pPr>
            <w:r>
              <w:rPr>
                <w:rFonts w:ascii="仿宋_GB2312" w:hAnsi="仿宋_GB2312" w:cs="仿宋_GB2312" w:eastAsia="仿宋_GB2312"/>
                <w:sz w:val="24"/>
                <w:b/>
              </w:rPr>
              <w:t>配套制度建设</w:t>
            </w:r>
          </w:p>
          <w:p>
            <w:pPr>
              <w:pStyle w:val="null3"/>
              <w:spacing w:before="75"/>
              <w:ind w:firstLine="480"/>
              <w:jc w:val="both"/>
            </w:pPr>
            <w:r>
              <w:rPr>
                <w:rFonts w:ascii="仿宋_GB2312" w:hAnsi="仿宋_GB2312" w:cs="仿宋_GB2312" w:eastAsia="仿宋_GB2312"/>
                <w:sz w:val="24"/>
              </w:rPr>
              <w:t>制定和完善与</w:t>
            </w:r>
            <w:r>
              <w:rPr>
                <w:rFonts w:ascii="仿宋_GB2312" w:hAnsi="仿宋_GB2312" w:cs="仿宋_GB2312" w:eastAsia="仿宋_GB2312"/>
                <w:sz w:val="24"/>
              </w:rPr>
              <w:t>“三定</w:t>
            </w:r>
            <w:r>
              <w:rPr>
                <w:rFonts w:ascii="仿宋_GB2312" w:hAnsi="仿宋_GB2312" w:cs="仿宋_GB2312" w:eastAsia="仿宋_GB2312"/>
                <w:sz w:val="21"/>
              </w:rPr>
              <w:t xml:space="preserve"> </w:t>
            </w:r>
            <w:r>
              <w:rPr>
                <w:rFonts w:ascii="仿宋_GB2312" w:hAnsi="仿宋_GB2312" w:cs="仿宋_GB2312" w:eastAsia="仿宋_GB2312"/>
                <w:sz w:val="24"/>
              </w:rPr>
              <w:t>”方案相配套的制度，如岗位说明书、绩效考核制度、薪酬分</w:t>
            </w:r>
            <w:r>
              <w:rPr>
                <w:rFonts w:ascii="仿宋_GB2312" w:hAnsi="仿宋_GB2312" w:cs="仿宋_GB2312" w:eastAsia="仿宋_GB2312"/>
                <w:sz w:val="24"/>
              </w:rPr>
              <w:t>配制度等；</w:t>
            </w:r>
          </w:p>
          <w:p>
            <w:pPr>
              <w:pStyle w:val="null3"/>
              <w:ind w:left="480"/>
              <w:jc w:val="both"/>
            </w:pPr>
            <w:r>
              <w:rPr>
                <w:rFonts w:ascii="仿宋_GB2312" w:hAnsi="仿宋_GB2312" w:cs="仿宋_GB2312" w:eastAsia="仿宋_GB2312"/>
                <w:sz w:val="24"/>
              </w:rPr>
              <w:t>建立健全</w:t>
            </w:r>
            <w:r>
              <w:rPr>
                <w:rFonts w:ascii="仿宋_GB2312" w:hAnsi="仿宋_GB2312" w:cs="仿宋_GB2312" w:eastAsia="仿宋_GB2312"/>
                <w:sz w:val="24"/>
              </w:rPr>
              <w:t>“三定</w:t>
            </w:r>
            <w:r>
              <w:rPr>
                <w:rFonts w:ascii="仿宋_GB2312" w:hAnsi="仿宋_GB2312" w:cs="仿宋_GB2312" w:eastAsia="仿宋_GB2312"/>
                <w:sz w:val="21"/>
              </w:rPr>
              <w:t xml:space="preserve"> </w:t>
            </w:r>
            <w:r>
              <w:rPr>
                <w:rFonts w:ascii="仿宋_GB2312" w:hAnsi="仿宋_GB2312" w:cs="仿宋_GB2312" w:eastAsia="仿宋_GB2312"/>
                <w:sz w:val="24"/>
              </w:rPr>
              <w:t>”工作评估机制，定期对“三定</w:t>
            </w:r>
            <w:r>
              <w:rPr>
                <w:rFonts w:ascii="仿宋_GB2312" w:hAnsi="仿宋_GB2312" w:cs="仿宋_GB2312" w:eastAsia="仿宋_GB2312"/>
                <w:sz w:val="21"/>
              </w:rPr>
              <w:t xml:space="preserve"> </w:t>
            </w:r>
            <w:r>
              <w:rPr>
                <w:rFonts w:ascii="仿宋_GB2312" w:hAnsi="仿宋_GB2312" w:cs="仿宋_GB2312" w:eastAsia="仿宋_GB2312"/>
                <w:sz w:val="24"/>
              </w:rPr>
              <w:t>”工作</w:t>
            </w:r>
            <w:r>
              <w:rPr>
                <w:rFonts w:ascii="仿宋_GB2312" w:hAnsi="仿宋_GB2312" w:cs="仿宋_GB2312" w:eastAsia="仿宋_GB2312"/>
                <w:sz w:val="24"/>
              </w:rPr>
              <w:t>成效进行评估和改进。</w:t>
            </w:r>
          </w:p>
          <w:p>
            <w:pPr>
              <w:pStyle w:val="null3"/>
              <w:spacing w:before="75"/>
              <w:ind w:left="495"/>
              <w:jc w:val="both"/>
            </w:pPr>
            <w:r>
              <w:rPr>
                <w:rFonts w:ascii="仿宋_GB2312" w:hAnsi="仿宋_GB2312" w:cs="仿宋_GB2312" w:eastAsia="仿宋_GB2312"/>
                <w:sz w:val="24"/>
                <w:b/>
              </w:rPr>
              <w:t>医院绩效管理方案设计并顺利导入应用，内容涵盖以下：</w:t>
            </w:r>
          </w:p>
          <w:tbl>
            <w:tblPr>
              <w:tblInd w:type="dxa" w:w="90"/>
              <w:tblBorders>
                <w:top w:val="none" w:color="000000" w:sz="4"/>
                <w:left w:val="none" w:color="000000" w:sz="4"/>
                <w:bottom w:val="none" w:color="000000" w:sz="4"/>
                <w:right w:val="none" w:color="000000" w:sz="4"/>
                <w:insideH w:val="none"/>
                <w:insideV w:val="none"/>
              </w:tblBorders>
            </w:tblPr>
            <w:tblGrid>
              <w:gridCol w:w="910"/>
              <w:gridCol w:w="1633"/>
            </w:tblGrid>
            <w:tr>
              <w:tc>
                <w:tcPr>
                  <w:tcW w:type="dxa" w:w="9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项目模块</w:t>
                  </w:r>
                </w:p>
              </w:tc>
              <w:tc>
                <w:tcPr>
                  <w:tcW w:type="dxa" w:w="16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项目内容</w:t>
                  </w:r>
                </w:p>
              </w:tc>
            </w:tr>
            <w:tr>
              <w:tc>
                <w:tcPr>
                  <w:tcW w:type="dxa" w:w="91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医师职系绩效考核分配</w:t>
                  </w:r>
                </w:p>
              </w:tc>
              <w:tc>
                <w:tcPr>
                  <w:tcW w:type="dxa" w:w="1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工作量激励</w:t>
                  </w:r>
                </w:p>
              </w:tc>
            </w:tr>
            <w:tr>
              <w:tc>
                <w:tcPr>
                  <w:tcW w:type="dxa" w:w="910"/>
                  <w:vMerge/>
                  <w:tcBorders>
                    <w:top w:val="none" w:color="000000" w:sz="4"/>
                    <w:left w:val="single" w:color="000000" w:sz="4"/>
                    <w:bottom w:val="single" w:color="000000" w:sz="4"/>
                    <w:right w:val="single" w:color="000000" w:sz="4"/>
                  </w:tcBorders>
                </w:tcPr>
                <w:p/>
              </w:tc>
              <w:tc>
                <w:tcPr>
                  <w:tcW w:type="dxa" w:w="1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DRG/Dip绩效激励</w:t>
                  </w:r>
                </w:p>
              </w:tc>
            </w:tr>
            <w:tr>
              <w:tc>
                <w:tcPr>
                  <w:tcW w:type="dxa" w:w="910"/>
                  <w:vMerge/>
                  <w:tcBorders>
                    <w:top w:val="none" w:color="000000" w:sz="4"/>
                    <w:left w:val="single" w:color="000000" w:sz="4"/>
                    <w:bottom w:val="single" w:color="000000" w:sz="4"/>
                    <w:right w:val="single" w:color="000000" w:sz="4"/>
                  </w:tcBorders>
                </w:tcPr>
                <w:p/>
              </w:tc>
              <w:tc>
                <w:tcPr>
                  <w:tcW w:type="dxa" w:w="1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医院专项激励</w:t>
                  </w:r>
                </w:p>
              </w:tc>
            </w:tr>
            <w:tr>
              <w:tc>
                <w:tcPr>
                  <w:tcW w:type="dxa" w:w="910"/>
                  <w:vMerge/>
                  <w:tcBorders>
                    <w:top w:val="none" w:color="000000" w:sz="4"/>
                    <w:left w:val="single" w:color="000000" w:sz="4"/>
                    <w:bottom w:val="single" w:color="000000" w:sz="4"/>
                    <w:right w:val="single" w:color="000000" w:sz="4"/>
                  </w:tcBorders>
                </w:tcPr>
                <w:p/>
              </w:tc>
              <w:tc>
                <w:tcPr>
                  <w:tcW w:type="dxa" w:w="1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中医药服务价值考核激励</w:t>
                  </w:r>
                </w:p>
              </w:tc>
            </w:tr>
            <w:tr>
              <w:tc>
                <w:tcPr>
                  <w:tcW w:type="dxa" w:w="910"/>
                  <w:vMerge/>
                  <w:tcBorders>
                    <w:top w:val="none" w:color="000000" w:sz="4"/>
                    <w:left w:val="single" w:color="000000" w:sz="4"/>
                    <w:bottom w:val="single" w:color="000000" w:sz="4"/>
                    <w:right w:val="single" w:color="000000" w:sz="4"/>
                  </w:tcBorders>
                </w:tcPr>
                <w:p/>
              </w:tc>
              <w:tc>
                <w:tcPr>
                  <w:tcW w:type="dxa" w:w="1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OKR医师考核</w:t>
                  </w:r>
                </w:p>
              </w:tc>
            </w:tr>
            <w:tr>
              <w:tc>
                <w:tcPr>
                  <w:tcW w:type="dxa" w:w="91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护理绩效模块</w:t>
                  </w:r>
                </w:p>
              </w:tc>
              <w:tc>
                <w:tcPr>
                  <w:tcW w:type="dxa" w:w="1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工作量激励</w:t>
                  </w:r>
                </w:p>
              </w:tc>
            </w:tr>
            <w:tr>
              <w:tc>
                <w:tcPr>
                  <w:tcW w:type="dxa" w:w="910"/>
                  <w:vMerge/>
                  <w:tcBorders>
                    <w:top w:val="none" w:color="000000" w:sz="4"/>
                    <w:left w:val="single" w:color="000000" w:sz="4"/>
                    <w:bottom w:val="single" w:color="000000" w:sz="4"/>
                    <w:right w:val="single" w:color="000000" w:sz="4"/>
                  </w:tcBorders>
                </w:tcPr>
                <w:p/>
              </w:tc>
              <w:tc>
                <w:tcPr>
                  <w:tcW w:type="dxa" w:w="1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DRG/Dip绩效激励</w:t>
                  </w:r>
                </w:p>
              </w:tc>
            </w:tr>
            <w:tr>
              <w:tc>
                <w:tcPr>
                  <w:tcW w:type="dxa" w:w="910"/>
                  <w:vMerge/>
                  <w:tcBorders>
                    <w:top w:val="none" w:color="000000" w:sz="4"/>
                    <w:left w:val="single" w:color="000000" w:sz="4"/>
                    <w:bottom w:val="single" w:color="000000" w:sz="4"/>
                    <w:right w:val="single" w:color="000000" w:sz="4"/>
                  </w:tcBorders>
                </w:tcPr>
                <w:p/>
              </w:tc>
              <w:tc>
                <w:tcPr>
                  <w:tcW w:type="dxa" w:w="1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医院专项激励</w:t>
                  </w:r>
                </w:p>
              </w:tc>
            </w:tr>
            <w:tr>
              <w:tc>
                <w:tcPr>
                  <w:tcW w:type="dxa" w:w="910"/>
                  <w:vMerge/>
                  <w:tcBorders>
                    <w:top w:val="none" w:color="000000" w:sz="4"/>
                    <w:left w:val="single" w:color="000000" w:sz="4"/>
                    <w:bottom w:val="single" w:color="000000" w:sz="4"/>
                    <w:right w:val="single" w:color="000000" w:sz="4"/>
                  </w:tcBorders>
                </w:tcPr>
                <w:p/>
              </w:tc>
              <w:tc>
                <w:tcPr>
                  <w:tcW w:type="dxa" w:w="1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中医药服务价值考核激励</w:t>
                  </w:r>
                </w:p>
              </w:tc>
            </w:tr>
            <w:tr>
              <w:tc>
                <w:tcPr>
                  <w:tcW w:type="dxa" w:w="910"/>
                  <w:vMerge/>
                  <w:tcBorders>
                    <w:top w:val="none" w:color="000000" w:sz="4"/>
                    <w:left w:val="single" w:color="000000" w:sz="4"/>
                    <w:bottom w:val="single" w:color="000000" w:sz="4"/>
                    <w:right w:val="single" w:color="000000" w:sz="4"/>
                  </w:tcBorders>
                </w:tcPr>
                <w:p/>
              </w:tc>
              <w:tc>
                <w:tcPr>
                  <w:tcW w:type="dxa" w:w="1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OKR护理考核</w:t>
                  </w:r>
                </w:p>
              </w:tc>
            </w:tr>
            <w:tr>
              <w:tc>
                <w:tcPr>
                  <w:tcW w:type="dxa" w:w="91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医技绩效模块</w:t>
                  </w:r>
                </w:p>
              </w:tc>
              <w:tc>
                <w:tcPr>
                  <w:tcW w:type="dxa" w:w="1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工作量激励</w:t>
                  </w:r>
                </w:p>
              </w:tc>
            </w:tr>
            <w:tr>
              <w:tc>
                <w:tcPr>
                  <w:tcW w:type="dxa" w:w="910"/>
                  <w:vMerge/>
                  <w:tcBorders>
                    <w:top w:val="none" w:color="000000" w:sz="4"/>
                    <w:left w:val="single" w:color="000000" w:sz="4"/>
                    <w:bottom w:val="single" w:color="000000" w:sz="4"/>
                    <w:right w:val="single" w:color="000000" w:sz="4"/>
                  </w:tcBorders>
                </w:tcPr>
                <w:p/>
              </w:tc>
              <w:tc>
                <w:tcPr>
                  <w:tcW w:type="dxa" w:w="1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医院专项激励</w:t>
                  </w:r>
                </w:p>
              </w:tc>
            </w:tr>
            <w:tr>
              <w:tc>
                <w:tcPr>
                  <w:tcW w:type="dxa" w:w="910"/>
                  <w:vMerge/>
                  <w:tcBorders>
                    <w:top w:val="none" w:color="000000" w:sz="4"/>
                    <w:left w:val="single" w:color="000000" w:sz="4"/>
                    <w:bottom w:val="single" w:color="000000" w:sz="4"/>
                    <w:right w:val="single" w:color="000000" w:sz="4"/>
                  </w:tcBorders>
                </w:tcPr>
                <w:p/>
              </w:tc>
              <w:tc>
                <w:tcPr>
                  <w:tcW w:type="dxa" w:w="1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OKR医技考核</w:t>
                  </w:r>
                </w:p>
              </w:tc>
            </w:tr>
            <w:tr>
              <w:tc>
                <w:tcPr>
                  <w:tcW w:type="dxa" w:w="91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药事绩效模块</w:t>
                  </w:r>
                </w:p>
              </w:tc>
              <w:tc>
                <w:tcPr>
                  <w:tcW w:type="dxa" w:w="1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岗位绩效激励</w:t>
                  </w:r>
                </w:p>
              </w:tc>
            </w:tr>
            <w:tr>
              <w:tc>
                <w:tcPr>
                  <w:tcW w:type="dxa" w:w="910"/>
                  <w:vMerge/>
                  <w:tcBorders>
                    <w:top w:val="none" w:color="000000" w:sz="4"/>
                    <w:left w:val="single" w:color="000000" w:sz="4"/>
                    <w:bottom w:val="single" w:color="000000" w:sz="4"/>
                    <w:right w:val="single" w:color="000000" w:sz="4"/>
                  </w:tcBorders>
                </w:tcPr>
                <w:p/>
              </w:tc>
              <w:tc>
                <w:tcPr>
                  <w:tcW w:type="dxa" w:w="1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OKR药事考核</w:t>
                  </w:r>
                </w:p>
              </w:tc>
            </w:tr>
            <w:tr>
              <w:tc>
                <w:tcPr>
                  <w:tcW w:type="dxa" w:w="91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行政后勤绩效模块</w:t>
                  </w:r>
                </w:p>
              </w:tc>
              <w:tc>
                <w:tcPr>
                  <w:tcW w:type="dxa" w:w="1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岗位绩效激励</w:t>
                  </w:r>
                </w:p>
              </w:tc>
            </w:tr>
            <w:tr>
              <w:tc>
                <w:tcPr>
                  <w:tcW w:type="dxa" w:w="910"/>
                  <w:vMerge/>
                  <w:tcBorders>
                    <w:top w:val="none" w:color="000000" w:sz="4"/>
                    <w:left w:val="single" w:color="000000" w:sz="4"/>
                    <w:bottom w:val="single" w:color="000000" w:sz="4"/>
                    <w:right w:val="single" w:color="000000" w:sz="4"/>
                  </w:tcBorders>
                </w:tcPr>
                <w:p/>
              </w:tc>
              <w:tc>
                <w:tcPr>
                  <w:tcW w:type="dxa" w:w="1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OKR行后绩效考核</w:t>
                  </w:r>
                </w:p>
              </w:tc>
            </w:tr>
            <w:tr>
              <w:tc>
                <w:tcPr>
                  <w:tcW w:type="dxa" w:w="910"/>
                  <w:vMerge/>
                  <w:tcBorders>
                    <w:top w:val="none" w:color="000000" w:sz="4"/>
                    <w:left w:val="single" w:color="000000" w:sz="4"/>
                    <w:bottom w:val="single" w:color="000000" w:sz="4"/>
                    <w:right w:val="single" w:color="000000" w:sz="4"/>
                  </w:tcBorders>
                </w:tcPr>
                <w:p/>
              </w:tc>
              <w:tc>
                <w:tcPr>
                  <w:tcW w:type="dxa" w:w="1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医院统筹管理绩效</w:t>
                  </w:r>
                </w:p>
              </w:tc>
            </w:tr>
          </w:tbl>
          <w:p>
            <w:pPr>
              <w:pStyle w:val="null3"/>
              <w:jc w:val="both"/>
            </w:pPr>
            <w:r>
              <w:rPr>
                <w:rFonts w:ascii="仿宋_GB2312" w:hAnsi="仿宋_GB2312" w:cs="仿宋_GB2312" w:eastAsia="仿宋_GB2312"/>
                <w:sz w:val="24"/>
                <w:b/>
              </w:rPr>
              <w:t>2.设计技术要求</w:t>
            </w:r>
          </w:p>
          <w:p>
            <w:pPr>
              <w:pStyle w:val="null3"/>
              <w:spacing w:before="75"/>
              <w:ind w:left="480" w:firstLine="238"/>
              <w:jc w:val="both"/>
            </w:pPr>
            <w:r>
              <w:rPr>
                <w:rFonts w:ascii="仿宋_GB2312" w:hAnsi="仿宋_GB2312" w:cs="仿宋_GB2312" w:eastAsia="仿宋_GB2312"/>
                <w:sz w:val="24"/>
              </w:rPr>
              <w:t>OKR</w:t>
            </w:r>
            <w:r>
              <w:rPr>
                <w:rFonts w:ascii="仿宋_GB2312" w:hAnsi="仿宋_GB2312" w:cs="仿宋_GB2312" w:eastAsia="仿宋_GB2312"/>
                <w:sz w:val="24"/>
              </w:rPr>
              <w:t>、</w:t>
            </w:r>
            <w:r>
              <w:rPr>
                <w:rFonts w:ascii="仿宋_GB2312" w:hAnsi="仿宋_GB2312" w:cs="仿宋_GB2312" w:eastAsia="仿宋_GB2312"/>
                <w:sz w:val="24"/>
              </w:rPr>
              <w:t>RBRVS、DRGS</w:t>
            </w:r>
            <w:r>
              <w:rPr>
                <w:rFonts w:ascii="仿宋_GB2312" w:hAnsi="仿宋_GB2312" w:cs="仿宋_GB2312" w:eastAsia="仿宋_GB2312"/>
                <w:sz w:val="21"/>
              </w:rPr>
              <w:t xml:space="preserve"> </w:t>
            </w:r>
            <w:r>
              <w:rPr>
                <w:rFonts w:ascii="仿宋_GB2312" w:hAnsi="仿宋_GB2312" w:cs="仿宋_GB2312" w:eastAsia="仿宋_GB2312"/>
                <w:sz w:val="24"/>
              </w:rPr>
              <w:t>等；</w:t>
            </w:r>
          </w:p>
          <w:p>
            <w:pPr>
              <w:pStyle w:val="null3"/>
              <w:spacing w:before="75"/>
              <w:ind w:left="480"/>
              <w:jc w:val="both"/>
            </w:pPr>
            <w:r>
              <w:rPr>
                <w:rFonts w:ascii="仿宋_GB2312" w:hAnsi="仿宋_GB2312" w:cs="仿宋_GB2312" w:eastAsia="仿宋_GB2312"/>
                <w:sz w:val="24"/>
                <w:b/>
              </w:rPr>
              <w:t>3.项目成果</w:t>
            </w:r>
          </w:p>
          <w:p>
            <w:pPr>
              <w:pStyle w:val="null3"/>
              <w:spacing w:before="75"/>
              <w:ind w:left="480"/>
              <w:jc w:val="both"/>
            </w:pPr>
            <w:r>
              <w:rPr>
                <w:rFonts w:ascii="仿宋_GB2312" w:hAnsi="仿宋_GB2312" w:cs="仿宋_GB2312" w:eastAsia="仿宋_GB2312"/>
                <w:sz w:val="24"/>
                <w:b/>
              </w:rPr>
              <w:t>3.1</w:t>
            </w:r>
            <w:r>
              <w:rPr>
                <w:rFonts w:ascii="仿宋_GB2312" w:hAnsi="仿宋_GB2312" w:cs="仿宋_GB2312" w:eastAsia="仿宋_GB2312"/>
                <w:sz w:val="21"/>
              </w:rPr>
              <w:t xml:space="preserve"> </w:t>
            </w:r>
            <w:r>
              <w:rPr>
                <w:rFonts w:ascii="仿宋_GB2312" w:hAnsi="仿宋_GB2312" w:cs="仿宋_GB2312" w:eastAsia="仿宋_GB2312"/>
                <w:sz w:val="24"/>
                <w:b/>
              </w:rPr>
              <w:t>职能</w:t>
            </w:r>
            <w:r>
              <w:rPr>
                <w:rFonts w:ascii="仿宋_GB2312" w:hAnsi="仿宋_GB2312" w:cs="仿宋_GB2312" w:eastAsia="仿宋_GB2312"/>
                <w:sz w:val="24"/>
                <w:b/>
              </w:rPr>
              <w:t>“三定</w:t>
            </w:r>
            <w:r>
              <w:rPr>
                <w:rFonts w:ascii="仿宋_GB2312" w:hAnsi="仿宋_GB2312" w:cs="仿宋_GB2312" w:eastAsia="仿宋_GB2312"/>
                <w:sz w:val="21"/>
              </w:rPr>
              <w:t xml:space="preserve"> </w:t>
            </w:r>
            <w:r>
              <w:rPr>
                <w:rFonts w:ascii="仿宋_GB2312" w:hAnsi="仿宋_GB2312" w:cs="仿宋_GB2312" w:eastAsia="仿宋_GB2312"/>
                <w:sz w:val="24"/>
                <w:b/>
              </w:rPr>
              <w:t>”预期成果：</w:t>
            </w:r>
          </w:p>
          <w:p>
            <w:pPr>
              <w:pStyle w:val="null3"/>
              <w:spacing w:before="75"/>
              <w:ind w:right="75" w:firstLine="502"/>
              <w:jc w:val="both"/>
            </w:pPr>
            <w:r>
              <w:rPr>
                <w:rFonts w:ascii="仿宋_GB2312" w:hAnsi="仿宋_GB2312" w:cs="仿宋_GB2312" w:eastAsia="仿宋_GB2312"/>
                <w:sz w:val="24"/>
              </w:rPr>
              <w:t>岗位设置科学合理：岗位设置符合医院发展战略</w:t>
            </w:r>
            <w:r>
              <w:rPr>
                <w:rFonts w:ascii="仿宋_GB2312" w:hAnsi="仿宋_GB2312" w:cs="仿宋_GB2312" w:eastAsia="仿宋_GB2312"/>
                <w:sz w:val="24"/>
              </w:rPr>
              <w:t>、</w:t>
            </w:r>
            <w:r>
              <w:rPr>
                <w:rFonts w:ascii="仿宋_GB2312" w:hAnsi="仿宋_GB2312" w:cs="仿宋_GB2312" w:eastAsia="仿宋_GB2312"/>
                <w:sz w:val="24"/>
              </w:rPr>
              <w:t>业务需求</w:t>
            </w:r>
            <w:r>
              <w:rPr>
                <w:rFonts w:ascii="仿宋_GB2312" w:hAnsi="仿宋_GB2312" w:cs="仿宋_GB2312" w:eastAsia="仿宋_GB2312"/>
                <w:sz w:val="24"/>
              </w:rPr>
              <w:t>及中医医院标准</w:t>
            </w:r>
            <w:r>
              <w:rPr>
                <w:rFonts w:ascii="仿宋_GB2312" w:hAnsi="仿宋_GB2312" w:cs="仿宋_GB2312" w:eastAsia="仿宋_GB2312"/>
                <w:sz w:val="24"/>
              </w:rPr>
              <w:t>，关</w:t>
            </w:r>
            <w:r>
              <w:rPr>
                <w:rFonts w:ascii="仿宋_GB2312" w:hAnsi="仿宋_GB2312" w:cs="仿宋_GB2312" w:eastAsia="仿宋_GB2312"/>
                <w:sz w:val="24"/>
              </w:rPr>
              <w:t>键岗位和辅助岗位</w:t>
            </w:r>
            <w:r>
              <w:rPr>
                <w:rFonts w:ascii="仿宋_GB2312" w:hAnsi="仿宋_GB2312" w:cs="仿宋_GB2312" w:eastAsia="仿宋_GB2312"/>
                <w:sz w:val="24"/>
              </w:rPr>
              <w:t>设置合理。</w:t>
            </w:r>
          </w:p>
          <w:p>
            <w:pPr>
              <w:pStyle w:val="null3"/>
              <w:ind w:left="480"/>
              <w:jc w:val="both"/>
            </w:pPr>
            <w:r>
              <w:rPr>
                <w:rFonts w:ascii="仿宋_GB2312" w:hAnsi="仿宋_GB2312" w:cs="仿宋_GB2312" w:eastAsia="仿宋_GB2312"/>
                <w:sz w:val="24"/>
              </w:rPr>
              <w:t>人员编制优化：各岗位人员编制合理，避免人力资源浪费或不足。</w:t>
            </w:r>
          </w:p>
          <w:p>
            <w:pPr>
              <w:pStyle w:val="null3"/>
              <w:spacing w:before="75"/>
              <w:ind w:left="480"/>
              <w:jc w:val="both"/>
            </w:pPr>
            <w:r>
              <w:rPr>
                <w:rFonts w:ascii="仿宋_GB2312" w:hAnsi="仿宋_GB2312" w:cs="仿宋_GB2312" w:eastAsia="仿宋_GB2312"/>
                <w:sz w:val="24"/>
              </w:rPr>
              <w:t>工作职责清晰：各岗位工作职责明确，权责清晰</w:t>
            </w:r>
            <w:r>
              <w:rPr>
                <w:rFonts w:ascii="仿宋_GB2312" w:hAnsi="仿宋_GB2312" w:cs="仿宋_GB2312" w:eastAsia="仿宋_GB2312"/>
                <w:sz w:val="24"/>
              </w:rPr>
              <w:t>，提升工作效率和员工满意度。</w:t>
            </w:r>
          </w:p>
          <w:p>
            <w:pPr>
              <w:pStyle w:val="null3"/>
              <w:spacing w:before="75"/>
              <w:ind w:right="75" w:firstLine="480"/>
              <w:jc w:val="both"/>
            </w:pPr>
            <w:r>
              <w:rPr>
                <w:rFonts w:ascii="仿宋_GB2312" w:hAnsi="仿宋_GB2312" w:cs="仿宋_GB2312" w:eastAsia="仿宋_GB2312"/>
                <w:sz w:val="24"/>
              </w:rPr>
              <w:t>管理水平提升：通过</w:t>
            </w:r>
            <w:r>
              <w:rPr>
                <w:rFonts w:ascii="仿宋_GB2312" w:hAnsi="仿宋_GB2312" w:cs="仿宋_GB2312" w:eastAsia="仿宋_GB2312"/>
                <w:sz w:val="24"/>
              </w:rPr>
              <w:t>“三定</w:t>
            </w:r>
            <w:r>
              <w:rPr>
                <w:rFonts w:ascii="仿宋_GB2312" w:hAnsi="仿宋_GB2312" w:cs="仿宋_GB2312" w:eastAsia="仿宋_GB2312"/>
                <w:sz w:val="21"/>
              </w:rPr>
              <w:t xml:space="preserve"> </w:t>
            </w:r>
            <w:r>
              <w:rPr>
                <w:rFonts w:ascii="仿宋_GB2312" w:hAnsi="仿宋_GB2312" w:cs="仿宋_GB2312" w:eastAsia="仿宋_GB2312"/>
                <w:sz w:val="24"/>
              </w:rPr>
              <w:t>”工作，提升医院整体管理水平，为医院可持续发展奠</w:t>
            </w:r>
            <w:r>
              <w:rPr>
                <w:rFonts w:ascii="仿宋_GB2312" w:hAnsi="仿宋_GB2312" w:cs="仿宋_GB2312" w:eastAsia="仿宋_GB2312"/>
                <w:sz w:val="24"/>
              </w:rPr>
              <w:t>定基础。</w:t>
            </w:r>
          </w:p>
          <w:p>
            <w:pPr>
              <w:pStyle w:val="null3"/>
              <w:ind w:left="480"/>
              <w:jc w:val="both"/>
            </w:pPr>
            <w:r>
              <w:rPr>
                <w:rFonts w:ascii="仿宋_GB2312" w:hAnsi="仿宋_GB2312" w:cs="仿宋_GB2312" w:eastAsia="仿宋_GB2312"/>
                <w:sz w:val="24"/>
                <w:b/>
              </w:rPr>
              <w:t>3.2</w:t>
            </w:r>
            <w:r>
              <w:rPr>
                <w:rFonts w:ascii="仿宋_GB2312" w:hAnsi="仿宋_GB2312" w:cs="仿宋_GB2312" w:eastAsia="仿宋_GB2312"/>
                <w:sz w:val="21"/>
              </w:rPr>
              <w:t xml:space="preserve"> </w:t>
            </w:r>
            <w:r>
              <w:rPr>
                <w:rFonts w:ascii="仿宋_GB2312" w:hAnsi="仿宋_GB2312" w:cs="仿宋_GB2312" w:eastAsia="仿宋_GB2312"/>
                <w:sz w:val="24"/>
                <w:b/>
              </w:rPr>
              <w:t>绩效预期成果</w:t>
            </w:r>
          </w:p>
          <w:p>
            <w:pPr>
              <w:pStyle w:val="null3"/>
              <w:spacing w:before="75"/>
              <w:ind w:right="75" w:firstLine="477"/>
              <w:jc w:val="both"/>
            </w:pPr>
            <w:r>
              <w:rPr>
                <w:rFonts w:ascii="仿宋_GB2312" w:hAnsi="仿宋_GB2312" w:cs="仿宋_GB2312" w:eastAsia="仿宋_GB2312"/>
                <w:sz w:val="24"/>
              </w:rPr>
              <w:t>科学的绩效管理体系：建立一套符合医院</w:t>
            </w:r>
            <w:r>
              <w:rPr>
                <w:rFonts w:ascii="仿宋_GB2312" w:hAnsi="仿宋_GB2312" w:cs="仿宋_GB2312" w:eastAsia="仿宋_GB2312"/>
                <w:sz w:val="24"/>
              </w:rPr>
              <w:t>实际及</w:t>
            </w:r>
            <w:r>
              <w:rPr>
                <w:rFonts w:ascii="仿宋_GB2312" w:hAnsi="仿宋_GB2312" w:cs="仿宋_GB2312" w:eastAsia="仿宋_GB2312"/>
                <w:sz w:val="24"/>
              </w:rPr>
              <w:t>战略目标的绩效管理体系，提升医院的管</w:t>
            </w:r>
            <w:r>
              <w:rPr>
                <w:rFonts w:ascii="仿宋_GB2312" w:hAnsi="仿宋_GB2312" w:cs="仿宋_GB2312" w:eastAsia="仿宋_GB2312"/>
                <w:sz w:val="24"/>
              </w:rPr>
              <w:t>理水平。</w:t>
            </w:r>
          </w:p>
          <w:p>
            <w:pPr>
              <w:pStyle w:val="null3"/>
              <w:jc w:val="left"/>
            </w:pPr>
            <w:r>
              <w:rPr>
                <w:rFonts w:ascii="仿宋_GB2312" w:hAnsi="仿宋_GB2312" w:cs="仿宋_GB2312" w:eastAsia="仿宋_GB2312"/>
                <w:sz w:val="21"/>
              </w:rPr>
              <w:t xml:space="preserve">    </w:t>
            </w:r>
            <w:r>
              <w:rPr>
                <w:rFonts w:ascii="仿宋_GB2312" w:hAnsi="仿宋_GB2312" w:cs="仿宋_GB2312" w:eastAsia="仿宋_GB2312"/>
                <w:sz w:val="24"/>
              </w:rPr>
              <w:t>提升医疗服务质量：通过绩效改革，激励医务人员提高服务质量，提升患者满意度。</w:t>
            </w:r>
          </w:p>
          <w:p>
            <w:pPr>
              <w:pStyle w:val="null3"/>
              <w:spacing w:before="75"/>
              <w:ind w:left="480"/>
              <w:jc w:val="both"/>
            </w:pPr>
            <w:r>
              <w:rPr>
                <w:rFonts w:ascii="仿宋_GB2312" w:hAnsi="仿宋_GB2312" w:cs="仿宋_GB2312" w:eastAsia="仿宋_GB2312"/>
                <w:sz w:val="24"/>
              </w:rPr>
              <w:t>提高运营效率：优化资源配置，降低运营成本</w:t>
            </w:r>
            <w:r>
              <w:rPr>
                <w:rFonts w:ascii="仿宋_GB2312" w:hAnsi="仿宋_GB2312" w:cs="仿宋_GB2312" w:eastAsia="仿宋_GB2312"/>
                <w:sz w:val="24"/>
              </w:rPr>
              <w:t>，提升医院整体运营效率。</w:t>
            </w:r>
          </w:p>
          <w:p>
            <w:pPr>
              <w:pStyle w:val="null3"/>
              <w:spacing w:before="75"/>
              <w:ind w:right="75" w:firstLine="477"/>
              <w:jc w:val="both"/>
            </w:pPr>
            <w:r>
              <w:rPr>
                <w:rFonts w:ascii="仿宋_GB2312" w:hAnsi="仿宋_GB2312" w:cs="仿宋_GB2312" w:eastAsia="仿宋_GB2312"/>
                <w:sz w:val="24"/>
              </w:rPr>
              <w:t>增强员工积极性：通过公平、透明的绩效激励机制，激发员工的工作积极性和创造</w:t>
            </w:r>
            <w:r>
              <w:rPr>
                <w:rFonts w:ascii="仿宋_GB2312" w:hAnsi="仿宋_GB2312" w:cs="仿宋_GB2312" w:eastAsia="仿宋_GB2312"/>
                <w:sz w:val="24"/>
              </w:rPr>
              <w:t>力。</w:t>
            </w:r>
          </w:p>
          <w:p>
            <w:pPr>
              <w:pStyle w:val="null3"/>
              <w:spacing w:before="75"/>
              <w:ind w:left="480"/>
              <w:jc w:val="both"/>
            </w:pPr>
            <w:r>
              <w:rPr>
                <w:rFonts w:ascii="仿宋_GB2312" w:hAnsi="仿宋_GB2312" w:cs="仿宋_GB2312" w:eastAsia="仿宋_GB2312"/>
                <w:sz w:val="24"/>
                <w:b/>
              </w:rPr>
              <w:t>5.服务要求</w:t>
            </w:r>
          </w:p>
          <w:p>
            <w:pPr>
              <w:pStyle w:val="null3"/>
              <w:spacing w:before="75"/>
              <w:ind w:left="495"/>
              <w:jc w:val="both"/>
            </w:pPr>
            <w:r>
              <w:rPr>
                <w:rFonts w:ascii="仿宋_GB2312" w:hAnsi="仿宋_GB2312" w:cs="仿宋_GB2312" w:eastAsia="仿宋_GB2312"/>
                <w:sz w:val="24"/>
              </w:rPr>
              <w:t>（</w:t>
            </w:r>
            <w:r>
              <w:rPr>
                <w:rFonts w:ascii="仿宋_GB2312" w:hAnsi="仿宋_GB2312" w:cs="仿宋_GB2312" w:eastAsia="仿宋_GB2312"/>
                <w:sz w:val="24"/>
              </w:rPr>
              <w:t>1）作业能力强，制度健全，管理规范；</w:t>
            </w:r>
          </w:p>
          <w:p>
            <w:pPr>
              <w:pStyle w:val="null3"/>
              <w:spacing w:before="75"/>
              <w:ind w:left="495"/>
              <w:jc w:val="both"/>
            </w:pPr>
            <w:r>
              <w:rPr>
                <w:rFonts w:ascii="仿宋_GB2312" w:hAnsi="仿宋_GB2312" w:cs="仿宋_GB2312" w:eastAsia="仿宋_GB2312"/>
                <w:sz w:val="24"/>
              </w:rPr>
              <w:t>（</w:t>
            </w:r>
            <w:r>
              <w:rPr>
                <w:rFonts w:ascii="仿宋_GB2312" w:hAnsi="仿宋_GB2312" w:cs="仿宋_GB2312" w:eastAsia="仿宋_GB2312"/>
                <w:sz w:val="24"/>
              </w:rPr>
              <w:t>2）针对本项目特点，制定科学有效的技术方案和工作方案</w:t>
            </w:r>
            <w:r>
              <w:rPr>
                <w:rFonts w:ascii="仿宋_GB2312" w:hAnsi="仿宋_GB2312" w:cs="仿宋_GB2312" w:eastAsia="仿宋_GB2312"/>
                <w:sz w:val="24"/>
              </w:rPr>
              <w:t>。</w:t>
            </w:r>
          </w:p>
          <w:p>
            <w:pPr>
              <w:pStyle w:val="null3"/>
              <w:spacing w:before="75"/>
              <w:ind w:left="495"/>
              <w:jc w:val="both"/>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）立足医院现状科学有序访谈相关工作人员</w:t>
            </w:r>
          </w:p>
          <w:p>
            <w:pPr>
              <w:pStyle w:val="null3"/>
              <w:spacing w:before="75"/>
              <w:ind w:left="495"/>
              <w:jc w:val="both"/>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）及时呈现阶段性成果资料</w:t>
            </w:r>
          </w:p>
          <w:p>
            <w:pPr>
              <w:pStyle w:val="null3"/>
              <w:spacing w:before="75"/>
              <w:ind w:left="495"/>
              <w:jc w:val="both"/>
            </w:pPr>
            <w:r>
              <w:rPr>
                <w:rFonts w:ascii="仿宋_GB2312" w:hAnsi="仿宋_GB2312" w:cs="仿宋_GB2312" w:eastAsia="仿宋_GB2312"/>
                <w:sz w:val="24"/>
              </w:rPr>
              <w:t>（</w:t>
            </w:r>
            <w:r>
              <w:rPr>
                <w:rFonts w:ascii="仿宋_GB2312" w:hAnsi="仿宋_GB2312" w:cs="仿宋_GB2312" w:eastAsia="仿宋_GB2312"/>
                <w:sz w:val="24"/>
              </w:rPr>
              <w:t>5）方案落实阶段及时跟进，根据实际及时调整方案不足</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根据磋商文件、响应文件要求及合同约定执行。</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根据磋商文件、响应文件要求及合同约定执行。</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自合同签订之日起至本项目结束</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完成后。验收合格条件为：符合国家标准和行业标准及合同要求，符合招标文件、乙方的投标文件、澄清文件和中标通知书的要求等,乙方应严格按照上述及采购人要求实施项目服务。注：乙方应保证交付的成果文件已参照已有的相关规划，并遵循中华人民共和国及地方的有关法律规范，并符合本项目服务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进度款，完成访谈出具正式的调研报告经甲方验收合格后，达到付款条件起30个工作日内，支付合同总金额的30.0%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进度款，提交合理完整的绩效管理和组织管理方案并完成解读及培训，经甲方验收合格后，达到付款条件起30个工作日内，支付合同总金额的40.0%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进度款，提交最终版方案经甲方验收合格后，达到付款条件起30个工作日内，支付合同总金额的30.0%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2.供应商未按合同要求提供服务或服务质量不能满足技术要求，且在规定时间内未使采购人满意的，采购人有权解除合同，同时报请政府采购监管部门对其违约行为进行追究。</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服务期:自合同签订之日起至本项目结束。2、服务地点:采购人指定地点。3、付款方式：1.完成访谈出具正式的调研报告经甲方验收合格后，支付合同总额的30%；2.提交合理完整的绩效管理和组织管理方案并完成解读及培训，经甲方验收合格后，支付合同总额的40%；3.方案试运行一个月，提交最终版方案经甲方验收合格后，支付合同总额的30%；（付款方式以此条为准）。4、本项目完成后半年内，甲方在运行的过程中出现的任何问题，乙方有义务配合甲方进行方案调整及核算。</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上传相应的证明文件。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提供具有财务审计资质单位出具的2025年度完整的财务报告（成立时间至提交文件截止时间不足一年的可提供成立后任意时段的资产负债表）或开标前六个月内其基本账户银行出具的资信证明和开户许可证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上传相应的证明文件。</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 , 并出具合法有效的营业执照或事业单位法人证书等国家规定的相关证明， 自然人参与的提供其身份证明；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提供响应时间前六个月内已缴存的至少一个月的社会保障资金缴存单据或社保机构开具的社会保险参保缴费情况证明，依法不需要缴纳社会保障资金的单位应提供相关证明材料；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提供响应时间前六个月内已缴纳的至少一个月的纳税证明或完税证明，依法免税的单位应提供相关证明材料；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履约能力声明</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三年无违法声明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身份证明</w:t>
            </w:r>
          </w:p>
        </w:tc>
        <w:tc>
          <w:tcPr>
            <w:tcW w:type="dxa" w:w="3322"/>
          </w:tcPr>
          <w:p>
            <w:pPr>
              <w:pStyle w:val="null3"/>
            </w:pPr>
            <w:r>
              <w:rPr>
                <w:rFonts w:ascii="仿宋_GB2312" w:hAnsi="仿宋_GB2312" w:cs="仿宋_GB2312" w:eastAsia="仿宋_GB2312"/>
              </w:rPr>
              <w:t>法定代表人授权书（附法定代表人、被授权人身份证复印件）（法定代表人直接参加的，须提供法定代表人身份证明），分支机构由负责人授权即可；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应符合磋商文件的格式要求。</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文件格式</w:t>
            </w:r>
          </w:p>
        </w:tc>
        <w:tc>
          <w:tcPr>
            <w:tcW w:type="dxa" w:w="3322"/>
          </w:tcPr>
          <w:p>
            <w:pPr>
              <w:pStyle w:val="null3"/>
            </w:pPr>
            <w:r>
              <w:rPr>
                <w:rFonts w:ascii="仿宋_GB2312" w:hAnsi="仿宋_GB2312" w:cs="仿宋_GB2312" w:eastAsia="仿宋_GB2312"/>
              </w:rPr>
              <w:t>应符合磋商文件的格式要求，可以扩充。</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第一次磋商报价</w:t>
            </w:r>
          </w:p>
        </w:tc>
        <w:tc>
          <w:tcPr>
            <w:tcW w:type="dxa" w:w="3322"/>
          </w:tcPr>
          <w:p>
            <w:pPr>
              <w:pStyle w:val="null3"/>
            </w:pPr>
            <w:r>
              <w:rPr>
                <w:rFonts w:ascii="仿宋_GB2312" w:hAnsi="仿宋_GB2312" w:cs="仿宋_GB2312" w:eastAsia="仿宋_GB2312"/>
              </w:rPr>
              <w:t>第一次磋商报价不超过最高限价。</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应符合磋商文件的要求。</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投标文件内容</w:t>
            </w:r>
          </w:p>
        </w:tc>
        <w:tc>
          <w:tcPr>
            <w:tcW w:type="dxa" w:w="3322"/>
          </w:tcPr>
          <w:p>
            <w:pPr>
              <w:pStyle w:val="null3"/>
            </w:pPr>
            <w:r>
              <w:rPr>
                <w:rFonts w:ascii="仿宋_GB2312" w:hAnsi="仿宋_GB2312" w:cs="仿宋_GB2312" w:eastAsia="仿宋_GB2312"/>
              </w:rPr>
              <w:t>应符合磋商文件的要求。</w:t>
            </w:r>
          </w:p>
        </w:tc>
        <w:tc>
          <w:tcPr>
            <w:tcW w:type="dxa" w:w="1661"/>
          </w:tcPr>
          <w:p>
            <w:pPr>
              <w:pStyle w:val="null3"/>
            </w:pPr>
            <w:r>
              <w:rPr>
                <w:rFonts w:ascii="仿宋_GB2312" w:hAnsi="仿宋_GB2312" w:cs="仿宋_GB2312" w:eastAsia="仿宋_GB2312"/>
              </w:rPr>
              <w:t>响应文件封面 服务内容及服务要求应答表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项目整体实施方案</w:t>
            </w:r>
          </w:p>
        </w:tc>
        <w:tc>
          <w:tcPr>
            <w:tcW w:type="dxa" w:w="2492"/>
          </w:tcPr>
          <w:p>
            <w:pPr>
              <w:pStyle w:val="null3"/>
            </w:pPr>
            <w:r>
              <w:rPr>
                <w:rFonts w:ascii="仿宋_GB2312" w:hAnsi="仿宋_GB2312" w:cs="仿宋_GB2312" w:eastAsia="仿宋_GB2312"/>
              </w:rPr>
              <w:t>一、评审内容：①项目整体实施思路与整体规划；②项目实施阶段流程与进度管控措施；③方案与中医医院发展战略、业务特色、项目核心需求的适配设计。二、评审标准： 1、完整性：方案须全面，对评审内容中的各项要求有详细描述及说明； 2、可实施性：切合本项目实际情况，实施步骤清晰、合理； 3、针对性：方案能够紧扣项目实际情况，内容科学合理； 三、赋分标准（满分9分）：每项评审内容每完全满足一项评审标准得 1分，满分3分，共 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职能三定与岗位编制优化专项方案</w:t>
            </w:r>
          </w:p>
        </w:tc>
        <w:tc>
          <w:tcPr>
            <w:tcW w:type="dxa" w:w="2492"/>
          </w:tcPr>
          <w:p>
            <w:pPr>
              <w:pStyle w:val="null3"/>
            </w:pPr>
            <w:r>
              <w:rPr>
                <w:rFonts w:ascii="仿宋_GB2312" w:hAnsi="仿宋_GB2312" w:cs="仿宋_GB2312" w:eastAsia="仿宋_GB2312"/>
              </w:rPr>
              <w:t>一、评审内容：①全院科室职能梳理与权责界定方案；②岗位设置、工作量核定、人员编制优化方案；③跨部门业务融合、岗位编制动态调整机制设计。 二、评审标准： 1、完整性：方案须全面，对评审内容中的各项要求有详细描述及说明； 2、可实施性：切合本项目实际情况，实施步骤清晰、合理； 3、针对性：方案能够紧扣项目实际情况，内容科学合理； 三、赋分标准（满分9分）：每项评审内容每完全满足一项评审标准得 1分，满分3分，共 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多职系绩效管理体系设计方案</w:t>
            </w:r>
          </w:p>
        </w:tc>
        <w:tc>
          <w:tcPr>
            <w:tcW w:type="dxa" w:w="2492"/>
          </w:tcPr>
          <w:p>
            <w:pPr>
              <w:pStyle w:val="null3"/>
            </w:pPr>
            <w:r>
              <w:rPr>
                <w:rFonts w:ascii="仿宋_GB2312" w:hAnsi="仿宋_GB2312" w:cs="仿宋_GB2312" w:eastAsia="仿宋_GB2312"/>
              </w:rPr>
              <w:t>一、评审内容：①医、护、技、药、行政后勤全职系绩效考核方案设计；②DRG/DIP、RBRVS、中医药服务价值专项激励机制；③OKR目标考核与岗位绩效融合应用落地方案。 二、评审标准： 1、完整性：方案须全面，对评审内容中的各项要求有详细描述及说明； 2、可实施性：切合本项目实际情况，实施步骤清晰、合理； 3、针对性：方案能够紧扣项目实际情况，内容科学合理； 三、赋分标准（满分9分）：每项评审内容每完全满足一项评审标准得 1分，满分3分，共 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项目落地实施与动态优化辅导方案</w:t>
            </w:r>
          </w:p>
        </w:tc>
        <w:tc>
          <w:tcPr>
            <w:tcW w:type="dxa" w:w="2492"/>
          </w:tcPr>
          <w:p>
            <w:pPr>
              <w:pStyle w:val="null3"/>
            </w:pPr>
            <w:r>
              <w:rPr>
                <w:rFonts w:ascii="仿宋_GB2312" w:hAnsi="仿宋_GB2312" w:cs="仿宋_GB2312" w:eastAsia="仿宋_GB2312"/>
              </w:rPr>
              <w:t>一、评审内容：①项目阶段性成果输出、审核与交付机制；②方案落地跟进、试运行整改、动态优化服务措施。二、评审标准： 1、完整性：方案须全面，对评审内容中的各项要求有详细描述及说明； 2、可实施性：切合本项目实际情况，实施步骤清晰、合理； 3、针对性：方案能够紧扣项目实际情况，内容科学合理； 三、赋分标准（满分6分）：每项评审内容每完全满足一项评审标准得 1分，满分3分，共 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项目质量管控、风险防控方案</w:t>
            </w:r>
          </w:p>
        </w:tc>
        <w:tc>
          <w:tcPr>
            <w:tcW w:type="dxa" w:w="2492"/>
          </w:tcPr>
          <w:p>
            <w:pPr>
              <w:pStyle w:val="null3"/>
            </w:pPr>
            <w:r>
              <w:rPr>
                <w:rFonts w:ascii="仿宋_GB2312" w:hAnsi="仿宋_GB2312" w:cs="仿宋_GB2312" w:eastAsia="仿宋_GB2312"/>
              </w:rPr>
              <w:t>一、评审内容：①项目质量、进度全过程管控措施；②绩效改革、制度落地、人员适配专项风险防控方案。 二、评审标准： 1、完整性：方案须全面，对评审内容中的各项要求有详细描述及说明； 2、可实施性：切合本项目实际情况，实施步骤清晰、合理； 3、针对性：方案能够紧扣项目实际情况，内容科学合理； 三、赋分标准（满分6分）：每项评审内容每完全满足一项评审标准得 1分，满分3分，共6分。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拟派项目负责人具有执行绩效管理及组织管理服务项目相关经验的，每提供1份证明材料(项目验收证明或项目用户评价或合同)得2分，最高得10分。注：需提供项目负责人开标截止日前六个月内近一个月的社保证明、聘用合同复印件、项目验收证明或项目用户评价或合同。</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拟派项目团队成员具有执行绩效管理及组织管理服务项目相关经验的（项目验收证明或项目用户评价或合同），每提供一人证明材料得2分，最高得12分。注：需提供人员开标截止日前六个月内近一个月的社保证明、聘用合同复印件、项目验收证明或项目用户评价或合同。</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针对本项目提供真实、具体的服务承诺：1、保密承诺：提供针对本医院项目的专属保密承诺；2、合规性承诺：承诺所有交付成果真实合规、贴合中医医院标准及公立医院管理要求；3、服务保障承诺：承诺建立岗位动态调整机制、绩效长效评估机制，持续优化医院管理体系。每提供一份承诺得3分，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2023年7月至今承接过类似项目的业绩证明材料，每提供一个得2分，满分10分。（以提供的合同复印件为准）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1、经初审合格的投标响应文件，其投标报价为有效投标报价。 2、满足磋商文件实质性要求且最终报价最低的供应商的价格为评标基准价，其价格分为满分20分。 3、投标报价得分=（评标基准价/最终投标报价）×20。 4、投标报价不完整的，不进入投标基准价的计算，本项得0分。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详见附件：服务-合同格式.docx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