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版本号：ZXGJ-ZB14-2026-04220260814001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2026年化工园区和危险化学品重点监管点位安全风险评估项目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ZXGJ-ZB14-2026-042</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2026年化工园区和危险化学品重点监管点位安全风险评估项目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ZXGJ-ZB14-2026-042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2026年化工园区和危险化学品重点监管点位安全风险评估项目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化工和危险化学品安全生产治本攻坚三年行动要求，对实施重点监管、风险隐患相对集中的化工园区和危险化学品企业开展安全风险评估工作。通过评估，切实查找影响危险化学品安全的共性问题、突出问题和深层次问题，研判化工园区企业存在的系统性风险隐患，提升防范化解危险化学品领域重大安全风险能力，推动园区和企业落实安全主体责任，提升企业本质安全水平和安全管理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2、非联合体投标：本项目不接受联合体投标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029-61166177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王超、白丹、王涛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采购包2：1,307,520.00元</w:t>
            </w:r>
          </w:p>
          <w:p>
            <w:pPr>
              <w:pStyle w:val="null3"/>
            </w:pPr>
            <w:r>
              <w:rPr>
                <w:rFonts w:ascii="仿宋_GB2312" w:hAnsi="仿宋_GB2312" w:cs="仿宋_GB2312" w:eastAsia="仿宋_GB2312"/>
              </w:rPr>
              <w:t>采购包3：3,432,240.00元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照“国家计委关于印发《招标代理服务收费管理暂行办法》的通知（计价格[2002]1980号）、国家发展改革委《关于降低部分建设项目收费标准规范收费行为等有关问题的通知》（发改价格[2011]534号）”规定收费标准收取。结算时按采购包收取，以各采购包成交价为基数，按照合同签订收取比例100%计算招标代理服务费。采购包代理服务费不足捌仟元按捌仟元收取。 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联系人：王超、白丹</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地址：陕西省陕西省西安市未央区西安经济技术开发区凤城十二路首创禧悦里25幢A座16层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化工和危险化学品安全生产治本攻坚三年行动要求，对实施重点监管、风险隐患相对集中的化工园区和危险化学品企业开展安全风险评估工作。通过评估，切实查找影响危险化学品安全的共性问题、突出问题和深层次问题，研判化工园区企业存在的系统性风险隐患，提升防范化解危险化学品领域重大安全风险能力，推动园区和企业落实安全主体责任，提升企业本质安全水平和安全管理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化工园区安全风险评估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1,307,520.00</w:t>
      </w:r>
    </w:p>
    <w:p>
      <w:pPr>
        <w:pStyle w:val="null3"/>
      </w:pPr>
      <w:r>
        <w:rPr>
          <w:rFonts w:ascii="仿宋_GB2312" w:hAnsi="仿宋_GB2312" w:cs="仿宋_GB2312" w:eastAsia="仿宋_GB2312"/>
        </w:rPr>
        <w:t>采购包最高限价（元）: 1,307,520.00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危险化学品经营企业安全风险评估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1,307,520.00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3,432,240.00</w:t>
      </w:r>
    </w:p>
    <w:p>
      <w:pPr>
        <w:pStyle w:val="null3"/>
      </w:pPr>
      <w:r>
        <w:rPr>
          <w:rFonts w:ascii="仿宋_GB2312" w:hAnsi="仿宋_GB2312" w:cs="仿宋_GB2312" w:eastAsia="仿宋_GB2312"/>
        </w:rPr>
        <w:t>采购包最高限价（元）: 3,432,240.00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危险化学品生产企业安全风险评估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3,432,240.00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标的名称：化工园区安全风险评估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包1为化工园区评估标段，共10个化工园区，按照化工和危险化学品安全生产治本攻坚三年行动要求。通过评估，切实查找影响危险化学品安全生产的共性问题、突出管理问题和深层次问题，研判化工园区存在的系统性风险隐患，提升防范化解危险化学品领域重大安全风险能力，提升化工园区和园内企业本质安全水平和安全管理能力。</w:t>
            </w:r>
            <w:r>
              <w:br/>
            </w:r>
            <w:r>
              <w:rPr>
                <w:rFonts w:ascii="仿宋_GB2312" w:hAnsi="仿宋_GB2312" w:cs="仿宋_GB2312" w:eastAsia="仿宋_GB2312"/>
              </w:rPr>
              <w:t xml:space="preserve"> 二、技术要求</w:t>
            </w:r>
            <w:r>
              <w:br/>
            </w:r>
            <w:r>
              <w:rPr>
                <w:rFonts w:ascii="仿宋_GB2312" w:hAnsi="仿宋_GB2312" w:cs="仿宋_GB2312" w:eastAsia="仿宋_GB2312"/>
              </w:rPr>
              <w:t xml:space="preserve"> 围绕化工园区“十有两禁”建设、专业安全监管人员配备、安全防护距离、化工园区特殊作业安全监管抽查制度、承包商管理场景和智能化平台建设应用等内容开展1次深层次、全方位、解剖式安全风险评估，平均每个化工园区工作天数3天,总计工作时间不少于30个工作日。按照评估规则对化工园区进行打分评级，并指导化工园区对存在问题实施整改提升。</w:t>
            </w:r>
            <w:r>
              <w:br/>
            </w:r>
            <w:r>
              <w:rPr>
                <w:rFonts w:ascii="仿宋_GB2312" w:hAnsi="仿宋_GB2312" w:cs="仿宋_GB2312" w:eastAsia="仿宋_GB2312"/>
              </w:rPr>
              <w:t xml:space="preserve"> 三、人员配置要求</w:t>
            </w:r>
            <w:r>
              <w:br/>
            </w:r>
            <w:r>
              <w:rPr>
                <w:rFonts w:ascii="仿宋_GB2312" w:hAnsi="仿宋_GB2312" w:cs="仿宋_GB2312" w:eastAsia="仿宋_GB2312"/>
              </w:rPr>
              <w:t xml:space="preserve"> 评估要求配备1个工作组开展。每组涵盖园区规划、化工安全、安全管理、公用工程、消防应急等专业专家5名，并配备1位工作人员完成报告编写；复核要求专家组每组配备化工安全、安全管理等专业专家2名，并配备工作人员1名完成复核报告编写。</w:t>
            </w:r>
            <w:r>
              <w:br/>
            </w:r>
            <w:r>
              <w:rPr>
                <w:rFonts w:ascii="仿宋_GB2312" w:hAnsi="仿宋_GB2312" w:cs="仿宋_GB2312" w:eastAsia="仿宋_GB2312"/>
              </w:rPr>
              <w:t xml:space="preserve"> 四、成果要求</w:t>
            </w:r>
            <w:r>
              <w:br/>
            </w:r>
            <w:r>
              <w:rPr>
                <w:rFonts w:ascii="仿宋_GB2312" w:hAnsi="仿宋_GB2312" w:cs="仿宋_GB2312" w:eastAsia="仿宋_GB2312"/>
              </w:rPr>
              <w:t xml:space="preserve"> 1.10个园区安全风险评估报告（含打分）；</w:t>
            </w:r>
            <w:r>
              <w:br/>
            </w:r>
            <w:r>
              <w:rPr>
                <w:rFonts w:ascii="仿宋_GB2312" w:hAnsi="仿宋_GB2312" w:cs="仿宋_GB2312" w:eastAsia="仿宋_GB2312"/>
              </w:rPr>
              <w:t xml:space="preserve"> 2.结合2025年、2026年化工园区安全风险评估情况，对已评估的25个化工园区出具整体情况报告。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标的名称：危险化学品经营企业安全风险评估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包2为工业气体充装企业、8危险化学品仓库和易燃可燃液体储存企业评估标段，其中工业气体充装企业13家，危险化学品仓库4家，易燃可燃液体储存企业7家，共24家企业。通过评估切实查找影响企业安全生产的共性问题、突出问题和深层次问题，研判存在的系统性风险隐患，提升防范化解危险化学品领域重大安全风险能力，推动企业落实安全生产主体责任，提升企业本质安全水平和安全管理能力。</w:t>
            </w:r>
            <w:r>
              <w:br/>
            </w:r>
            <w:r>
              <w:rPr>
                <w:rFonts w:ascii="仿宋_GB2312" w:hAnsi="仿宋_GB2312" w:cs="仿宋_GB2312" w:eastAsia="仿宋_GB2312"/>
              </w:rPr>
              <w:t xml:space="preserve"> 二、技术要求</w:t>
            </w:r>
            <w:r>
              <w:br/>
            </w:r>
            <w:r>
              <w:rPr>
                <w:rFonts w:ascii="仿宋_GB2312" w:hAnsi="仿宋_GB2312" w:cs="仿宋_GB2312" w:eastAsia="仿宋_GB2312"/>
              </w:rPr>
              <w:t xml:space="preserve"> 对工业气体充装企业、8危险化学品仓库和易燃可燃液体储存企业等，共24家企业开展1次深层次、全方位、解剖式安全风险评估，平均每家企业工作天数为2-3天,总计工作时间不少于48个工作日。</w:t>
            </w:r>
            <w:r>
              <w:br/>
            </w:r>
            <w:r>
              <w:rPr>
                <w:rFonts w:ascii="仿宋_GB2312" w:hAnsi="仿宋_GB2312" w:cs="仿宋_GB2312" w:eastAsia="仿宋_GB2312"/>
              </w:rPr>
              <w:t xml:space="preserve"> 三、人员配置要求</w:t>
            </w:r>
            <w:r>
              <w:br/>
            </w:r>
            <w:r>
              <w:rPr>
                <w:rFonts w:ascii="仿宋_GB2312" w:hAnsi="仿宋_GB2312" w:cs="仿宋_GB2312" w:eastAsia="仿宋_GB2312"/>
              </w:rPr>
              <w:t xml:space="preserve"> 评估要求配备1个工作组开展。每组涵盖安全管理、工艺管理、设备管理、电气仪表、设计总图等专业专家5名，并配备1位工作人员完成报告编写；复核要求专家组每组配备安全工艺、机电仪等专业专家2名，并配备工作人员1名完成复核报告编写。</w:t>
            </w:r>
            <w:r>
              <w:br/>
            </w:r>
            <w:r>
              <w:rPr>
                <w:rFonts w:ascii="仿宋_GB2312" w:hAnsi="仿宋_GB2312" w:cs="仿宋_GB2312" w:eastAsia="仿宋_GB2312"/>
              </w:rPr>
              <w:t xml:space="preserve"> 四、成果要求</w:t>
            </w:r>
            <w:r>
              <w:br/>
            </w:r>
            <w:r>
              <w:rPr>
                <w:rFonts w:ascii="仿宋_GB2312" w:hAnsi="仿宋_GB2312" w:cs="仿宋_GB2312" w:eastAsia="仿宋_GB2312"/>
              </w:rPr>
              <w:t xml:space="preserve"> 1.24家企业安全风险评估报告（含打分）；</w:t>
            </w:r>
            <w:r>
              <w:br/>
            </w:r>
            <w:r>
              <w:rPr>
                <w:rFonts w:ascii="仿宋_GB2312" w:hAnsi="仿宋_GB2312" w:cs="仿宋_GB2312" w:eastAsia="仿宋_GB2312"/>
              </w:rPr>
              <w:t xml:space="preserve"> 2.危险化学品经营企业重大问题隐患整改情况复核报告；</w:t>
            </w:r>
            <w:r>
              <w:br/>
            </w:r>
            <w:r>
              <w:rPr>
                <w:rFonts w:ascii="仿宋_GB2312" w:hAnsi="仿宋_GB2312" w:cs="仿宋_GB2312" w:eastAsia="仿宋_GB2312"/>
              </w:rPr>
              <w:t xml:space="preserve"> 3.危险化学品经营企业安全风险研判报告（内容包含工业气体充装企业、危险化学品仓库、易燃可燃液体储存企业3类企业）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标的名称：危险化学品生产企业安全风险评估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包3为基础化工企业、精细化工企业和化学制药企业评估标段，其中基础化工企业22家，精细化工企业15家，化学制药企业共26家，共63家企业，通过评估切实查找影响企业安全生产的共性问题、突出问题和深层次问题，研判存在的系统性风险隐患，提升防范化解危险化学品领域重大安全风险能力，推动企业落实安全生产主体责任，提升企业本质安全水平和安全管理能力。</w:t>
            </w:r>
            <w:r>
              <w:br/>
            </w:r>
            <w:r>
              <w:rPr>
                <w:rFonts w:ascii="仿宋_GB2312" w:hAnsi="仿宋_GB2312" w:cs="仿宋_GB2312" w:eastAsia="仿宋_GB2312"/>
              </w:rPr>
              <w:t xml:space="preserve"> 二、技术要求</w:t>
            </w:r>
            <w:r>
              <w:br/>
            </w:r>
            <w:r>
              <w:rPr>
                <w:rFonts w:ascii="仿宋_GB2312" w:hAnsi="仿宋_GB2312" w:cs="仿宋_GB2312" w:eastAsia="仿宋_GB2312"/>
              </w:rPr>
              <w:t xml:space="preserve"> 对基础化工企业、精细化工企业和化学制药企业等，共63家企业开展1次深层次、全方位、解剖式安全风险评估，平均每家企业工作天数为2-3天,专家组总计工作时间不少于126个工作日。</w:t>
            </w:r>
            <w:r>
              <w:br/>
            </w:r>
            <w:r>
              <w:rPr>
                <w:rFonts w:ascii="仿宋_GB2312" w:hAnsi="仿宋_GB2312" w:cs="仿宋_GB2312" w:eastAsia="仿宋_GB2312"/>
              </w:rPr>
              <w:t xml:space="preserve"> 三、人员配置要求</w:t>
            </w:r>
            <w:r>
              <w:br/>
            </w:r>
            <w:r>
              <w:rPr>
                <w:rFonts w:ascii="仿宋_GB2312" w:hAnsi="仿宋_GB2312" w:cs="仿宋_GB2312" w:eastAsia="仿宋_GB2312"/>
              </w:rPr>
              <w:t xml:space="preserve"> 评估要求同时配备不少于2个工作组同时开展。每组涵盖安全管理、工艺管理、设备管理、电气仪表、设计总图等专业专家5名，并配备1位工作人员 完成报告编写；复核要求专家组每组配备安全工艺、机电仪等专业专家2名，并配备工作人员1名完成复核报告编写。</w:t>
            </w:r>
            <w:r>
              <w:br/>
            </w:r>
            <w:r>
              <w:rPr>
                <w:rFonts w:ascii="仿宋_GB2312" w:hAnsi="仿宋_GB2312" w:cs="仿宋_GB2312" w:eastAsia="仿宋_GB2312"/>
              </w:rPr>
              <w:t xml:space="preserve"> 四、成果要求</w:t>
            </w:r>
            <w:r>
              <w:br/>
            </w:r>
            <w:r>
              <w:rPr>
                <w:rFonts w:ascii="仿宋_GB2312" w:hAnsi="仿宋_GB2312" w:cs="仿宋_GB2312" w:eastAsia="仿宋_GB2312"/>
              </w:rPr>
              <w:t xml:space="preserve"> 1.63家企业安全风险评估报告（含打分）；</w:t>
            </w:r>
            <w:r>
              <w:br/>
            </w:r>
            <w:r>
              <w:rPr>
                <w:rFonts w:ascii="仿宋_GB2312" w:hAnsi="仿宋_GB2312" w:cs="仿宋_GB2312" w:eastAsia="仿宋_GB2312"/>
              </w:rPr>
              <w:t xml:space="preserve"> 2.危险化学品生产企业安全风险研判报告（内容包含基础化工企业、精细化工企业和化学制药企业3类企业）；</w:t>
            </w:r>
            <w:r>
              <w:br/>
            </w:r>
            <w:r>
              <w:rPr>
                <w:rFonts w:ascii="仿宋_GB2312" w:hAnsi="仿宋_GB2312" w:cs="仿宋_GB2312" w:eastAsia="仿宋_GB2312"/>
              </w:rPr>
              <w:t xml:space="preserve"> 3.危险化学品生产企业重大问题隐患整改情况复核报告； 4.结合2024年、2025年、2026年三年评估情况，出具陕西省三年评估的危险化学品企业总体情况报告。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陕西省应急管理厅指定地点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陕西省应急管理厅指定地点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陕西省应急管理厅指定地点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进度款，提交成果报告并通过专家组论证，达到付款条件起30个工作日内，支付合同总金额的30.0%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进度款，提交成果报告并通过专家组论证，达到付款条件起30个工作日内，支付合同总金额的30.0%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进度款，提交成果报告并通过专家组论证，达到付款条件起30个工作日内，支付合同总金额的30.0%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分为1、2、3、三个采购包。供应商可同时投多个包，但最多只能中1个包。评标按1、2、3包依次进行，同一供应商一旦在某包被推荐为第一中标候选人，其在其他包的投标将不再被推荐为第一中标候选人。 （二）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三）为顺利推进政府采购电子化交易平台应用工作，供应商需要在线提交所有通过电子化交易平台实施的政府采购项目的投标文件，同时，成交供应商应在成交通知书发出后3日内向代理机构提交纸质版投标文件，正本壹份、副本贰套及电子版1份（签字盖章扫描PDF和word文档格式，U盘存储标明单位名称）。线上电子投标文件与纸质投标文件一致。 落实政府采购政策：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投标人需在项目电子化交易系统中按要求填写《响应函》完成承诺并进行电子签章。（1）投标人的营业执照等证明文件，自然人的身份证明； (2) 法定代表人（单位负责人）参加投标的，提供本人身份证复印件；法定代表人（单位负责人）授权他人参加投标的，提供法定代表人（单位负责人）委托授权书并出示被授权代表的身份证复印件； （3）投标人2025年7月至今已缴纳任意一个月任意税种纳税凭证或税务机关开具的完税证明（个人所得税除外），依法免税的应提供相关文件证明；（4）投标人2025年7月至今已缴存的任意一个月的社会保障资金缴存单据或社保机构开具的社会保险参保缴费情况证明，依法不需要缴纳社会保障资金的投标人应提供相关文件证明； （5）具有履行合同所必需的设备和专业技术能力的承诺；（6）参加本次采购前3年内，在经营活动中没有重大违法记录的书面声明。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（1）投标人是企业法人的，应提供2024或2025全年度经审计的投标人财务报告，包括 “四表一注”即《资产负债表》《利润表》《现金流量表》《所有者权益变动表》及其附注，或者提交响应文件截止时间前3个月内基本账户开户银行出具的资信证明（附基本存款账户信息）； （2）投标人是执行《小企业会计准则》的小微企业的，应提供2024或2025全年度经审计的投标人财务报告，至少包括 《资产负债表》《利润表》《现金流量表》及其附注，或者提交响应文件截止时间前3个月内基本账户开户银行出具的资信证明（附基本存款账户信息）； （3）投标人是执行《事业单位会计准则》的事业单位法人的，应提供2024或2025全年度经审计的投标人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投标人是民办非企业单位的，应提供2024或2025全年度经审计的投标人财务报告，包括《资产负债表》《业务活动表》《现金流量表》及其附注或者提交响应文件截止时间前3个月内基本账户开户银行出具的资信证明（附账户信息）；（6）投标人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投标人需在项目电子化交易系统中按要求填写《响应函》完成承诺并进行电子签章。（1）投标人的营业执照等证明文件，自然人的身份证明； (2) 法定代表人（单位负责人）参加投标的，提供本人身份证复印件；法定代表人（单位负责人）授权他人参加投标的，提供法定代表人（单位负责人）委托授权书并出示被授权代表的身份证复印件； （3）投标人2025年7月至今已缴纳任意一个月任意税种纳税凭证或税务机关开具的完税证明（个人所得税除外），依法免税的应提供相关文件证明；（4）投标人2025年7月至今已缴存的任意一个月的社会保障资金缴存单据或社保机构开具的社会保险参保缴费情况证明，依法不需要缴纳社会保障资金的投标人应提供相关文件证明； （5）具有履行合同所必需的设备和专业技术能力的承诺；（6）参加本次采购前3年内，在经营活动中没有重大违法记录的书面声明。</w:t>
            </w:r>
          </w:p>
        </w:tc>
        <w:tc>
          <w:tcPr>
            <w:tcW w:type="dxa" w:w="1661"/>
          </w:tcPr>
          <w:p>
            <w:pPr>
              <w:pStyle w:val="null3"/>
            </w:pPr>
            <w:r>
              <w:rPr>
                <w:rFonts w:ascii="仿宋_GB2312" w:hAnsi="仿宋_GB2312" w:cs="仿宋_GB2312" w:eastAsia="仿宋_GB2312"/>
              </w:rPr>
              <w:t>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（1）投标人是企业法人的，应提供2024或2025全年度经审计的投标人财务报告，包括 “四表一注”即《资产负债表》《利润表》《现金流量表》《所有者权益变动表》及其附注，或者提交响应文件截止时间前3个月内基本账户开户银行出具的资信证明（附基本存款账户信息）； （2）投标人是执行《小企业会计准则》的小微企业的，应提供2024或2025全年度经审计的投标人财务报告，至少包括 《资产负债表》《利润表》《现金流量表》及其附注，或者提交响应文件截止时间前3个月内基本账户开户银行出具的资信证明（附基本存款账户信息）； （3）投标人是执行《事业单位会计准则》的事业单位法人的，应提供2024或2025全年度经审计的投标人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投标人是民办非企业单位的，应提供2024或2025全年度经审计的投标人财务报告，包括《资产负债表》《业务活动表》《现金流量表》及其附注或者提交响应文件截止时间前3个月内基本账户开户银行出具的资信证明（附账户信息）；（6）投标人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投标人需在项目电子化交易系统中按要求填写《响应函》完成承诺并进行电子签章。（1）投标人的营业执照等证明文件，自然人的身份证明； (2) 法定代表人（单位负责人）参加投标的，提供本人身份证复印件；法定代表人（单位负责人）授权他人参加投标的，提供法定代表人（单位负责人）委托授权书并出示被授权代表的身份证复印件； （3）投标人2025年7月至今已缴纳任意一个月任意税种纳税凭证或税务机关开具的完税证明（个人所得税除外），依法免税的应提供相关文件证明；（4）投标人2025年7月至今已缴存的任意一个月的社会保障资金缴存单据或社保机构开具的社会保险参保缴费情况证明，依法不需要缴纳社会保障资金的投标人应提供相关文件证明； （5）具有履行合同所必需的设备和专业技术能力的承诺；（6）参加本次采购前3年内，在经营活动中没有重大违法记录的书面声明。</w:t>
            </w:r>
          </w:p>
        </w:tc>
        <w:tc>
          <w:tcPr>
            <w:tcW w:type="dxa" w:w="1661"/>
          </w:tcPr>
          <w:p>
            <w:pPr>
              <w:pStyle w:val="null3"/>
            </w:pPr>
            <w:r>
              <w:rPr>
                <w:rFonts w:ascii="仿宋_GB2312" w:hAnsi="仿宋_GB2312" w:cs="仿宋_GB2312" w:eastAsia="仿宋_GB2312"/>
              </w:rPr>
              <w:t>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（1）投标人是企业法人的，应提供2024或2025全年度经审计的投标人财务报告，包括 “四表一注”即《资产负债表》《利润表》《现金流量表》《所有者权益变动表》及其附注，或者提交响应文件截止时间前3个月内基本账户开户银行出具的资信证明（附基本存款账户信息）； （2）投标人是执行《小企业会计准则》的小微企业的，应提供2024或2025全年度经审计的投标人财务报告，至少包括 《资产负债表》《利润表》《现金流量表》及其附注，或者提交响应文件截止时间前3个月内基本账户开户银行出具的资信证明（附基本存款账户信息）； （3）投标人是执行《事业单位会计准则》的事业单位法人的，应提供2024或2025全年度经审计的投标人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投标人是民办非企业单位的，应提供2024或2025全年度经审计的投标人财务报告，包括《资产负债表》《业务活动表》《现金流量表》及其附注或者提交响应文件截止时间前3个月内基本账户开户银行出具的资信证明（附账户信息）；（6）投标人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商务技术部分.pdf 投标函 中小企业声明函 残疾人福利性单位声明函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商务技术部分.pdf 投标函 中小企业声明函 残疾人福利性单位声明函 标的清单 投标文件封面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商务技术部分.pdf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商务技术部分.pdf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商务技术部分.pdf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商务技术部分.pdf 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商务技术部分.pdf 投标函 中小企业声明函 残疾人福利性单位声明函 标的清单 投标文件封面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商务技术部分.pdf 投标函 中小企业声明函 残疾人福利性单位声明函 标的清单 投标文件封面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商务技术部分.pdf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商务技术部分.pdf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商务技术部分.pdf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商务技术部分.pdf 投标函 资格证明文件.pdf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商务技术部分.pdf 投标函 中小企业声明函 残疾人福利性单位声明函 标的清单 投标文件封面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商务技术部分.pdf 投标函 中小企业声明函 残疾人福利性单位声明函 标的清单 投标文件封面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商务技术部分.pdf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商务技术部分.pdf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商务技术部分.pdf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商务技术部分.pdf 投标函 资格证明文件.pdf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评审标准 1、完整性：完全理解采购需求，思路及方案清晰； 2、可实施性：切合本项目实际情况，步骤清晰、合理； 3、针对性：方案能够紧扣项目实际情况，内容科学合理。 赋分标准 每完全满足一项评审标准得2分，方案每有一处缺陷扣0.1分，扣完为止，不计负分。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针对本项目的项目重难点分析</w:t>
            </w:r>
          </w:p>
        </w:tc>
        <w:tc>
          <w:tcPr>
            <w:tcW w:type="dxa" w:w="2492"/>
          </w:tcPr>
          <w:p>
            <w:pPr>
              <w:pStyle w:val="null3"/>
            </w:pPr>
            <w:r>
              <w:rPr>
                <w:rFonts w:ascii="仿宋_GB2312" w:hAnsi="仿宋_GB2312" w:cs="仿宋_GB2312" w:eastAsia="仿宋_GB2312"/>
              </w:rPr>
              <w:t>评审标准 1、完整性：方案全面，对项目工作重点、难点认识准确，描述清晰； 2、可实施性：能对重点难点提出针对性的工作思路，工作思路清晰、可行性强； 3、针对性：方案符合本项目实际工作要求。 赋分标准 每完全满足一项评审标准得1分，方案每有一处缺陷扣0.1分，扣完为止，不计负分。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针对本项目的评估技术方案(包括但不限于①评估内容②评估标准③评估流程④评估方法等）</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①-④项评审内容：每项评审内容每完全满足一项评审标准得1.0分，每项评审内容每有一处缺陷扣0.1分，扣完为止，不计负分。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针对本项目提出的质量控制方案，方案内容包含（①项目整体质量控制方案②成果报告质量控制方案）</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①-②项评审内容：每项评审内容每完全满足一项评审标准得1.0分，每项评审内容每有一处缺陷扣0.1分，扣完为止，不计负分。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针对本项目提出的进度控制方案，方案内容包含（①项目整体进度控制方案②成果交付进度控制方案）</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保密措施（对于该项目执行过程中，如何避免工作中知悉、接触的信息和材料的泄露制定的详细计划及措施）</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每完全满足一项评审标准得1.0分，方案每有一处缺陷扣0.1分，扣完为止，不计负分。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投标供应商根据国家最新标准规范、技术方案、采购需求和自身经验编制评估检查表</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每完全满足一项评审标准得1.0分，每有一处缺陷扣0.1分，扣完为止，不计负分。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高级职称的得4分，中级职称的得2分，其他不得分；同时为本科及以上学历加4分；从业年限满8年或以上的加3分，从业年限满5年或以上的加2分（以负责人业绩合同签订时间或取得相关证书时间为准，业绩提供合同复印件加盖公章，且合同中体现项目负责人姓名）。项目负责人具有有效的注册安全工程师或安全评价师资质的得3分。 需提供项目负责人身份证、职称证、资格证等相关证明材料及2025年6月以来任意连续三个月本单位为其缴纳社保的证明（退休人员需提供退休证书及劳动合同或返聘证明）。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需配备1个评估检查专家组，每组涵盖园区规划、化工安全、安全管理、公用工程、消防应急等专业专家不少于5名，并配备1位工作人员完成报告编写。在满足1个评估检查专家组（每组5+1人）基础上，每增加1组（5+1人），每组每人加2分，最多加12分。 2.投标人需配备复核组，且每组配备化工安全、安全管理等专业专家不少于2人，并配备工作人员1名完成复核报告编写，在满足2+1人基础上，每增加1组（2+1人），每组每人加2分，最多加6分。 注：评估检查专家组所有人员与复核专家组所有人员不得重复。 以上所有人员需提供身份证、职称证、资格证等相关证明材料。</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供应商承诺①配合相关验收工作，达到有关主管部门审批要求，负责配合采购人将成果上报有关主管部门并获得批准通过。②服务成果的相关资料知识产权归采购人所有。每提供上述一个承诺计2分，共4分。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每提供一个近五年（2021年6月至今）类似项目业绩加3分，满分15分。（以合同为准,复印件加盖公章）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CDATA[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评审标准 1、完整性：完全理解采购需求，思路及方案清晰； 2、可实施性：切合本项目实际情况，步骤清晰、合理； 3、针对性：方案能够紧扣项目实际情况，内容科学合理。 赋分标准 每完全满足一项评审标准得2分，方案每有一处缺陷扣0.1分，扣完为止，不计负分。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针对本项目的项目重难点分析</w:t>
            </w:r>
          </w:p>
        </w:tc>
        <w:tc>
          <w:tcPr>
            <w:tcW w:type="dxa" w:w="2492"/>
          </w:tcPr>
          <w:p>
            <w:pPr>
              <w:pStyle w:val="null3"/>
            </w:pPr>
            <w:r>
              <w:rPr>
                <w:rFonts w:ascii="仿宋_GB2312" w:hAnsi="仿宋_GB2312" w:cs="仿宋_GB2312" w:eastAsia="仿宋_GB2312"/>
              </w:rPr>
              <w:t>评审标准 1、完整性：方案全面，对项目工作重点、难点认识准确，描述清晰； 2、可实施性：能对重点难点提出针对性的工作思路，工作思路清晰、可行性强； 3、针对性：方案符合本项目实际工作要求。 赋分标准 每完全满足一项评审标准得1分，方案每有一处缺陷扣0.1分，扣完为止，不计负分。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针对本项目的评估技术方案(包括但不限于①评估内容②评估标准③评估流程④评估方法等）</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①-④项评审内容：每项评审内容每完全满足一项评审标准得1.0分，每项评审内容每有一处缺陷扣0.1分，扣完为止，不计负分。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针对本项目提出的质量控制方案，方案内容包含（①项目整体质量控制方案②成果报告质量控制方案）</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①-②项评审内容：每项评审内容每完全满足一项评审标准得1.0分，每项评审内容每有一处缺陷扣0.1分，扣完为止，不计负分。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针对本项目提出的进度控制方案，方案内容包含（①项目整体进度控制方案②成果交付进度控制方案）</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保密措施（对于该项目执行过程中，如何避免工作中知悉、接触的信息和材料的泄露制定的详细计划及措施）</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每完全满足一项评审标准得1.0分，方案每有一处缺陷扣0.1分，扣完为止，不计负分。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投标供应商根据国家最新标准规范、技术方案、采购需求和自身经验编制评估检查表</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每完全满足一项评审标准得1.0分，每有一处缺陷扣0.1分，扣完为止，不计负分。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高级职称的得4分，中级职称的得2分，其他不得分；同时为本科及以上学历加4分；从业年限满8年或以上的加3分，从业年限满5年或以上的加2分（以负责人业绩合同签订时间或取得相关证书时间为准，业绩提供合同复印件加盖公章，且合同中体现项目负责人姓名）。项目负责人具有有效的注册安全工程师或安全评价师资质的得3分。 需提供项目负责人身份证、职称证、资格证等相关证明材料及2025年6月以来任意连续三个月本单位为其缴纳社保的证明（退休人员需提供退休证书及劳动合同或返聘证明）。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投标人需配备1个评估检查专家组，每组涵盖安全管理、工艺管理、设备管理、电气仪表、设计总图等专业专家不少于5名，并配备1位工作人员完成报告编写。在满足1个评估检查专家组（每组5+1人）基础上，每增加1组（5+1人），每组每人加2分，最多加12分。 2.投标人需配备复核组，且每组配备安全工艺、机电仪表等专业专家不少于2人，并配备工作人员1名完成复核报告编写，在满足2+1人基础上，每增加1组（2+1人），每组每人加2分，最多加6分。 注：评估检查专家组所有人员与复核专家组所有人员不得重复。 以上所有人员需提供身份证、职称证、资格证等相关证明材料。</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供应商承诺①配合相关验收工作，达到有关主管部门审批要求，负责配合采购人将成果上报有关主管部门并获得批准通过。②服务成果的相关资料知识产权归采购人所有。每提供上述一个承诺计2分，共4分。 每提供一个近五年（2021年6月至今）类似项目业绩加3分，满分15分。（以合同为准,复印件加盖公章）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每提供一个近五年（2021年6月至今）类似项目业绩加3分，满分15分。（以合同为准,复印件加盖公章）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CDATA[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评审标准 1、完整性：完全理解采购需求，思路及方案清晰； 2、可实施性：切合本项目实际情况，步骤清晰、合理； 3、针对性：方案能够紧扣项目实际情况，内容科学合理。 赋分标准 每完全满足一项评审标准得2分，方案每有一处缺陷扣0.1分，扣完为止，不计负分。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针对本项目的项目重难点分析</w:t>
            </w:r>
          </w:p>
        </w:tc>
        <w:tc>
          <w:tcPr>
            <w:tcW w:type="dxa" w:w="2492"/>
          </w:tcPr>
          <w:p>
            <w:pPr>
              <w:pStyle w:val="null3"/>
            </w:pPr>
            <w:r>
              <w:rPr>
                <w:rFonts w:ascii="仿宋_GB2312" w:hAnsi="仿宋_GB2312" w:cs="仿宋_GB2312" w:eastAsia="仿宋_GB2312"/>
              </w:rPr>
              <w:t>评审标准 1、完整性：方案全面，对项目工作重点、难点认识准确，描述清晰； 2、可实施性：能对重点难点提出针对性的工作思路，工作思路清晰、可行性强； 3、针对性：方案符合本项目实际工作要求。 赋分标准 每完全满足一项评审标准得1分，方案每有一处缺陷扣0.1分，扣完为止，不计负分。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针对本项目的评估技术方案(包括但不限于①评估内容②评估标准③评估流程④评估方法等）</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①-④项评审内容：每项评审内容每完全满足一项评审标准得1.0分，每项评审内容每有一处缺陷扣0.1分，扣完为止，不计负分。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针对本项目提出的质量控制方案，方案内容包含（①项目整体质量控制方案②成果报告质量控制方案）</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①-②项评审内容：每项评审内容每完全满足一项评审标准得1.0分，每项评审内容每有一处缺陷扣0.1分，扣完为止，不计负分。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针对本项目提出的进度控制方案，方案内容包含（①项目整体进度控制方案②成果交付进度控制方案）</w:t>
            </w:r>
          </w:p>
        </w:tc>
        <w:tc>
          <w:tcPr>
            <w:tcW w:type="dxa" w:w="2492"/>
          </w:tcPr>
          <w:p>
            <w:pPr>
              <w:pStyle w:val="null3"/>
            </w:pPr>
            <w:r>
              <w:rPr>
                <w:rFonts w:ascii="仿宋_GB2312" w:hAnsi="仿宋_GB2312" w:cs="仿宋_GB2312" w:eastAsia="仿宋_GB2312"/>
              </w:rPr>
              <w:t>评审标准 1、完整性：方案须全面，对评审内容中的各项要求有详细描述及说明； 2、可实施性：切合本项目实际情况，步骤清晰、合理，操作性强； 3、针对性：方案能够紧扣项目实际情况，内容科学合理。 赋分标准 每项评审内容每完全满足一项评审标准得1.0分，每项评审内容每有一处缺陷扣0.1分，扣完为止，不计负分。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保密措施（对于该项目执行过程中，如何避免工作中知悉、接触的信息和材料的泄露制定的详细计划及措施）</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每完全满足一项评审标准得1.0分，方案每有一处缺陷扣0.1分，扣完为止，不计负分。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投标供应商根据国家最新标准规范、技术方案、采购需求和自身经验编制评估检查表</w:t>
            </w:r>
          </w:p>
        </w:tc>
        <w:tc>
          <w:tcPr>
            <w:tcW w:type="dxa" w:w="2492"/>
          </w:tcPr>
          <w:p>
            <w:pPr>
              <w:pStyle w:val="null3"/>
            </w:pPr>
            <w:r>
              <w:rPr>
                <w:rFonts w:ascii="仿宋_GB2312" w:hAnsi="仿宋_GB2312" w:cs="仿宋_GB2312" w:eastAsia="仿宋_GB2312"/>
              </w:rPr>
              <w:t>评审标准 1、完整性：方案全面，科学合理，对评审内容中的各项要求有详细描述及说明； 2、可实施性：切合本项目实际情况，步骤清晰、合理； 3、针对性：方案符合法院工作要求。 赋分标准 每完全满足一项评审标准得1.0分，每有一处缺陷扣0.1分，扣完为止，不计负分。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高级职称的得4分，中级职称的得2分，其他不得分；同时为本科及以上学历加4分；从业年限满8年或以上的加3分，从业年限满5年或以上的加2分（以负责人业绩合同签订时间或取得相关证书时间为准，业绩提供合同复印件加盖公章，且合同中体现项目负责人姓名）。项目负责人具有有效的注册安全工程师或安全评价师资质的得3分。 需提供项目负责人身份证、职称证、资格证等相关证明材料及2025年6月以来任意连续三个月本单位为其缴纳社保的证明（退休人员需提供退休证书及劳动合同或返聘证明）。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投标人需配备不少于2个评估检查专家组，每组涵盖安全管理、工艺管理、设备管理、电气仪表、设计总图等专业专家不少于5名，并配备1位工作人员完成报告编写。在满足2个评估检查专家组（每组5+1人）基础上，每增加1组（5+1人），每组每人加2分，最多加12分。 2.投标人需配备复核组，且每组配备安全工艺、机电仪表等专业专家不少于2人，并配备工作人员1名完成复核报告编写，在满足2+1人基础上，每增加1组（2+1人），每组每人加2分，最多加6分。 注：评估检查专家组所有人员与复核专家组所有人员不得重复。 以上所有人员需提供身份证、职称证、资格证等相关证明材料。</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供应商承诺①配合相关验收工作，达到有关主管部门审批要求，负责配合采购人将成果上报有关主管部门并获得批准通过。②服务成果的相关资料知识产权归采购人所有。每提供上述一个承诺计2分，共4分。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每提供一个近五年（2021年6月至今）类似项目业绩加3分，满分15分。（以合同为准,复印件加盖公章）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CDATA[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且报价次低供应商投标（响应）报价50%的，即投标（响应）报价<通过符合性审查且报价次低供应商投标（响应）报价×50%。 （3）投标（响应）报价低于最高限价45%的，即投标（响应）报价<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详见附件：商务技术部分.pdf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详见附件：商务技术部分.pdf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