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E1F6F">
      <w:pPr>
        <w:pStyle w:val="2"/>
        <w:rPr>
          <w:sz w:val="24"/>
          <w:szCs w:val="36"/>
        </w:rPr>
      </w:pPr>
      <w:r>
        <w:rPr>
          <w:rFonts w:hint="eastAsia"/>
          <w:sz w:val="28"/>
          <w:szCs w:val="36"/>
        </w:rPr>
        <w:t>（参考，最终以双方签订的正式合同为准）</w:t>
      </w:r>
    </w:p>
    <w:p w14:paraId="159A8ABD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一、合同内容及金额：即中标人的投标内容及其中标总金额，合同总价一次包死，不受市场价变化的影响。</w:t>
      </w:r>
    </w:p>
    <w:p w14:paraId="0BDE05B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二、产品技术规格、数量：即交付的产品技术规格、型号、数量与投标文件所指明的，或者与本合同所指明的产品技术规格及型号相一致。</w:t>
      </w:r>
    </w:p>
    <w:p w14:paraId="411B37F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三、知识产权：即中标人应保证采购人在使用中标货物时，不承担任何涉及知识产权法律诉讼的责任。</w:t>
      </w:r>
    </w:p>
    <w:p w14:paraId="291114C2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 xml:space="preserve">四、交货期：文件规定时间                                 </w:t>
      </w:r>
    </w:p>
    <w:p w14:paraId="63C3AB31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中标人未征得采购人同意和谅解而单方面延迟交货，将按违约终止合同。</w:t>
      </w:r>
    </w:p>
    <w:p w14:paraId="37B86415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53C48D7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五、交货地点：采购人指定地点。</w:t>
      </w:r>
    </w:p>
    <w:p w14:paraId="71D86A4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六、结算方式：详见第三章支付方式</w:t>
      </w:r>
    </w:p>
    <w:p w14:paraId="5B2AD5B5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2E731111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八、运输：中标人可根据交货期、运输条件自行选择运输方式（另有规定的除外），承担一切运输费用。</w:t>
      </w:r>
    </w:p>
    <w:p w14:paraId="5D268E11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九、技术保障：中标人应随同货物提供相应的中文技术文件（包括产品合格证、装箱清单、检测报告等资料）。</w:t>
      </w:r>
    </w:p>
    <w:p w14:paraId="2E7B0514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十、质量保证</w:t>
      </w:r>
    </w:p>
    <w:p w14:paraId="52BA3D97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1、供方提供的产品及材料必须保证质量可靠，进货渠道正常，配置合理齐全，应全面满足需方的要求，磋商文件未明确要求的内容，供方须按招标产品标准配置或以需方的补充要求为准。所供产品工艺质量应严格按国家最新发布的规范标准执行，如发生质量问题由供方承担全部责任。</w:t>
      </w:r>
    </w:p>
    <w:p w14:paraId="3853ADC1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2、供方应保证所有产品的完好无损包括配套包装，如有缺漏、损坏，由供方负责调换、补齐或赔偿。</w:t>
      </w:r>
    </w:p>
    <w:p w14:paraId="4FC152A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3、产品使用过程中因产品质量、产品缺陷等造成人身伤亡、财产损失的，由供方负责解决并承担全部责任。</w:t>
      </w:r>
    </w:p>
    <w:p w14:paraId="7B66A565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十一、采购项目执行内容需要调整时，经采购人同意后，可以对相应的原材料进行调整，并协商确定价格差额计算方法和负担办法。</w:t>
      </w:r>
    </w:p>
    <w:p w14:paraId="74859F2C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十二、产品设计变更</w:t>
      </w:r>
    </w:p>
    <w:p w14:paraId="1D303C9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59A32B8D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十三、检验：在交货前，制造商应当对产品的质量、规格、型号、数量等进行准确而全面的检验，出具合格证并封装；货物送达指定地点后，中标人、采购人须在约定的时间和地点共同开箱检验。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41BE7360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四、验收：通过检验的货物方可交货，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25308271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十五、合同争议的解决：合同执行中发生争议的，当事人双方应协商解决，协商达不成一致时，可向人民法院提请诉讼。</w:t>
      </w:r>
    </w:p>
    <w:p w14:paraId="2B485CCB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十六、在发生不可抗力情况下的应对措施和解决办法。</w:t>
      </w:r>
    </w:p>
    <w:p w14:paraId="6D14CE77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十七、合同一经签订，不得擅自变更、中止或者终止合同。对确需变更、调整或者中止、终止合同的，应按规定履行相应的手续。</w:t>
      </w:r>
    </w:p>
    <w:p w14:paraId="66AA4BD7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八、违约责任：依据《中华人民共和国民法典》、《中华人民共和国政府采购法》的相关条款和本合同约定执行。未按合同要求提供货物、服务或货物、服务质量不能满足合同要求，采购人有权依据《中华人民共和国民法典》有关条款及合同约定终止合同，并要求投标人承担违约责任。中标人未按合同约定的交货日期交货的，每逾期一日，向采购人支付逾期交付货物价款的0.5%的违约金，但不超过合同总金额的10%。中标人支付逾期交货违约金并不免除其交货的责任。如中标人在政府采购合同规定的交货日期后10天内仍未能交货，则视为中标人不能交货，采购人有权解除政府采购合同，中标人除退还已收取的货款外，还应向采购人偿付政府采购合同总金额10%的违约金。如因该产品本身的质量原因而在使用过程中造成的任何事故纠纷，由中标人全额负责赔偿。</w:t>
      </w:r>
    </w:p>
    <w:p w14:paraId="2DA3D134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十九、乙方不得进行债权转移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。</w:t>
      </w:r>
    </w:p>
    <w:p w14:paraId="1E32BCEF">
      <w:pPr>
        <w:tabs>
          <w:tab w:val="left" w:pos="980"/>
        </w:tabs>
        <w:spacing w:line="500" w:lineRule="exact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、本合同一式拾份，甲方执陆份，乙方、采购代理机构各执贰份。签字盖章后生效，合同执行完毕自动失效。（合同的服务承诺则长期有效）。</w:t>
      </w:r>
    </w:p>
    <w:p w14:paraId="48D1680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二十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、其它（在合同中具体明确）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38FBF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9AE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DA62C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乙  方</w:t>
            </w:r>
          </w:p>
        </w:tc>
      </w:tr>
      <w:tr w14:paraId="64864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D2D0F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EAD2A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成交供应商全称</w:t>
            </w:r>
          </w:p>
          <w:p w14:paraId="7AD34868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（盖章）</w:t>
            </w:r>
          </w:p>
        </w:tc>
      </w:tr>
      <w:tr w14:paraId="6057E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594DE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822FE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地址：</w:t>
            </w:r>
          </w:p>
        </w:tc>
      </w:tr>
      <w:tr w14:paraId="08471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8C345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5814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邮编：</w:t>
            </w:r>
          </w:p>
        </w:tc>
      </w:tr>
      <w:tr w14:paraId="78CEC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4EFA58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8CF12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法定代表人：</w:t>
            </w:r>
          </w:p>
        </w:tc>
      </w:tr>
      <w:tr w14:paraId="6290A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48850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50B34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被授权代表：（签字）</w:t>
            </w:r>
          </w:p>
        </w:tc>
      </w:tr>
      <w:tr w14:paraId="74956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73BD7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09AF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电话：</w:t>
            </w:r>
          </w:p>
        </w:tc>
      </w:tr>
      <w:tr w14:paraId="01480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28602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80EEC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传真：</w:t>
            </w:r>
          </w:p>
        </w:tc>
      </w:tr>
      <w:tr w14:paraId="25AC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77F5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0B899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开户银行：</w:t>
            </w:r>
          </w:p>
        </w:tc>
      </w:tr>
      <w:tr w14:paraId="3030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2FABE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3379B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账号:</w:t>
            </w:r>
          </w:p>
        </w:tc>
      </w:tr>
      <w:tr w14:paraId="6231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C6DA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CEAC1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Hans"/>
              </w:rPr>
              <w:t>日期：  年   月   日</w:t>
            </w:r>
          </w:p>
        </w:tc>
      </w:tr>
    </w:tbl>
    <w:p w14:paraId="43FD02DE">
      <w:pPr>
        <w:pStyle w:val="5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</w:pPr>
    </w:p>
    <w:p w14:paraId="00AD1ADC">
      <w:pPr>
        <w:pStyle w:val="5"/>
        <w:rPr>
          <w:rFonts w:hint="eastAsia"/>
          <w:lang w:val="en-US" w:eastAsia="zh-Hans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2EEA57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047C0"/>
    <w:rsid w:val="7740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2026-08-18T09:11:00Z</dcterms:created>
  <dc:creator>国创招标</dc:creator>
  <cp:lastModifiedBy>国创招标</cp:lastModifiedBy>
  <dcterms:modified xsi:type="dcterms:W3CDTF">2026-08-18T09:11:23Z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20F48093A69F4C6BA3E6E565E812D950_11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