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26ABBB">
      <w:pPr>
        <w:numPr>
          <w:ilvl w:val="0"/>
          <w:numId w:val="0"/>
        </w:numPr>
        <w:adjustRightInd w:val="0"/>
        <w:snapToGrid w:val="0"/>
        <w:spacing w:line="576" w:lineRule="exact"/>
        <w:jc w:val="center"/>
        <w:rPr>
          <w:rFonts w:hint="default" w:ascii="仿宋_GB2312" w:hAnsi="仿宋_GB2312" w:eastAsia="仿宋_GB2312" w:cs="仿宋_GB2312"/>
          <w:b/>
          <w:bCs/>
          <w:color w:val="000000"/>
          <w:sz w:val="44"/>
          <w:szCs w:val="44"/>
          <w:lang w:val="en-US" w:eastAsia="zh-CN"/>
        </w:rPr>
      </w:pPr>
      <w:bookmarkStart w:id="0" w:name="_Toc14481"/>
      <w:bookmarkStart w:id="1" w:name="_Toc21597"/>
      <w:bookmarkStart w:id="2" w:name="_Toc27797"/>
      <w:bookmarkStart w:id="3" w:name="_Toc29030"/>
      <w:bookmarkStart w:id="4" w:name="_Toc21269"/>
      <w:bookmarkStart w:id="5" w:name="_Toc13727"/>
      <w:bookmarkStart w:id="6" w:name="_Toc17897"/>
      <w:bookmarkStart w:id="7" w:name="_Toc28926"/>
      <w:bookmarkStart w:id="8" w:name="_Toc18314"/>
      <w:bookmarkStart w:id="9" w:name="_Toc837"/>
      <w:bookmarkStart w:id="10" w:name="_Toc26292"/>
      <w:bookmarkStart w:id="11" w:name="_Toc475451546"/>
      <w:bookmarkStart w:id="12" w:name="_Toc16031"/>
      <w:bookmarkStart w:id="13" w:name="_Toc7075"/>
      <w:bookmarkStart w:id="14" w:name="_Toc30629"/>
      <w:bookmarkStart w:id="15" w:name="_Toc12116"/>
      <w:bookmarkStart w:id="16" w:name="_Toc9950"/>
      <w:bookmarkStart w:id="17" w:name="_Toc10086"/>
      <w:bookmarkStart w:id="18" w:name="_Toc17789"/>
      <w:bookmarkStart w:id="19" w:name="_Toc19268"/>
      <w:bookmarkStart w:id="20" w:name="_Toc19714"/>
      <w:bookmarkStart w:id="21" w:name="_Toc7651"/>
      <w:r>
        <w:rPr>
          <w:rFonts w:hint="eastAsia" w:ascii="仿宋_GB2312" w:hAnsi="仿宋_GB2312" w:eastAsia="仿宋_GB2312" w:cs="仿宋_GB2312"/>
          <w:b/>
          <w:bCs/>
          <w:color w:val="000000"/>
          <w:sz w:val="44"/>
          <w:szCs w:val="44"/>
          <w:lang w:val="en-US" w:eastAsia="zh-CN"/>
        </w:rPr>
        <w:t>采购需求</w:t>
      </w:r>
    </w:p>
    <w:p w14:paraId="336E1C32">
      <w:pPr>
        <w:numPr>
          <w:ilvl w:val="0"/>
          <w:numId w:val="0"/>
        </w:numPr>
        <w:adjustRightInd w:val="0"/>
        <w:snapToGrid w:val="0"/>
        <w:spacing w:line="576" w:lineRule="exact"/>
        <w:ind w:firstLine="643" w:firstLineChars="200"/>
        <w:rPr>
          <w:rFonts w:hint="eastAsia" w:ascii="仿宋_GB2312" w:hAnsi="仿宋_GB2312" w:eastAsia="仿宋_GB2312" w:cs="仿宋_GB2312"/>
          <w:b/>
          <w:bCs/>
          <w:color w:val="000000"/>
          <w:sz w:val="32"/>
          <w:szCs w:val="32"/>
          <w:lang w:val="zh-CN"/>
        </w:rPr>
      </w:pPr>
      <w:r>
        <w:rPr>
          <w:rFonts w:hint="eastAsia" w:ascii="仿宋_GB2312" w:hAnsi="仿宋_GB2312" w:eastAsia="仿宋_GB2312" w:cs="仿宋_GB2312"/>
          <w:b/>
          <w:bCs/>
          <w:color w:val="000000"/>
          <w:sz w:val="32"/>
          <w:szCs w:val="32"/>
          <w:lang w:val="en-US" w:eastAsia="zh-CN"/>
        </w:rPr>
        <w:t>一、</w:t>
      </w:r>
      <w:r>
        <w:rPr>
          <w:rFonts w:hint="eastAsia" w:ascii="仿宋_GB2312" w:hAnsi="仿宋_GB2312" w:eastAsia="仿宋_GB2312" w:cs="仿宋_GB2312"/>
          <w:b/>
          <w:bCs/>
          <w:color w:val="000000"/>
          <w:sz w:val="32"/>
          <w:szCs w:val="32"/>
          <w:lang w:val="zh-CN"/>
        </w:rPr>
        <w:t>项目概况</w:t>
      </w:r>
    </w:p>
    <w:p w14:paraId="16EF06CE">
      <w:pPr>
        <w:numPr>
          <w:ilvl w:val="0"/>
          <w:numId w:val="0"/>
        </w:numPr>
        <w:adjustRightInd w:val="0"/>
        <w:snapToGrid w:val="0"/>
        <w:spacing w:line="576" w:lineRule="exact"/>
        <w:ind w:firstLine="640" w:firstLineChars="200"/>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eastAsia="zh-CN"/>
        </w:rPr>
        <w:t>陕西省西安市人民检察院UPS电源设备是西安市检察机关各业务系统、数据和有关场所正常运行和安全的重要保障。现有UPS电源电池整体呈现老化现象且已临届使用年限，需要及时更新更换。</w:t>
      </w:r>
    </w:p>
    <w:p w14:paraId="09974509">
      <w:pPr>
        <w:numPr>
          <w:ilvl w:val="0"/>
          <w:numId w:val="0"/>
        </w:numPr>
        <w:adjustRightInd w:val="0"/>
        <w:snapToGrid w:val="0"/>
        <w:spacing w:line="576" w:lineRule="exact"/>
        <w:ind w:firstLine="643" w:firstLineChars="200"/>
        <w:rPr>
          <w:rFonts w:hint="default" w:eastAsia="仿宋_GB2312"/>
          <w:b/>
          <w:bCs/>
          <w:highlight w:val="none"/>
          <w:lang w:val="en-US" w:eastAsia="zh-CN"/>
        </w:rPr>
      </w:pPr>
      <w:r>
        <w:rPr>
          <w:rFonts w:hint="eastAsia" w:ascii="仿宋_GB2312" w:hAnsi="仿宋_GB2312" w:eastAsia="仿宋_GB2312" w:cs="仿宋_GB2312"/>
          <w:b/>
          <w:bCs/>
          <w:color w:val="000000"/>
          <w:sz w:val="32"/>
          <w:szCs w:val="32"/>
          <w:lang w:val="en-US" w:eastAsia="zh-CN"/>
        </w:rPr>
        <w:t>二、项</w:t>
      </w:r>
      <w:r>
        <w:rPr>
          <w:rFonts w:hint="eastAsia" w:ascii="仿宋_GB2312" w:hAnsi="仿宋_GB2312" w:eastAsia="仿宋_GB2312" w:cs="仿宋_GB2312"/>
          <w:b/>
          <w:bCs/>
          <w:color w:val="000000"/>
          <w:sz w:val="32"/>
          <w:szCs w:val="32"/>
          <w:highlight w:val="none"/>
          <w:lang w:val="en-US" w:eastAsia="zh-CN"/>
        </w:rPr>
        <w:t>目预算</w:t>
      </w:r>
      <w:r>
        <w:rPr>
          <w:rFonts w:hint="eastAsia" w:ascii="仿宋_GB2312" w:hAnsi="仿宋_GB2312" w:eastAsia="仿宋_GB2312" w:cs="仿宋_GB2312"/>
          <w:b/>
          <w:bCs/>
          <w:color w:val="000000"/>
          <w:sz w:val="32"/>
          <w:szCs w:val="32"/>
          <w:highlight w:val="none"/>
          <w:lang w:val="zh-CN"/>
        </w:rPr>
        <w:t>：</w:t>
      </w:r>
      <w:r>
        <w:rPr>
          <w:rFonts w:hint="eastAsia" w:ascii="仿宋_GB2312" w:hAnsi="仿宋_GB2312" w:eastAsia="仿宋_GB2312" w:cs="仿宋_GB2312"/>
          <w:b/>
          <w:bCs/>
          <w:color w:val="000000"/>
          <w:sz w:val="32"/>
          <w:szCs w:val="32"/>
          <w:highlight w:val="none"/>
          <w:lang w:val="en-US" w:eastAsia="zh-CN"/>
        </w:rPr>
        <w:t>人民币</w:t>
      </w:r>
      <w:r>
        <w:rPr>
          <w:rFonts w:hint="eastAsia" w:ascii="仿宋_GB2312" w:hAnsi="仿宋_GB2312" w:eastAsia="仿宋_GB2312" w:cs="仿宋_GB2312"/>
          <w:b/>
          <w:bCs/>
          <w:kern w:val="2"/>
          <w:sz w:val="32"/>
          <w:szCs w:val="32"/>
          <w:highlight w:val="none"/>
          <w:lang w:val="en-US" w:eastAsia="zh-CN"/>
        </w:rPr>
        <w:t>199300.00</w:t>
      </w:r>
      <w:r>
        <w:rPr>
          <w:rFonts w:hint="eastAsia" w:ascii="仿宋_GB2312" w:hAnsi="仿宋_GB2312" w:eastAsia="仿宋_GB2312" w:cs="仿宋_GB2312"/>
          <w:b/>
          <w:bCs/>
          <w:color w:val="000000"/>
          <w:sz w:val="32"/>
          <w:szCs w:val="32"/>
          <w:highlight w:val="none"/>
          <w:lang w:val="zh-CN"/>
        </w:rPr>
        <w:t>元。</w:t>
      </w:r>
    </w:p>
    <w:p w14:paraId="76A7B791">
      <w:pPr>
        <w:numPr>
          <w:ilvl w:val="0"/>
          <w:numId w:val="0"/>
        </w:numPr>
        <w:adjustRightInd w:val="0"/>
        <w:snapToGrid w:val="0"/>
        <w:spacing w:line="576" w:lineRule="exact"/>
        <w:ind w:firstLine="643" w:firstLineChars="200"/>
        <w:rPr>
          <w:rFonts w:hint="eastAsia" w:ascii="仿宋_GB2312" w:hAnsi="仿宋_GB2312" w:eastAsia="仿宋_GB2312" w:cs="仿宋_GB2312"/>
          <w:b/>
          <w:bCs/>
          <w:color w:val="auto"/>
          <w:sz w:val="32"/>
          <w:szCs w:val="32"/>
          <w:lang w:val="zh-CN"/>
        </w:rPr>
      </w:pPr>
      <w:r>
        <w:rPr>
          <w:rFonts w:hint="eastAsia" w:ascii="仿宋_GB2312" w:hAnsi="仿宋_GB2312" w:eastAsia="仿宋_GB2312" w:cs="仿宋_GB2312"/>
          <w:b/>
          <w:bCs/>
          <w:color w:val="auto"/>
          <w:sz w:val="32"/>
          <w:szCs w:val="32"/>
          <w:lang w:val="en-US" w:eastAsia="zh-CN"/>
        </w:rPr>
        <w:t>三、采购内容：</w:t>
      </w:r>
    </w:p>
    <w:tbl>
      <w:tblPr>
        <w:tblStyle w:val="11"/>
        <w:tblW w:w="4995"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833"/>
        <w:gridCol w:w="1611"/>
        <w:gridCol w:w="1340"/>
        <w:gridCol w:w="742"/>
        <w:gridCol w:w="841"/>
        <w:gridCol w:w="3147"/>
      </w:tblGrid>
      <w:tr w14:paraId="002F90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72" w:hRule="atLeast"/>
          <w:jc w:val="center"/>
        </w:trPr>
        <w:tc>
          <w:tcPr>
            <w:tcW w:w="489" w:type="pct"/>
            <w:tcBorders>
              <w:tl2br w:val="nil"/>
              <w:tr2bl w:val="nil"/>
            </w:tcBorders>
            <w:noWrap/>
            <w:vAlign w:val="center"/>
          </w:tcPr>
          <w:p w14:paraId="6EBD16BD">
            <w:pPr>
              <w:keepNext w:val="0"/>
              <w:keepLines w:val="0"/>
              <w:widowControl/>
              <w:suppressLineNumbers w:val="0"/>
              <w:jc w:val="center"/>
              <w:textAlignment w:val="center"/>
              <w:rPr>
                <w:rFonts w:hint="eastAsia" w:ascii="仿宋_GB2312" w:hAnsi="仿宋_GB2312" w:eastAsia="仿宋_GB2312" w:cs="仿宋_GB2312"/>
                <w:b/>
                <w:bCs/>
                <w:i w:val="0"/>
                <w:iCs w:val="0"/>
                <w:color w:val="auto"/>
                <w:sz w:val="32"/>
                <w:szCs w:val="32"/>
                <w:u w:val="none"/>
              </w:rPr>
            </w:pPr>
            <w:r>
              <w:rPr>
                <w:rFonts w:hint="eastAsia" w:ascii="仿宋_GB2312" w:hAnsi="仿宋_GB2312" w:eastAsia="仿宋_GB2312" w:cs="仿宋_GB2312"/>
                <w:b/>
                <w:bCs/>
                <w:i w:val="0"/>
                <w:iCs w:val="0"/>
                <w:color w:val="auto"/>
                <w:kern w:val="0"/>
                <w:sz w:val="32"/>
                <w:szCs w:val="32"/>
                <w:u w:val="none"/>
                <w:lang w:val="en-US" w:eastAsia="zh-CN" w:bidi="ar"/>
              </w:rPr>
              <w:t>序号</w:t>
            </w:r>
          </w:p>
        </w:tc>
        <w:tc>
          <w:tcPr>
            <w:tcW w:w="945" w:type="pct"/>
            <w:tcBorders>
              <w:tl2br w:val="nil"/>
              <w:tr2bl w:val="nil"/>
            </w:tcBorders>
            <w:noWrap w:val="0"/>
            <w:vAlign w:val="center"/>
          </w:tcPr>
          <w:p w14:paraId="338C508C">
            <w:pPr>
              <w:keepNext w:val="0"/>
              <w:keepLines w:val="0"/>
              <w:widowControl/>
              <w:suppressLineNumbers w:val="0"/>
              <w:jc w:val="center"/>
              <w:textAlignment w:val="center"/>
              <w:rPr>
                <w:rFonts w:hint="eastAsia" w:ascii="仿宋_GB2312" w:hAnsi="仿宋_GB2312" w:eastAsia="仿宋_GB2312" w:cs="仿宋_GB2312"/>
                <w:b/>
                <w:bCs/>
                <w:i w:val="0"/>
                <w:iCs w:val="0"/>
                <w:color w:val="auto"/>
                <w:sz w:val="32"/>
                <w:szCs w:val="32"/>
                <w:u w:val="none"/>
              </w:rPr>
            </w:pPr>
            <w:r>
              <w:rPr>
                <w:rFonts w:hint="eastAsia" w:ascii="仿宋_GB2312" w:hAnsi="仿宋_GB2312" w:eastAsia="仿宋_GB2312" w:cs="仿宋_GB2312"/>
                <w:b/>
                <w:bCs/>
                <w:i w:val="0"/>
                <w:iCs w:val="0"/>
                <w:color w:val="auto"/>
                <w:kern w:val="0"/>
                <w:sz w:val="32"/>
                <w:szCs w:val="32"/>
                <w:u w:val="none"/>
                <w:lang w:val="en-US" w:eastAsia="zh-CN" w:bidi="ar"/>
              </w:rPr>
              <w:t>产品名称</w:t>
            </w:r>
          </w:p>
        </w:tc>
        <w:tc>
          <w:tcPr>
            <w:tcW w:w="787" w:type="pct"/>
            <w:tcBorders>
              <w:tl2br w:val="nil"/>
              <w:tr2bl w:val="nil"/>
            </w:tcBorders>
            <w:noWrap w:val="0"/>
            <w:vAlign w:val="center"/>
          </w:tcPr>
          <w:p w14:paraId="379B7F1E">
            <w:pPr>
              <w:keepNext w:val="0"/>
              <w:keepLines w:val="0"/>
              <w:widowControl/>
              <w:suppressLineNumbers w:val="0"/>
              <w:jc w:val="center"/>
              <w:textAlignment w:val="center"/>
              <w:rPr>
                <w:rFonts w:hint="eastAsia" w:ascii="仿宋_GB2312" w:hAnsi="仿宋_GB2312" w:eastAsia="仿宋_GB2312" w:cs="仿宋_GB2312"/>
                <w:b/>
                <w:bCs/>
                <w:i w:val="0"/>
                <w:iCs w:val="0"/>
                <w:color w:val="auto"/>
                <w:sz w:val="32"/>
                <w:szCs w:val="32"/>
                <w:u w:val="none"/>
              </w:rPr>
            </w:pPr>
            <w:r>
              <w:rPr>
                <w:rFonts w:hint="eastAsia" w:ascii="仿宋_GB2312" w:hAnsi="仿宋_GB2312" w:eastAsia="仿宋_GB2312" w:cs="仿宋_GB2312"/>
                <w:b/>
                <w:bCs/>
                <w:i w:val="0"/>
                <w:iCs w:val="0"/>
                <w:color w:val="auto"/>
                <w:kern w:val="0"/>
                <w:sz w:val="32"/>
                <w:szCs w:val="32"/>
                <w:u w:val="none"/>
                <w:lang w:val="en-US" w:eastAsia="zh-CN" w:bidi="ar"/>
              </w:rPr>
              <w:t>规格</w:t>
            </w:r>
          </w:p>
        </w:tc>
        <w:tc>
          <w:tcPr>
            <w:tcW w:w="435" w:type="pct"/>
            <w:tcBorders>
              <w:tl2br w:val="nil"/>
              <w:tr2bl w:val="nil"/>
            </w:tcBorders>
            <w:noWrap w:val="0"/>
            <w:vAlign w:val="center"/>
          </w:tcPr>
          <w:p w14:paraId="3AD6DBC0">
            <w:pPr>
              <w:keepNext w:val="0"/>
              <w:keepLines w:val="0"/>
              <w:widowControl/>
              <w:suppressLineNumbers w:val="0"/>
              <w:jc w:val="center"/>
              <w:textAlignment w:val="center"/>
              <w:rPr>
                <w:rFonts w:hint="eastAsia" w:ascii="仿宋_GB2312" w:hAnsi="仿宋_GB2312" w:eastAsia="仿宋_GB2312" w:cs="仿宋_GB2312"/>
                <w:b/>
                <w:bCs/>
                <w:i w:val="0"/>
                <w:iCs w:val="0"/>
                <w:color w:val="auto"/>
                <w:sz w:val="32"/>
                <w:szCs w:val="32"/>
                <w:u w:val="none"/>
              </w:rPr>
            </w:pPr>
            <w:r>
              <w:rPr>
                <w:rFonts w:hint="eastAsia" w:ascii="仿宋_GB2312" w:hAnsi="仿宋_GB2312" w:eastAsia="仿宋_GB2312" w:cs="仿宋_GB2312"/>
                <w:b/>
                <w:bCs/>
                <w:i w:val="0"/>
                <w:iCs w:val="0"/>
                <w:color w:val="auto"/>
                <w:kern w:val="0"/>
                <w:sz w:val="32"/>
                <w:szCs w:val="32"/>
                <w:u w:val="none"/>
                <w:lang w:val="en-US" w:eastAsia="zh-CN" w:bidi="ar"/>
              </w:rPr>
              <w:t>单位</w:t>
            </w:r>
          </w:p>
        </w:tc>
        <w:tc>
          <w:tcPr>
            <w:tcW w:w="493" w:type="pct"/>
            <w:tcBorders>
              <w:tl2br w:val="nil"/>
              <w:tr2bl w:val="nil"/>
            </w:tcBorders>
            <w:noWrap w:val="0"/>
            <w:vAlign w:val="center"/>
          </w:tcPr>
          <w:p w14:paraId="33874F75">
            <w:pPr>
              <w:keepNext w:val="0"/>
              <w:keepLines w:val="0"/>
              <w:widowControl/>
              <w:suppressLineNumbers w:val="0"/>
              <w:jc w:val="center"/>
              <w:textAlignment w:val="center"/>
              <w:rPr>
                <w:rFonts w:hint="eastAsia" w:ascii="仿宋_GB2312" w:hAnsi="仿宋_GB2312" w:eastAsia="仿宋_GB2312" w:cs="仿宋_GB2312"/>
                <w:b/>
                <w:bCs/>
                <w:i w:val="0"/>
                <w:iCs w:val="0"/>
                <w:color w:val="auto"/>
                <w:sz w:val="32"/>
                <w:szCs w:val="32"/>
                <w:u w:val="none"/>
              </w:rPr>
            </w:pPr>
            <w:r>
              <w:rPr>
                <w:rFonts w:hint="eastAsia" w:ascii="仿宋_GB2312" w:hAnsi="仿宋_GB2312" w:eastAsia="仿宋_GB2312" w:cs="仿宋_GB2312"/>
                <w:b/>
                <w:bCs/>
                <w:i w:val="0"/>
                <w:iCs w:val="0"/>
                <w:color w:val="auto"/>
                <w:kern w:val="0"/>
                <w:sz w:val="32"/>
                <w:szCs w:val="32"/>
                <w:u w:val="none"/>
                <w:lang w:val="en-US" w:eastAsia="zh-CN" w:bidi="ar"/>
              </w:rPr>
              <w:t>数量</w:t>
            </w:r>
          </w:p>
        </w:tc>
        <w:tc>
          <w:tcPr>
            <w:tcW w:w="1848" w:type="pct"/>
            <w:tcBorders>
              <w:tl2br w:val="nil"/>
              <w:tr2bl w:val="nil"/>
            </w:tcBorders>
            <w:noWrap w:val="0"/>
            <w:vAlign w:val="center"/>
          </w:tcPr>
          <w:p w14:paraId="2FC75688">
            <w:pPr>
              <w:keepNext w:val="0"/>
              <w:keepLines w:val="0"/>
              <w:widowControl/>
              <w:suppressLineNumbers w:val="0"/>
              <w:jc w:val="center"/>
              <w:textAlignment w:val="center"/>
              <w:rPr>
                <w:rFonts w:hint="eastAsia" w:ascii="仿宋_GB2312" w:hAnsi="仿宋_GB2312" w:eastAsia="仿宋_GB2312" w:cs="仿宋_GB2312"/>
                <w:b/>
                <w:bCs/>
                <w:i w:val="0"/>
                <w:iCs w:val="0"/>
                <w:color w:val="auto"/>
                <w:sz w:val="32"/>
                <w:szCs w:val="32"/>
                <w:u w:val="none"/>
              </w:rPr>
            </w:pPr>
            <w:r>
              <w:rPr>
                <w:rFonts w:hint="eastAsia" w:ascii="仿宋_GB2312" w:hAnsi="仿宋_GB2312" w:eastAsia="仿宋_GB2312" w:cs="仿宋_GB2312"/>
                <w:b/>
                <w:bCs/>
                <w:i w:val="0"/>
                <w:iCs w:val="0"/>
                <w:color w:val="auto"/>
                <w:kern w:val="0"/>
                <w:sz w:val="32"/>
                <w:szCs w:val="32"/>
                <w:u w:val="none"/>
                <w:lang w:val="en-US" w:eastAsia="zh-CN" w:bidi="ar"/>
              </w:rPr>
              <w:t>备注</w:t>
            </w:r>
          </w:p>
        </w:tc>
      </w:tr>
      <w:tr w14:paraId="5DE8C0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72" w:hRule="atLeast"/>
          <w:jc w:val="center"/>
        </w:trPr>
        <w:tc>
          <w:tcPr>
            <w:tcW w:w="489" w:type="pct"/>
            <w:tcBorders>
              <w:tl2br w:val="nil"/>
              <w:tr2bl w:val="nil"/>
            </w:tcBorders>
            <w:noWrap/>
            <w:vAlign w:val="center"/>
          </w:tcPr>
          <w:p w14:paraId="42EAF9E9">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u w:val="none"/>
              </w:rPr>
            </w:pPr>
            <w:r>
              <w:rPr>
                <w:rFonts w:hint="eastAsia" w:ascii="仿宋_GB2312" w:hAnsi="仿宋_GB2312" w:eastAsia="仿宋_GB2312" w:cs="仿宋_GB2312"/>
                <w:i w:val="0"/>
                <w:iCs w:val="0"/>
                <w:color w:val="auto"/>
                <w:kern w:val="0"/>
                <w:sz w:val="32"/>
                <w:szCs w:val="32"/>
                <w:u w:val="none"/>
                <w:lang w:val="en-US" w:eastAsia="zh-CN" w:bidi="ar"/>
              </w:rPr>
              <w:t>1</w:t>
            </w:r>
          </w:p>
        </w:tc>
        <w:tc>
          <w:tcPr>
            <w:tcW w:w="945" w:type="pct"/>
            <w:tcBorders>
              <w:tl2br w:val="nil"/>
              <w:tr2bl w:val="nil"/>
            </w:tcBorders>
            <w:noWrap w:val="0"/>
            <w:vAlign w:val="center"/>
          </w:tcPr>
          <w:p w14:paraId="34B58574">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u w:val="none"/>
              </w:rPr>
            </w:pPr>
            <w:r>
              <w:rPr>
                <w:rFonts w:hint="eastAsia" w:ascii="仿宋_GB2312" w:hAnsi="仿宋_GB2312" w:eastAsia="仿宋_GB2312" w:cs="仿宋_GB2312"/>
                <w:i w:val="0"/>
                <w:iCs w:val="0"/>
                <w:color w:val="auto"/>
                <w:kern w:val="0"/>
                <w:sz w:val="32"/>
                <w:szCs w:val="32"/>
                <w:u w:val="none"/>
                <w:lang w:val="en-US" w:eastAsia="zh-CN" w:bidi="ar"/>
              </w:rPr>
              <w:t>铅酸蓄电池</w:t>
            </w:r>
          </w:p>
        </w:tc>
        <w:tc>
          <w:tcPr>
            <w:tcW w:w="787" w:type="pct"/>
            <w:tcBorders>
              <w:tl2br w:val="nil"/>
              <w:tr2bl w:val="nil"/>
            </w:tcBorders>
            <w:noWrap w:val="0"/>
            <w:vAlign w:val="center"/>
          </w:tcPr>
          <w:p w14:paraId="1B92580B">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u w:val="none"/>
              </w:rPr>
            </w:pPr>
            <w:r>
              <w:rPr>
                <w:rFonts w:hint="eastAsia" w:ascii="仿宋_GB2312" w:hAnsi="仿宋_GB2312" w:eastAsia="仿宋_GB2312" w:cs="仿宋_GB2312"/>
                <w:i w:val="0"/>
                <w:iCs w:val="0"/>
                <w:color w:val="auto"/>
                <w:kern w:val="0"/>
                <w:sz w:val="32"/>
                <w:szCs w:val="32"/>
                <w:u w:val="none"/>
                <w:lang w:val="en-US" w:eastAsia="zh-CN" w:bidi="ar"/>
              </w:rPr>
              <w:t>12V100Ah</w:t>
            </w:r>
          </w:p>
        </w:tc>
        <w:tc>
          <w:tcPr>
            <w:tcW w:w="435" w:type="pct"/>
            <w:tcBorders>
              <w:tl2br w:val="nil"/>
              <w:tr2bl w:val="nil"/>
            </w:tcBorders>
            <w:noWrap/>
            <w:vAlign w:val="center"/>
          </w:tcPr>
          <w:p w14:paraId="07FDCE3E">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u w:val="none"/>
                <w:lang w:val="en-US" w:eastAsia="zh-CN"/>
              </w:rPr>
            </w:pPr>
            <w:r>
              <w:rPr>
                <w:rFonts w:hint="eastAsia" w:ascii="仿宋_GB2312" w:hAnsi="仿宋_GB2312" w:eastAsia="仿宋_GB2312" w:cs="仿宋_GB2312"/>
                <w:i w:val="0"/>
                <w:iCs w:val="0"/>
                <w:color w:val="auto"/>
                <w:sz w:val="32"/>
                <w:szCs w:val="32"/>
                <w:u w:val="none"/>
                <w:lang w:val="en-US" w:eastAsia="zh-CN"/>
              </w:rPr>
              <w:t>只</w:t>
            </w:r>
          </w:p>
        </w:tc>
        <w:tc>
          <w:tcPr>
            <w:tcW w:w="493" w:type="pct"/>
            <w:tcBorders>
              <w:tl2br w:val="nil"/>
              <w:tr2bl w:val="nil"/>
            </w:tcBorders>
            <w:noWrap/>
            <w:vAlign w:val="center"/>
          </w:tcPr>
          <w:p w14:paraId="402312FF">
            <w:pPr>
              <w:keepNext w:val="0"/>
              <w:keepLines w:val="0"/>
              <w:widowControl/>
              <w:suppressLineNumbers w:val="0"/>
              <w:jc w:val="center"/>
              <w:textAlignment w:val="center"/>
              <w:rPr>
                <w:rFonts w:hint="default" w:ascii="仿宋_GB2312" w:hAnsi="仿宋_GB2312" w:eastAsia="仿宋_GB2312" w:cs="仿宋_GB2312"/>
                <w:i w:val="0"/>
                <w:iCs w:val="0"/>
                <w:color w:val="auto"/>
                <w:sz w:val="32"/>
                <w:szCs w:val="32"/>
                <w:u w:val="none"/>
                <w:lang w:val="en-US"/>
              </w:rPr>
            </w:pPr>
            <w:r>
              <w:rPr>
                <w:rFonts w:hint="eastAsia" w:ascii="仿宋_GB2312" w:hAnsi="仿宋_GB2312" w:eastAsia="仿宋_GB2312" w:cs="仿宋_GB2312"/>
                <w:i w:val="0"/>
                <w:iCs w:val="0"/>
                <w:color w:val="auto"/>
                <w:kern w:val="0"/>
                <w:sz w:val="32"/>
                <w:szCs w:val="32"/>
                <w:u w:val="none"/>
                <w:lang w:val="en-US" w:eastAsia="zh-CN" w:bidi="ar"/>
              </w:rPr>
              <w:t>216</w:t>
            </w:r>
          </w:p>
        </w:tc>
        <w:tc>
          <w:tcPr>
            <w:tcW w:w="1848" w:type="pct"/>
            <w:tcBorders>
              <w:tl2br w:val="nil"/>
              <w:tr2bl w:val="nil"/>
            </w:tcBorders>
            <w:noWrap/>
            <w:vAlign w:val="center"/>
          </w:tcPr>
          <w:p w14:paraId="22C2E463">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u w:val="none"/>
              </w:rPr>
            </w:pPr>
            <w:r>
              <w:rPr>
                <w:rFonts w:hint="eastAsia" w:ascii="仿宋_GB2312" w:hAnsi="仿宋_GB2312" w:eastAsia="仿宋_GB2312" w:cs="仿宋_GB2312"/>
                <w:i w:val="0"/>
                <w:iCs w:val="0"/>
                <w:color w:val="auto"/>
                <w:kern w:val="0"/>
                <w:sz w:val="32"/>
                <w:szCs w:val="32"/>
                <w:u w:val="none"/>
                <w:lang w:val="en-US" w:eastAsia="zh-CN" w:bidi="ar"/>
              </w:rPr>
              <w:t>5年原厂质保</w:t>
            </w:r>
          </w:p>
        </w:tc>
      </w:tr>
      <w:tr w14:paraId="2DFA0F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72" w:hRule="atLeast"/>
          <w:jc w:val="center"/>
        </w:trPr>
        <w:tc>
          <w:tcPr>
            <w:tcW w:w="489" w:type="pct"/>
            <w:tcBorders>
              <w:tl2br w:val="nil"/>
              <w:tr2bl w:val="nil"/>
            </w:tcBorders>
            <w:noWrap/>
            <w:vAlign w:val="center"/>
          </w:tcPr>
          <w:p w14:paraId="1E996F97">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u w:val="none"/>
              </w:rPr>
            </w:pPr>
            <w:r>
              <w:rPr>
                <w:rFonts w:hint="eastAsia" w:ascii="仿宋_GB2312" w:hAnsi="仿宋_GB2312" w:eastAsia="仿宋_GB2312" w:cs="仿宋_GB2312"/>
                <w:i w:val="0"/>
                <w:iCs w:val="0"/>
                <w:color w:val="auto"/>
                <w:kern w:val="0"/>
                <w:sz w:val="32"/>
                <w:szCs w:val="32"/>
                <w:u w:val="none"/>
                <w:lang w:val="en-US" w:eastAsia="zh-CN" w:bidi="ar"/>
              </w:rPr>
              <w:t>2</w:t>
            </w:r>
          </w:p>
        </w:tc>
        <w:tc>
          <w:tcPr>
            <w:tcW w:w="945" w:type="pct"/>
            <w:tcBorders>
              <w:tl2br w:val="nil"/>
              <w:tr2bl w:val="nil"/>
            </w:tcBorders>
            <w:noWrap w:val="0"/>
            <w:vAlign w:val="center"/>
          </w:tcPr>
          <w:p w14:paraId="36F64D6C">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u w:val="none"/>
              </w:rPr>
            </w:pPr>
            <w:r>
              <w:rPr>
                <w:rFonts w:hint="eastAsia" w:ascii="仿宋_GB2312" w:hAnsi="仿宋_GB2312" w:eastAsia="仿宋_GB2312" w:cs="仿宋_GB2312"/>
                <w:i w:val="0"/>
                <w:iCs w:val="0"/>
                <w:color w:val="auto"/>
                <w:kern w:val="0"/>
                <w:sz w:val="32"/>
                <w:szCs w:val="32"/>
                <w:u w:val="none"/>
                <w:lang w:val="en-US" w:eastAsia="zh-CN" w:bidi="ar"/>
              </w:rPr>
              <w:t>搬运及施工</w:t>
            </w:r>
          </w:p>
        </w:tc>
        <w:tc>
          <w:tcPr>
            <w:tcW w:w="787" w:type="pct"/>
            <w:tcBorders>
              <w:tl2br w:val="nil"/>
              <w:tr2bl w:val="nil"/>
            </w:tcBorders>
            <w:noWrap w:val="0"/>
            <w:vAlign w:val="center"/>
          </w:tcPr>
          <w:p w14:paraId="3F243EB3">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u w:val="none"/>
                <w:lang w:val="en-US" w:eastAsia="zh-CN"/>
              </w:rPr>
            </w:pPr>
            <w:r>
              <w:rPr>
                <w:rFonts w:hint="eastAsia" w:ascii="仿宋_GB2312" w:hAnsi="仿宋_GB2312" w:eastAsia="仿宋_GB2312" w:cs="仿宋_GB2312"/>
                <w:i w:val="0"/>
                <w:iCs w:val="0"/>
                <w:color w:val="auto"/>
                <w:sz w:val="32"/>
                <w:szCs w:val="32"/>
                <w:u w:val="none"/>
                <w:lang w:val="en-US" w:eastAsia="zh-CN"/>
              </w:rPr>
              <w:t>/</w:t>
            </w:r>
          </w:p>
        </w:tc>
        <w:tc>
          <w:tcPr>
            <w:tcW w:w="435" w:type="pct"/>
            <w:tcBorders>
              <w:tl2br w:val="nil"/>
              <w:tr2bl w:val="nil"/>
            </w:tcBorders>
            <w:noWrap/>
            <w:vAlign w:val="center"/>
          </w:tcPr>
          <w:p w14:paraId="5B72BF94">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u w:val="none"/>
              </w:rPr>
            </w:pPr>
            <w:r>
              <w:rPr>
                <w:rFonts w:hint="eastAsia" w:ascii="仿宋_GB2312" w:hAnsi="仿宋_GB2312" w:eastAsia="仿宋_GB2312" w:cs="仿宋_GB2312"/>
                <w:i w:val="0"/>
                <w:iCs w:val="0"/>
                <w:color w:val="auto"/>
                <w:kern w:val="0"/>
                <w:sz w:val="32"/>
                <w:szCs w:val="32"/>
                <w:u w:val="none"/>
                <w:lang w:val="en-US" w:eastAsia="zh-CN" w:bidi="ar"/>
              </w:rPr>
              <w:t>项</w:t>
            </w:r>
          </w:p>
        </w:tc>
        <w:tc>
          <w:tcPr>
            <w:tcW w:w="493" w:type="pct"/>
            <w:tcBorders>
              <w:tl2br w:val="nil"/>
              <w:tr2bl w:val="nil"/>
            </w:tcBorders>
            <w:noWrap/>
            <w:vAlign w:val="center"/>
          </w:tcPr>
          <w:p w14:paraId="1AAD5628">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u w:val="none"/>
              </w:rPr>
            </w:pPr>
            <w:r>
              <w:rPr>
                <w:rFonts w:hint="eastAsia" w:ascii="仿宋_GB2312" w:hAnsi="仿宋_GB2312" w:eastAsia="仿宋_GB2312" w:cs="仿宋_GB2312"/>
                <w:i w:val="0"/>
                <w:iCs w:val="0"/>
                <w:color w:val="auto"/>
                <w:kern w:val="0"/>
                <w:sz w:val="32"/>
                <w:szCs w:val="32"/>
                <w:u w:val="none"/>
                <w:lang w:val="en-US" w:eastAsia="zh-CN" w:bidi="ar"/>
              </w:rPr>
              <w:t>1</w:t>
            </w:r>
          </w:p>
        </w:tc>
        <w:tc>
          <w:tcPr>
            <w:tcW w:w="1848" w:type="pct"/>
            <w:tcBorders>
              <w:tl2br w:val="nil"/>
              <w:tr2bl w:val="nil"/>
            </w:tcBorders>
            <w:noWrap/>
            <w:vAlign w:val="center"/>
          </w:tcPr>
          <w:p w14:paraId="198E8518">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u w:val="none"/>
              </w:rPr>
            </w:pPr>
            <w:r>
              <w:rPr>
                <w:rFonts w:hint="eastAsia" w:ascii="仿宋_GB2312" w:hAnsi="仿宋_GB2312" w:eastAsia="仿宋_GB2312" w:cs="仿宋_GB2312"/>
                <w:i w:val="0"/>
                <w:iCs w:val="0"/>
                <w:color w:val="auto"/>
                <w:kern w:val="0"/>
                <w:sz w:val="32"/>
                <w:szCs w:val="32"/>
                <w:u w:val="none"/>
                <w:lang w:val="en-US" w:eastAsia="zh-CN" w:bidi="ar"/>
              </w:rPr>
              <w:t>旧设备拆除、新设备安装</w:t>
            </w:r>
          </w:p>
        </w:tc>
      </w:tr>
    </w:tbl>
    <w:p w14:paraId="33A9A63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3" w:firstLineChars="200"/>
        <w:jc w:val="both"/>
        <w:textAlignment w:val="auto"/>
        <w:rPr>
          <w:rFonts w:hint="default" w:ascii="Times New Roman" w:hAnsi="Times New Roman" w:eastAsia="仿宋_GB2312" w:cs="Times New Roman"/>
          <w:b/>
          <w:bCs/>
          <w:spacing w:val="0"/>
          <w:sz w:val="32"/>
          <w:szCs w:val="32"/>
          <w:lang w:val="en-US" w:eastAsia="zh-CN"/>
        </w:rPr>
      </w:pPr>
      <w:r>
        <w:rPr>
          <w:rFonts w:hint="eastAsia" w:ascii="Times New Roman" w:hAnsi="Times New Roman" w:eastAsia="仿宋_GB2312" w:cs="Times New Roman"/>
          <w:b/>
          <w:bCs/>
          <w:spacing w:val="0"/>
          <w:sz w:val="32"/>
          <w:szCs w:val="32"/>
          <w:lang w:val="en-US" w:eastAsia="zh-CN"/>
        </w:rPr>
        <w:t>四</w:t>
      </w:r>
      <w:r>
        <w:rPr>
          <w:rFonts w:hint="default" w:ascii="Times New Roman" w:hAnsi="Times New Roman" w:eastAsia="仿宋_GB2312" w:cs="Times New Roman"/>
          <w:b/>
          <w:bCs/>
          <w:spacing w:val="0"/>
          <w:sz w:val="32"/>
          <w:szCs w:val="32"/>
          <w:lang w:val="en-US" w:eastAsia="zh-CN"/>
        </w:rPr>
        <w:t>、设备功能参数要求</w:t>
      </w:r>
    </w:p>
    <w:p w14:paraId="6F669F7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2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rPr>
        <w:t>★</w:t>
      </w:r>
      <w:r>
        <w:rPr>
          <w:rFonts w:hint="eastAsia" w:ascii="仿宋_GB2312" w:hAnsi="仿宋_GB2312" w:eastAsia="仿宋_GB2312" w:cs="仿宋_GB2312"/>
          <w:b w:val="0"/>
          <w:bCs w:val="0"/>
          <w:spacing w:val="0"/>
          <w:sz w:val="32"/>
          <w:szCs w:val="32"/>
          <w:lang w:val="en-US" w:eastAsia="zh-CN"/>
        </w:rPr>
        <w:t>（一）容量：单体12V100AH。</w:t>
      </w:r>
    </w:p>
    <w:p w14:paraId="3B741C7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（二）类型：阀控式密封铅酸蓄电池。</w:t>
      </w:r>
    </w:p>
    <w:p w14:paraId="49D6CDC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（三）规格：原电池长、宽、高（330mm*173mm*212mm），新采购电池能安装于原有电池柜内。</w:t>
      </w:r>
    </w:p>
    <w:p w14:paraId="5B11DA1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2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rPr>
        <w:t>★</w:t>
      </w:r>
      <w:r>
        <w:rPr>
          <w:rFonts w:hint="eastAsia" w:ascii="仿宋_GB2312" w:hAnsi="仿宋_GB2312" w:eastAsia="仿宋_GB2312" w:cs="仿宋_GB2312"/>
          <w:b w:val="0"/>
          <w:bCs w:val="0"/>
          <w:spacing w:val="0"/>
          <w:sz w:val="32"/>
          <w:szCs w:val="32"/>
          <w:lang w:val="en-US" w:eastAsia="zh-CN"/>
        </w:rPr>
        <w:t>（四）蓄电池的浮充设计寿命不低于10年；自放电率每月不大于3%，完全充电的蓄电池，在25±5°C环境下静置28天后，容量保持率≥96%。</w:t>
      </w:r>
    </w:p>
    <w:p w14:paraId="512976FA">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（五）电池外壳无变形、裂纹及污渍；极性正确，正负极性及端子有明显标志。</w:t>
      </w:r>
    </w:p>
    <w:p w14:paraId="40316F57">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（六）蓄电池应采用嵌入式内螺纹铜端子，能适应瞬间大电流放电。</w:t>
      </w:r>
    </w:p>
    <w:p w14:paraId="059A01D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（七）蓄电池电压均衡性满足一组蓄电池中任意两个电池的电压差不超过60mV。</w:t>
      </w:r>
    </w:p>
    <w:p w14:paraId="6DB916B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（八）两个蓄电池之间连接条的压降不超过3mV。</w:t>
      </w:r>
    </w:p>
    <w:p w14:paraId="494CC22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（九）密封反应效率不低于95%。</w:t>
      </w:r>
    </w:p>
    <w:p w14:paraId="1AD33717">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（十）使用温度：-20°C至50°C。</w:t>
      </w:r>
    </w:p>
    <w:p w14:paraId="0975FC38">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（十一）蓄电池外壳阻燃等级达到HB级。</w:t>
      </w:r>
    </w:p>
    <w:p w14:paraId="1803378D">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（十二）电池在正常浮充过程中应无酸雾逸出，在正常使用下无漏液、渗液、爬液、膨胀及破裂现象。</w:t>
      </w:r>
    </w:p>
    <w:p w14:paraId="2ED18BCA">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（十三）蓄电池间接线板、终端接头为导电性能良好的材料并采用防腐蚀措施；蓄电池槽、盖、安全阀、极柱封口剂等材料具有阻燃性。</w:t>
      </w:r>
    </w:p>
    <w:p w14:paraId="789E4321">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（十四）蓄电池要求电池初始内阻最大值≤5mΩ。</w:t>
      </w:r>
    </w:p>
    <w:p w14:paraId="159C2CA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（十五）蓄电池组单体间的开路电压最高与最低差值不大于20mV；进入浮充状态24h后，各蓄电池间的浮充电压最高值与最低值之差不大于50mV。</w:t>
      </w:r>
    </w:p>
    <w:p w14:paraId="43D8861F">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（十六）壳体材料采用ABS阻燃材料。</w:t>
      </w:r>
    </w:p>
    <w:p w14:paraId="0656CAAE">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（十七）浮/均充充电。浮充电压值及范围：13.50V～13.80V，均充电电压值及范围：14.10V～14.40V。</w:t>
      </w:r>
    </w:p>
    <w:p w14:paraId="3F43456B">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2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rPr>
        <w:t>★</w:t>
      </w:r>
      <w:r>
        <w:rPr>
          <w:rFonts w:hint="eastAsia" w:ascii="仿宋_GB2312" w:hAnsi="仿宋_GB2312" w:eastAsia="仿宋_GB2312" w:cs="仿宋_GB2312"/>
          <w:b w:val="0"/>
          <w:bCs w:val="0"/>
          <w:spacing w:val="0"/>
          <w:sz w:val="32"/>
          <w:szCs w:val="32"/>
          <w:lang w:val="en-US" w:eastAsia="zh-CN"/>
        </w:rPr>
        <w:t>（十八）80%放电深度时≥600次；30%放电深度时≥1100次；15min恒功率循环，前20次不能低于15min，循环寿命大于60次。</w:t>
      </w:r>
      <w:bookmarkStart w:id="22" w:name="_GoBack"/>
      <w:bookmarkEnd w:id="22"/>
    </w:p>
    <w:p w14:paraId="72353C6A">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（十九）开阀压力：10kPa～35kPa，闭阀压力：5kPa～15 kPa,</w:t>
      </w:r>
    </w:p>
    <w:p w14:paraId="7ABF4D1C">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（二十）蓄电池应能承受约50KPa的正压或负压而不破裂、不开胶，压力释放后壳体无残余变形。</w:t>
      </w:r>
    </w:p>
    <w:p w14:paraId="087BE3F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（二十一）电池通过抗震性能测试并提供抗震检验报告。</w:t>
      </w:r>
    </w:p>
    <w:p w14:paraId="3EA33D3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3" w:firstLineChars="200"/>
        <w:jc w:val="both"/>
        <w:textAlignment w:val="auto"/>
        <w:rPr>
          <w:rFonts w:hint="eastAsia" w:ascii="仿宋_GB2312" w:hAnsi="仿宋_GB2312" w:eastAsia="仿宋_GB2312" w:cs="仿宋_GB2312"/>
          <w:b/>
          <w:bCs/>
          <w:spacing w:val="0"/>
          <w:sz w:val="32"/>
          <w:szCs w:val="32"/>
          <w:lang w:val="zh-CN" w:eastAsia="zh-CN"/>
        </w:rPr>
      </w:pPr>
      <w:r>
        <w:rPr>
          <w:rFonts w:hint="eastAsia" w:ascii="仿宋_GB2312" w:hAnsi="仿宋_GB2312" w:eastAsia="仿宋_GB2312" w:cs="仿宋_GB2312"/>
          <w:b/>
          <w:bCs/>
          <w:spacing w:val="0"/>
          <w:sz w:val="32"/>
          <w:szCs w:val="32"/>
          <w:lang w:val="en-US" w:eastAsia="zh-CN"/>
        </w:rPr>
        <w:t>五</w:t>
      </w:r>
      <w:r>
        <w:rPr>
          <w:rFonts w:hint="eastAsia" w:ascii="仿宋_GB2312" w:hAnsi="仿宋_GB2312" w:eastAsia="仿宋_GB2312" w:cs="仿宋_GB2312"/>
          <w:b/>
          <w:bCs/>
          <w:spacing w:val="0"/>
          <w:sz w:val="32"/>
          <w:szCs w:val="32"/>
          <w:lang w:val="zh-CN" w:eastAsia="zh-CN"/>
        </w:rPr>
        <w:t>、服务要求</w:t>
      </w:r>
    </w:p>
    <w:p w14:paraId="31E7E821">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lang w:val="zh-CN" w:eastAsia="zh-CN"/>
        </w:rPr>
      </w:pPr>
      <w:r>
        <w:rPr>
          <w:rFonts w:hint="eastAsia" w:ascii="仿宋_GB2312" w:hAnsi="仿宋_GB2312" w:eastAsia="仿宋_GB2312" w:cs="仿宋_GB2312"/>
          <w:b w:val="0"/>
          <w:bCs w:val="0"/>
          <w:spacing w:val="0"/>
          <w:sz w:val="32"/>
          <w:szCs w:val="32"/>
          <w:lang w:val="zh-CN" w:eastAsia="zh-CN"/>
        </w:rPr>
        <w:t>（</w:t>
      </w:r>
      <w:r>
        <w:rPr>
          <w:rFonts w:hint="eastAsia" w:ascii="仿宋_GB2312" w:hAnsi="仿宋_GB2312" w:eastAsia="仿宋_GB2312" w:cs="仿宋_GB2312"/>
          <w:b w:val="0"/>
          <w:bCs w:val="0"/>
          <w:spacing w:val="0"/>
          <w:sz w:val="32"/>
          <w:szCs w:val="32"/>
          <w:lang w:val="en-US" w:eastAsia="zh-CN"/>
        </w:rPr>
        <w:t>一</w:t>
      </w:r>
      <w:r>
        <w:rPr>
          <w:rFonts w:hint="eastAsia" w:ascii="仿宋_GB2312" w:hAnsi="仿宋_GB2312" w:eastAsia="仿宋_GB2312" w:cs="仿宋_GB2312"/>
          <w:b w:val="0"/>
          <w:bCs w:val="0"/>
          <w:spacing w:val="0"/>
          <w:sz w:val="32"/>
          <w:szCs w:val="32"/>
          <w:lang w:val="zh-CN" w:eastAsia="zh-CN"/>
        </w:rPr>
        <w:t>）提供旧电池设备的拆除搬运、新电池设备的运输和安装。</w:t>
      </w:r>
    </w:p>
    <w:p w14:paraId="6B5412F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20" w:firstLineChars="200"/>
        <w:jc w:val="both"/>
        <w:textAlignment w:val="auto"/>
        <w:rPr>
          <w:rFonts w:hint="eastAsia" w:ascii="仿宋_GB2312" w:hAnsi="仿宋_GB2312" w:eastAsia="仿宋_GB2312" w:cs="仿宋_GB2312"/>
          <w:b w:val="0"/>
          <w:bCs w:val="0"/>
          <w:spacing w:val="0"/>
          <w:sz w:val="32"/>
          <w:szCs w:val="32"/>
          <w:lang w:val="zh-CN" w:eastAsia="zh-CN"/>
        </w:rPr>
      </w:pPr>
      <w:r>
        <w:rPr>
          <w:rFonts w:hint="eastAsia"/>
        </w:rPr>
        <w:t>★</w:t>
      </w:r>
      <w:r>
        <w:rPr>
          <w:rFonts w:hint="eastAsia" w:ascii="仿宋_GB2312" w:hAnsi="仿宋_GB2312" w:eastAsia="仿宋_GB2312" w:cs="仿宋_GB2312"/>
          <w:b w:val="0"/>
          <w:bCs w:val="0"/>
          <w:spacing w:val="0"/>
          <w:sz w:val="32"/>
          <w:szCs w:val="32"/>
          <w:lang w:val="zh-CN" w:eastAsia="zh-CN"/>
        </w:rPr>
        <w:t>（</w:t>
      </w:r>
      <w:r>
        <w:rPr>
          <w:rFonts w:hint="eastAsia" w:ascii="仿宋_GB2312" w:hAnsi="仿宋_GB2312" w:eastAsia="仿宋_GB2312" w:cs="仿宋_GB2312"/>
          <w:b w:val="0"/>
          <w:bCs w:val="0"/>
          <w:spacing w:val="0"/>
          <w:sz w:val="32"/>
          <w:szCs w:val="32"/>
          <w:lang w:val="en-US" w:eastAsia="zh-CN"/>
        </w:rPr>
        <w:t>二</w:t>
      </w:r>
      <w:r>
        <w:rPr>
          <w:rFonts w:hint="eastAsia" w:ascii="仿宋_GB2312" w:hAnsi="仿宋_GB2312" w:eastAsia="仿宋_GB2312" w:cs="仿宋_GB2312"/>
          <w:b w:val="0"/>
          <w:bCs w:val="0"/>
          <w:spacing w:val="0"/>
          <w:sz w:val="32"/>
          <w:szCs w:val="32"/>
          <w:lang w:val="zh-CN" w:eastAsia="zh-CN"/>
        </w:rPr>
        <w:t>）质保期内每年提供至少4次</w:t>
      </w:r>
      <w:r>
        <w:rPr>
          <w:rFonts w:hint="eastAsia" w:ascii="仿宋_GB2312" w:hAnsi="仿宋_GB2312" w:eastAsia="仿宋_GB2312" w:cs="仿宋_GB2312"/>
          <w:b w:val="0"/>
          <w:bCs w:val="0"/>
          <w:spacing w:val="0"/>
          <w:sz w:val="32"/>
          <w:szCs w:val="32"/>
          <w:lang w:val="en-US" w:eastAsia="zh-CN"/>
        </w:rPr>
        <w:t>以上</w:t>
      </w:r>
      <w:r>
        <w:rPr>
          <w:rFonts w:hint="eastAsia" w:ascii="仿宋_GB2312" w:hAnsi="仿宋_GB2312" w:eastAsia="仿宋_GB2312" w:cs="仿宋_GB2312"/>
          <w:b w:val="0"/>
          <w:bCs w:val="0"/>
          <w:spacing w:val="0"/>
          <w:sz w:val="32"/>
          <w:szCs w:val="32"/>
          <w:lang w:val="zh-CN" w:eastAsia="zh-CN"/>
        </w:rPr>
        <w:t>包含UPS主机及电池巡检服务（每季度一次），并出具巡检报告。</w:t>
      </w:r>
    </w:p>
    <w:p w14:paraId="2416486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lang w:val="zh-CN" w:eastAsia="zh-CN"/>
        </w:rPr>
      </w:pPr>
      <w:r>
        <w:rPr>
          <w:rFonts w:hint="eastAsia" w:ascii="仿宋_GB2312" w:hAnsi="仿宋_GB2312" w:eastAsia="仿宋_GB2312" w:cs="仿宋_GB2312"/>
          <w:b w:val="0"/>
          <w:bCs w:val="0"/>
          <w:spacing w:val="0"/>
          <w:sz w:val="32"/>
          <w:szCs w:val="32"/>
          <w:lang w:val="zh-CN" w:eastAsia="zh-CN"/>
        </w:rPr>
        <w:t>（</w:t>
      </w:r>
      <w:r>
        <w:rPr>
          <w:rFonts w:hint="eastAsia" w:ascii="仿宋_GB2312" w:hAnsi="仿宋_GB2312" w:eastAsia="仿宋_GB2312" w:cs="仿宋_GB2312"/>
          <w:b w:val="0"/>
          <w:bCs w:val="0"/>
          <w:spacing w:val="0"/>
          <w:sz w:val="32"/>
          <w:szCs w:val="32"/>
          <w:lang w:val="en-US" w:eastAsia="zh-CN"/>
        </w:rPr>
        <w:t>三）</w:t>
      </w:r>
      <w:r>
        <w:rPr>
          <w:rFonts w:hint="eastAsia" w:ascii="仿宋_GB2312" w:hAnsi="仿宋_GB2312" w:eastAsia="仿宋_GB2312" w:cs="仿宋_GB2312"/>
          <w:b w:val="0"/>
          <w:bCs w:val="0"/>
          <w:spacing w:val="0"/>
          <w:sz w:val="32"/>
          <w:szCs w:val="32"/>
          <w:lang w:val="zh-CN" w:eastAsia="zh-CN"/>
        </w:rPr>
        <w:t>提供质保期内全年7*24小时的技术咨询服务，产品质量问题，供应商接到采购人通知后4小时内派人现场维修更换。</w:t>
      </w:r>
    </w:p>
    <w:p w14:paraId="47B153DE">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20" w:firstLineChars="200"/>
        <w:jc w:val="both"/>
        <w:textAlignment w:val="auto"/>
        <w:rPr>
          <w:rFonts w:hint="eastAsia" w:ascii="仿宋_GB2312" w:hAnsi="仿宋_GB2312" w:eastAsia="仿宋_GB2312" w:cs="仿宋_GB2312"/>
          <w:b w:val="0"/>
          <w:bCs w:val="0"/>
          <w:spacing w:val="0"/>
          <w:sz w:val="32"/>
          <w:szCs w:val="32"/>
          <w:lang w:val="zh-CN" w:eastAsia="zh-CN"/>
        </w:rPr>
      </w:pPr>
      <w:r>
        <w:rPr>
          <w:rFonts w:hint="eastAsia"/>
        </w:rPr>
        <w:t>★</w:t>
      </w:r>
      <w:r>
        <w:rPr>
          <w:rFonts w:hint="eastAsia" w:ascii="仿宋_GB2312" w:hAnsi="仿宋_GB2312" w:eastAsia="仿宋_GB2312" w:cs="仿宋_GB2312"/>
          <w:b w:val="0"/>
          <w:bCs w:val="0"/>
          <w:spacing w:val="0"/>
          <w:sz w:val="32"/>
          <w:szCs w:val="32"/>
          <w:lang w:val="zh-CN" w:eastAsia="zh-CN"/>
        </w:rPr>
        <w:t>（</w:t>
      </w:r>
      <w:r>
        <w:rPr>
          <w:rFonts w:hint="eastAsia" w:ascii="仿宋_GB2312" w:hAnsi="仿宋_GB2312" w:eastAsia="仿宋_GB2312" w:cs="仿宋_GB2312"/>
          <w:b w:val="0"/>
          <w:bCs w:val="0"/>
          <w:spacing w:val="0"/>
          <w:sz w:val="32"/>
          <w:szCs w:val="32"/>
          <w:lang w:val="en-US" w:eastAsia="zh-CN"/>
        </w:rPr>
        <w:t>四</w:t>
      </w:r>
      <w:r>
        <w:rPr>
          <w:rFonts w:hint="eastAsia" w:ascii="仿宋_GB2312" w:hAnsi="仿宋_GB2312" w:eastAsia="仿宋_GB2312" w:cs="仿宋_GB2312"/>
          <w:b w:val="0"/>
          <w:bCs w:val="0"/>
          <w:spacing w:val="0"/>
          <w:sz w:val="32"/>
          <w:szCs w:val="32"/>
          <w:lang w:val="zh-CN" w:eastAsia="zh-CN"/>
        </w:rPr>
        <w:t>）电池产品在正常环境、正常使用中如出现单组电池中有3节以上（包含本数）损坏，供应商需更换整组电池。</w:t>
      </w:r>
    </w:p>
    <w:p w14:paraId="4F0242E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3" w:firstLineChars="200"/>
        <w:jc w:val="both"/>
        <w:textAlignment w:val="auto"/>
        <w:rPr>
          <w:rFonts w:hint="eastAsia" w:ascii="仿宋_GB2312" w:hAnsi="仿宋_GB2312" w:eastAsia="仿宋_GB2312" w:cs="仿宋_GB2312"/>
          <w:b/>
          <w:bCs/>
          <w:spacing w:val="0"/>
          <w:sz w:val="32"/>
          <w:szCs w:val="32"/>
          <w:highlight w:val="none"/>
          <w:lang w:val="en-US" w:eastAsia="zh-CN"/>
        </w:rPr>
      </w:pPr>
      <w:r>
        <w:rPr>
          <w:rFonts w:hint="eastAsia" w:ascii="仿宋_GB2312" w:hAnsi="仿宋_GB2312" w:eastAsia="仿宋_GB2312" w:cs="仿宋_GB2312"/>
          <w:b/>
          <w:bCs/>
          <w:spacing w:val="0"/>
          <w:sz w:val="32"/>
          <w:szCs w:val="32"/>
          <w:lang w:val="en-US" w:eastAsia="zh-CN"/>
        </w:rPr>
        <w:t>六、商务要求</w:t>
      </w:r>
    </w:p>
    <w:p w14:paraId="7288C3C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highlight w:val="none"/>
          <w:lang w:val="zh-CN" w:eastAsia="zh-CN"/>
        </w:rPr>
      </w:pPr>
      <w:r>
        <w:rPr>
          <w:rFonts w:hint="eastAsia" w:ascii="仿宋_GB2312" w:hAnsi="仿宋_GB2312" w:eastAsia="仿宋_GB2312" w:cs="仿宋_GB2312"/>
          <w:b w:val="0"/>
          <w:bCs w:val="0"/>
          <w:spacing w:val="0"/>
          <w:sz w:val="32"/>
          <w:szCs w:val="32"/>
          <w:highlight w:val="none"/>
          <w:lang w:val="zh-CN" w:eastAsia="zh-CN"/>
        </w:rPr>
        <w:t>（</w:t>
      </w:r>
      <w:r>
        <w:rPr>
          <w:rFonts w:hint="eastAsia" w:ascii="仿宋_GB2312" w:hAnsi="仿宋_GB2312" w:eastAsia="仿宋_GB2312" w:cs="仿宋_GB2312"/>
          <w:b w:val="0"/>
          <w:bCs w:val="0"/>
          <w:spacing w:val="0"/>
          <w:sz w:val="32"/>
          <w:szCs w:val="32"/>
          <w:highlight w:val="none"/>
          <w:lang w:val="en-US" w:eastAsia="zh-CN"/>
        </w:rPr>
        <w:t>一）</w:t>
      </w:r>
      <w:r>
        <w:rPr>
          <w:rFonts w:hint="eastAsia" w:ascii="仿宋_GB2312" w:hAnsi="仿宋_GB2312" w:eastAsia="仿宋_GB2312" w:cs="仿宋_GB2312"/>
          <w:b w:val="0"/>
          <w:bCs w:val="0"/>
          <w:spacing w:val="0"/>
          <w:sz w:val="32"/>
          <w:szCs w:val="32"/>
          <w:highlight w:val="none"/>
          <w:lang w:val="zh-CN" w:eastAsia="zh-CN"/>
        </w:rPr>
        <w:t>交货期</w:t>
      </w:r>
      <w:r>
        <w:rPr>
          <w:rFonts w:hint="eastAsia" w:ascii="仿宋_GB2312" w:hAnsi="仿宋_GB2312" w:eastAsia="仿宋_GB2312" w:cs="仿宋_GB2312"/>
          <w:b w:val="0"/>
          <w:bCs w:val="0"/>
          <w:spacing w:val="0"/>
          <w:sz w:val="32"/>
          <w:szCs w:val="32"/>
          <w:highlight w:val="none"/>
          <w:lang w:val="en-US" w:eastAsia="zh-CN"/>
        </w:rPr>
        <w:t>：</w:t>
      </w:r>
      <w:r>
        <w:rPr>
          <w:rFonts w:hint="eastAsia" w:ascii="仿宋_GB2312" w:hAnsi="仿宋_GB2312" w:eastAsia="仿宋_GB2312" w:cs="仿宋_GB2312"/>
          <w:b w:val="0"/>
          <w:bCs w:val="0"/>
          <w:spacing w:val="0"/>
          <w:sz w:val="32"/>
          <w:szCs w:val="32"/>
          <w:highlight w:val="none"/>
          <w:lang w:val="zh-CN" w:eastAsia="zh-CN"/>
        </w:rPr>
        <w:t>自合同签订之日起45个日历日完成全部项目内容，并交付采购人验收合格。</w:t>
      </w:r>
    </w:p>
    <w:p w14:paraId="23A6B05B">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b w:val="0"/>
          <w:bCs w:val="0"/>
          <w:spacing w:val="0"/>
          <w:sz w:val="32"/>
          <w:szCs w:val="32"/>
          <w:highlight w:val="none"/>
          <w:lang w:val="zh-CN" w:eastAsia="zh-CN"/>
        </w:rPr>
        <w:t>（</w:t>
      </w:r>
      <w:r>
        <w:rPr>
          <w:rFonts w:hint="eastAsia" w:ascii="仿宋_GB2312" w:hAnsi="仿宋_GB2312" w:eastAsia="仿宋_GB2312" w:cs="仿宋_GB2312"/>
          <w:b w:val="0"/>
          <w:bCs w:val="0"/>
          <w:spacing w:val="0"/>
          <w:sz w:val="32"/>
          <w:szCs w:val="32"/>
          <w:highlight w:val="none"/>
          <w:lang w:val="en-US" w:eastAsia="zh-CN"/>
        </w:rPr>
        <w:t>二）交货地点</w:t>
      </w:r>
      <w:r>
        <w:rPr>
          <w:rFonts w:hint="eastAsia" w:ascii="仿宋_GB2312" w:hAnsi="仿宋_GB2312" w:eastAsia="仿宋_GB2312" w:cs="仿宋_GB2312"/>
          <w:b w:val="0"/>
          <w:bCs w:val="0"/>
          <w:spacing w:val="0"/>
          <w:sz w:val="32"/>
          <w:szCs w:val="32"/>
          <w:highlight w:val="none"/>
          <w:lang w:val="zh-CN" w:eastAsia="zh-CN"/>
        </w:rPr>
        <w:t>：</w:t>
      </w:r>
      <w:r>
        <w:rPr>
          <w:rFonts w:hint="eastAsia" w:ascii="仿宋_GB2312" w:hAnsi="仿宋_GB2312" w:eastAsia="仿宋_GB2312" w:cs="仿宋_GB2312"/>
          <w:b w:val="0"/>
          <w:bCs w:val="0"/>
          <w:sz w:val="32"/>
          <w:szCs w:val="32"/>
          <w:highlight w:val="none"/>
          <w:lang w:eastAsia="zh-CN"/>
        </w:rPr>
        <w:t>陕西省西安市人民检察院。</w:t>
      </w:r>
    </w:p>
    <w:p w14:paraId="6D82749C">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3" w:firstLineChars="200"/>
        <w:jc w:val="both"/>
        <w:textAlignment w:val="auto"/>
        <w:rPr>
          <w:rFonts w:hint="eastAsia" w:ascii="仿宋_GB2312" w:hAnsi="仿宋_GB2312" w:eastAsia="仿宋_GB2312" w:cs="仿宋_GB2312"/>
          <w:b/>
          <w:bCs/>
          <w:spacing w:val="0"/>
          <w:sz w:val="32"/>
          <w:szCs w:val="32"/>
          <w:highlight w:val="none"/>
          <w:lang w:val="en-US" w:eastAsia="zh-CN"/>
        </w:rPr>
      </w:pPr>
      <w:r>
        <w:rPr>
          <w:rFonts w:hint="eastAsia" w:ascii="仿宋_GB2312" w:hAnsi="仿宋_GB2312" w:eastAsia="仿宋_GB2312" w:cs="仿宋_GB2312"/>
          <w:b/>
          <w:bCs/>
          <w:spacing w:val="0"/>
          <w:sz w:val="32"/>
          <w:szCs w:val="32"/>
          <w:highlight w:val="none"/>
          <w:lang w:val="en-US" w:eastAsia="zh-CN"/>
        </w:rPr>
        <w:t>七、其他要求</w:t>
      </w:r>
    </w:p>
    <w:p w14:paraId="73ABF99D">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zh-CN" w:eastAsia="zh-CN"/>
        </w:rPr>
        <w:t>（</w:t>
      </w:r>
      <w:r>
        <w:rPr>
          <w:rFonts w:hint="eastAsia" w:ascii="仿宋_GB2312" w:hAnsi="仿宋_GB2312" w:eastAsia="仿宋_GB2312" w:cs="仿宋_GB2312"/>
          <w:b w:val="0"/>
          <w:bCs w:val="0"/>
          <w:sz w:val="32"/>
          <w:szCs w:val="32"/>
          <w:highlight w:val="none"/>
          <w:lang w:val="en-US" w:eastAsia="zh-CN"/>
        </w:rPr>
        <w:t>一）款项支付：采购设备到货后，15个工作日内，支付合同价款的60%，待采购设备安装调试正常运行并经采购人验收合格后，30个工作日内，支付剩余合同价款的40%。</w:t>
      </w:r>
    </w:p>
    <w:p w14:paraId="340AB3A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highlight w:val="none"/>
          <w:lang w:val="zh-CN" w:eastAsia="zh-CN"/>
        </w:rPr>
      </w:pPr>
      <w:r>
        <w:rPr>
          <w:rFonts w:hint="eastAsia" w:ascii="仿宋_GB2312" w:hAnsi="仿宋_GB2312" w:eastAsia="仿宋_GB2312" w:cs="仿宋_GB2312"/>
          <w:b w:val="0"/>
          <w:bCs w:val="0"/>
          <w:spacing w:val="0"/>
          <w:sz w:val="32"/>
          <w:szCs w:val="32"/>
          <w:highlight w:val="none"/>
          <w:lang w:val="en-US" w:eastAsia="zh-CN"/>
        </w:rPr>
        <w:t>（二）</w:t>
      </w:r>
      <w:r>
        <w:rPr>
          <w:rFonts w:hint="eastAsia" w:ascii="仿宋_GB2312" w:hAnsi="仿宋_GB2312" w:eastAsia="仿宋_GB2312" w:cs="仿宋_GB2312"/>
          <w:b w:val="0"/>
          <w:bCs w:val="0"/>
          <w:spacing w:val="0"/>
          <w:sz w:val="32"/>
          <w:szCs w:val="32"/>
          <w:highlight w:val="none"/>
          <w:lang w:val="zh-CN" w:eastAsia="zh-CN"/>
        </w:rPr>
        <w:t>质量验收标准：</w:t>
      </w:r>
    </w:p>
    <w:p w14:paraId="68F1F42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highlight w:val="none"/>
          <w:lang w:val="zh-CN" w:eastAsia="zh-CN"/>
        </w:rPr>
      </w:pPr>
      <w:r>
        <w:rPr>
          <w:rFonts w:hint="eastAsia" w:ascii="仿宋_GB2312" w:hAnsi="仿宋_GB2312" w:eastAsia="仿宋_GB2312" w:cs="仿宋_GB2312"/>
          <w:b w:val="0"/>
          <w:bCs w:val="0"/>
          <w:spacing w:val="0"/>
          <w:sz w:val="32"/>
          <w:szCs w:val="32"/>
          <w:highlight w:val="none"/>
          <w:lang w:val="zh-CN" w:eastAsia="zh-CN"/>
        </w:rPr>
        <w:t>1</w:t>
      </w:r>
      <w:r>
        <w:rPr>
          <w:rFonts w:hint="eastAsia" w:ascii="仿宋_GB2312" w:hAnsi="仿宋_GB2312" w:eastAsia="仿宋_GB2312" w:cs="仿宋_GB2312"/>
          <w:b w:val="0"/>
          <w:bCs w:val="0"/>
          <w:spacing w:val="0"/>
          <w:sz w:val="32"/>
          <w:szCs w:val="32"/>
          <w:highlight w:val="none"/>
          <w:lang w:val="en-US" w:eastAsia="zh-CN"/>
        </w:rPr>
        <w:t>.</w:t>
      </w:r>
      <w:r>
        <w:rPr>
          <w:rFonts w:hint="eastAsia" w:ascii="仿宋_GB2312" w:hAnsi="仿宋_GB2312" w:eastAsia="仿宋_GB2312" w:cs="仿宋_GB2312"/>
          <w:b w:val="0"/>
          <w:bCs w:val="0"/>
          <w:spacing w:val="0"/>
          <w:sz w:val="32"/>
          <w:szCs w:val="32"/>
          <w:highlight w:val="none"/>
          <w:lang w:val="zh-CN" w:eastAsia="zh-CN"/>
        </w:rPr>
        <w:t>供应商提供的产品必须保证原厂生产，质量可靠，为市场最新或主流产品，进货渠道正常，配置合理齐全。所供产品工艺质量应严格按国家和行业最新发布的规范标准执行。</w:t>
      </w:r>
    </w:p>
    <w:p w14:paraId="0102DB3E">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highlight w:val="none"/>
          <w:lang w:val="zh-CN" w:eastAsia="zh-CN"/>
        </w:rPr>
      </w:pPr>
      <w:r>
        <w:rPr>
          <w:rFonts w:hint="eastAsia" w:ascii="仿宋_GB2312" w:hAnsi="仿宋_GB2312" w:eastAsia="仿宋_GB2312" w:cs="仿宋_GB2312"/>
          <w:b w:val="0"/>
          <w:bCs w:val="0"/>
          <w:spacing w:val="0"/>
          <w:sz w:val="32"/>
          <w:szCs w:val="32"/>
          <w:highlight w:val="none"/>
          <w:lang w:val="zh-CN" w:eastAsia="zh-CN"/>
        </w:rPr>
        <w:t>2</w:t>
      </w:r>
      <w:r>
        <w:rPr>
          <w:rFonts w:hint="eastAsia" w:ascii="仿宋_GB2312" w:hAnsi="仿宋_GB2312" w:eastAsia="仿宋_GB2312" w:cs="仿宋_GB2312"/>
          <w:b w:val="0"/>
          <w:bCs w:val="0"/>
          <w:spacing w:val="0"/>
          <w:sz w:val="32"/>
          <w:szCs w:val="32"/>
          <w:highlight w:val="none"/>
          <w:lang w:val="en-US" w:eastAsia="zh-CN"/>
        </w:rPr>
        <w:t>.</w:t>
      </w:r>
      <w:r>
        <w:rPr>
          <w:rFonts w:hint="eastAsia" w:ascii="仿宋_GB2312" w:hAnsi="仿宋_GB2312" w:eastAsia="仿宋_GB2312" w:cs="仿宋_GB2312"/>
          <w:b w:val="0"/>
          <w:bCs w:val="0"/>
          <w:spacing w:val="0"/>
          <w:sz w:val="32"/>
          <w:szCs w:val="32"/>
          <w:highlight w:val="none"/>
          <w:lang w:val="zh-CN" w:eastAsia="zh-CN"/>
        </w:rPr>
        <w:t>提供产品质量合格证；</w:t>
      </w:r>
    </w:p>
    <w:p w14:paraId="2C8A806D">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highlight w:val="none"/>
          <w:lang w:val="zh-CN" w:eastAsia="zh-CN"/>
        </w:rPr>
      </w:pPr>
      <w:r>
        <w:rPr>
          <w:rFonts w:hint="eastAsia" w:ascii="仿宋_GB2312" w:hAnsi="仿宋_GB2312" w:eastAsia="仿宋_GB2312" w:cs="仿宋_GB2312"/>
          <w:b w:val="0"/>
          <w:bCs w:val="0"/>
          <w:spacing w:val="0"/>
          <w:sz w:val="32"/>
          <w:szCs w:val="32"/>
          <w:highlight w:val="none"/>
          <w:lang w:val="zh-CN" w:eastAsia="zh-CN"/>
        </w:rPr>
        <w:t>3</w:t>
      </w:r>
      <w:r>
        <w:rPr>
          <w:rFonts w:hint="eastAsia" w:ascii="仿宋_GB2312" w:hAnsi="仿宋_GB2312" w:eastAsia="仿宋_GB2312" w:cs="仿宋_GB2312"/>
          <w:b w:val="0"/>
          <w:bCs w:val="0"/>
          <w:spacing w:val="0"/>
          <w:sz w:val="32"/>
          <w:szCs w:val="32"/>
          <w:highlight w:val="none"/>
          <w:lang w:val="en-US" w:eastAsia="zh-CN"/>
        </w:rPr>
        <w:t>.</w:t>
      </w:r>
      <w:r>
        <w:rPr>
          <w:rFonts w:hint="eastAsia" w:ascii="仿宋_GB2312" w:hAnsi="仿宋_GB2312" w:eastAsia="仿宋_GB2312" w:cs="仿宋_GB2312"/>
          <w:b w:val="0"/>
          <w:bCs w:val="0"/>
          <w:spacing w:val="0"/>
          <w:sz w:val="32"/>
          <w:szCs w:val="32"/>
          <w:highlight w:val="none"/>
          <w:lang w:val="zh-CN" w:eastAsia="zh-CN"/>
        </w:rPr>
        <w:t>产品安装投入测试运行后，测试功能参数符合</w:t>
      </w:r>
      <w:r>
        <w:rPr>
          <w:rFonts w:hint="eastAsia" w:ascii="仿宋_GB2312" w:hAnsi="仿宋_GB2312" w:eastAsia="仿宋_GB2312" w:cs="仿宋_GB2312"/>
          <w:b w:val="0"/>
          <w:bCs w:val="0"/>
          <w:spacing w:val="0"/>
          <w:sz w:val="32"/>
          <w:szCs w:val="32"/>
          <w:highlight w:val="none"/>
          <w:lang w:val="en-US" w:eastAsia="zh-CN"/>
        </w:rPr>
        <w:t>谈判文件</w:t>
      </w:r>
      <w:r>
        <w:rPr>
          <w:rFonts w:hint="eastAsia" w:ascii="仿宋_GB2312" w:hAnsi="仿宋_GB2312" w:eastAsia="仿宋_GB2312" w:cs="仿宋_GB2312"/>
          <w:b w:val="0"/>
          <w:bCs w:val="0"/>
          <w:spacing w:val="0"/>
          <w:sz w:val="32"/>
          <w:szCs w:val="32"/>
          <w:highlight w:val="none"/>
          <w:lang w:val="zh-CN" w:eastAsia="zh-CN"/>
        </w:rPr>
        <w:t>功能参数要求。</w:t>
      </w:r>
    </w:p>
    <w:p w14:paraId="5EC91D6B">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highlight w:val="none"/>
          <w:lang w:val="zh-CN" w:eastAsia="zh-CN"/>
        </w:rPr>
      </w:pPr>
      <w:r>
        <w:rPr>
          <w:rFonts w:hint="eastAsia" w:ascii="仿宋_GB2312" w:hAnsi="仿宋_GB2312" w:eastAsia="仿宋_GB2312" w:cs="仿宋_GB2312"/>
          <w:b w:val="0"/>
          <w:bCs w:val="0"/>
          <w:spacing w:val="0"/>
          <w:sz w:val="32"/>
          <w:szCs w:val="32"/>
          <w:highlight w:val="none"/>
          <w:lang w:val="zh-CN" w:eastAsia="zh-CN"/>
        </w:rPr>
        <w:t>（</w:t>
      </w:r>
      <w:r>
        <w:rPr>
          <w:rFonts w:hint="eastAsia" w:ascii="仿宋_GB2312" w:hAnsi="仿宋_GB2312" w:eastAsia="仿宋_GB2312" w:cs="仿宋_GB2312"/>
          <w:b w:val="0"/>
          <w:bCs w:val="0"/>
          <w:spacing w:val="0"/>
          <w:sz w:val="32"/>
          <w:szCs w:val="32"/>
          <w:highlight w:val="none"/>
          <w:lang w:val="en-US" w:eastAsia="zh-CN"/>
        </w:rPr>
        <w:t>三</w:t>
      </w:r>
      <w:r>
        <w:rPr>
          <w:rFonts w:hint="eastAsia" w:ascii="仿宋_GB2312" w:hAnsi="仿宋_GB2312" w:eastAsia="仿宋_GB2312" w:cs="仿宋_GB2312"/>
          <w:b w:val="0"/>
          <w:bCs w:val="0"/>
          <w:spacing w:val="0"/>
          <w:sz w:val="32"/>
          <w:szCs w:val="32"/>
          <w:highlight w:val="none"/>
          <w:lang w:val="zh-CN" w:eastAsia="zh-CN"/>
        </w:rPr>
        <w:t>）产品质保期：五年原厂质保（提供原厂授权）。</w:t>
      </w:r>
    </w:p>
    <w:p w14:paraId="2757EBAF">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highlight w:val="none"/>
          <w:lang w:val="zh-CN" w:eastAsia="zh-CN"/>
        </w:rPr>
      </w:pPr>
      <w:r>
        <w:rPr>
          <w:rFonts w:hint="eastAsia" w:ascii="仿宋_GB2312" w:hAnsi="仿宋_GB2312" w:eastAsia="仿宋_GB2312" w:cs="仿宋_GB2312"/>
          <w:b w:val="0"/>
          <w:bCs w:val="0"/>
          <w:spacing w:val="0"/>
          <w:sz w:val="32"/>
          <w:szCs w:val="32"/>
          <w:highlight w:val="none"/>
          <w:lang w:val="zh-CN" w:eastAsia="zh-CN"/>
        </w:rPr>
        <w:t>（</w:t>
      </w:r>
      <w:r>
        <w:rPr>
          <w:rFonts w:hint="eastAsia" w:ascii="仿宋_GB2312" w:hAnsi="仿宋_GB2312" w:eastAsia="仿宋_GB2312" w:cs="仿宋_GB2312"/>
          <w:b w:val="0"/>
          <w:bCs w:val="0"/>
          <w:spacing w:val="0"/>
          <w:sz w:val="32"/>
          <w:szCs w:val="32"/>
          <w:highlight w:val="none"/>
          <w:lang w:val="en-US" w:eastAsia="zh-CN"/>
        </w:rPr>
        <w:t>四）</w:t>
      </w:r>
      <w:r>
        <w:rPr>
          <w:rFonts w:hint="eastAsia" w:ascii="仿宋_GB2312" w:hAnsi="仿宋_GB2312" w:eastAsia="仿宋_GB2312" w:cs="仿宋_GB2312"/>
          <w:b w:val="0"/>
          <w:bCs w:val="0"/>
          <w:spacing w:val="0"/>
          <w:sz w:val="32"/>
          <w:szCs w:val="32"/>
          <w:highlight w:val="none"/>
          <w:lang w:val="zh-CN" w:eastAsia="zh-CN"/>
        </w:rPr>
        <w:t>违约责任</w:t>
      </w:r>
    </w:p>
    <w:p w14:paraId="44FAC4F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0" w:firstLineChars="200"/>
        <w:jc w:val="both"/>
        <w:textAlignment w:val="auto"/>
        <w:rPr>
          <w:rFonts w:hint="eastAsia" w:ascii="仿宋_GB2312" w:hAnsi="仿宋_GB2312" w:eastAsia="仿宋_GB2312" w:cs="仿宋_GB2312"/>
          <w:b w:val="0"/>
          <w:bCs w:val="0"/>
          <w:spacing w:val="0"/>
          <w:sz w:val="32"/>
          <w:szCs w:val="32"/>
          <w:highlight w:val="none"/>
          <w:lang w:val="zh-CN" w:eastAsia="zh-CN"/>
        </w:rPr>
      </w:pPr>
      <w:r>
        <w:rPr>
          <w:rFonts w:hint="eastAsia" w:ascii="仿宋_GB2312" w:hAnsi="仿宋_GB2312" w:eastAsia="仿宋_GB2312" w:cs="仿宋_GB2312"/>
          <w:b w:val="0"/>
          <w:bCs w:val="0"/>
          <w:spacing w:val="0"/>
          <w:sz w:val="32"/>
          <w:szCs w:val="32"/>
          <w:highlight w:val="none"/>
          <w:lang w:val="zh-CN" w:eastAsia="zh-CN"/>
        </w:rPr>
        <w:t>采购人、供应商任何一方无法定或约定事由不履行或提前解除合同的，应向对方支付违约金，违约金金额相当于合同总金额的20%；由于违约或解除本合同给对方造成的经济损失的，违约方还应赔偿守约方包括但不限于经济损失、律师费、诉讼费、保全费、鉴定费等全部损失。</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14:paraId="3FA3EDF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643" w:firstLineChars="200"/>
        <w:jc w:val="both"/>
        <w:textAlignment w:val="auto"/>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注：“★”参数需求为实质性要求，共计</w:t>
      </w:r>
      <w:r>
        <w:rPr>
          <w:rFonts w:hint="eastAsia" w:ascii="仿宋_GB2312" w:hAnsi="仿宋_GB2312" w:eastAsia="仿宋_GB2312" w:cs="仿宋_GB2312"/>
          <w:b/>
          <w:bCs/>
          <w:sz w:val="32"/>
          <w:szCs w:val="32"/>
          <w:highlight w:val="none"/>
          <w:lang w:val="en-US" w:eastAsia="zh-CN"/>
        </w:rPr>
        <w:t>5</w:t>
      </w:r>
      <w:r>
        <w:rPr>
          <w:rFonts w:hint="eastAsia" w:ascii="仿宋_GB2312" w:hAnsi="仿宋_GB2312" w:eastAsia="仿宋_GB2312" w:cs="仿宋_GB2312"/>
          <w:b/>
          <w:bCs/>
          <w:sz w:val="32"/>
          <w:szCs w:val="32"/>
          <w:highlight w:val="none"/>
        </w:rPr>
        <w:t>项，供应商必须响应并满足该参数，</w:t>
      </w:r>
      <w:r>
        <w:rPr>
          <w:rFonts w:hint="default" w:ascii="仿宋_GB2312" w:hAnsi="仿宋_GB2312" w:eastAsia="仿宋_GB2312" w:cs="仿宋_GB2312"/>
          <w:b/>
          <w:bCs/>
          <w:sz w:val="32"/>
          <w:szCs w:val="32"/>
          <w:highlight w:val="none"/>
          <w:lang w:val="en-US" w:eastAsia="zh-CN"/>
        </w:rPr>
        <w:t>设备功能参数要求</w:t>
      </w:r>
      <w:r>
        <w:rPr>
          <w:rFonts w:hint="eastAsia" w:ascii="仿宋_GB2312" w:hAnsi="仿宋_GB2312" w:eastAsia="仿宋_GB2312" w:cs="仿宋_GB2312"/>
          <w:b/>
          <w:bCs/>
          <w:sz w:val="32"/>
          <w:szCs w:val="32"/>
          <w:highlight w:val="none"/>
        </w:rPr>
        <w:t>“★”参数需提供由国家认可或具备法定资质的检测机构出具的检测报告并加盖厂家公章，</w:t>
      </w:r>
      <w:r>
        <w:rPr>
          <w:rFonts w:hint="eastAsia" w:ascii="仿宋_GB2312" w:hAnsi="仿宋_GB2312" w:eastAsia="仿宋_GB2312" w:cs="仿宋_GB2312"/>
          <w:b/>
          <w:bCs/>
          <w:sz w:val="32"/>
          <w:szCs w:val="32"/>
          <w:highlight w:val="none"/>
          <w:lang w:val="en-US" w:eastAsia="zh-CN"/>
        </w:rPr>
        <w:t>其余</w:t>
      </w:r>
      <w:r>
        <w:rPr>
          <w:rFonts w:hint="eastAsia" w:ascii="仿宋_GB2312" w:hAnsi="仿宋_GB2312" w:eastAsia="仿宋_GB2312" w:cs="仿宋_GB2312"/>
          <w:b/>
          <w:bCs/>
          <w:sz w:val="32"/>
          <w:szCs w:val="32"/>
          <w:highlight w:val="none"/>
        </w:rPr>
        <w:t>“★”参数需提供</w:t>
      </w:r>
      <w:r>
        <w:rPr>
          <w:rFonts w:hint="eastAsia" w:ascii="仿宋_GB2312" w:hAnsi="仿宋_GB2312" w:eastAsia="仿宋_GB2312" w:cs="仿宋_GB2312"/>
          <w:b/>
          <w:bCs/>
          <w:sz w:val="32"/>
          <w:szCs w:val="32"/>
          <w:highlight w:val="none"/>
          <w:lang w:val="en-US" w:eastAsia="zh-CN"/>
        </w:rPr>
        <w:t>格式自拟的承诺书，</w:t>
      </w:r>
      <w:r>
        <w:rPr>
          <w:rFonts w:hint="eastAsia" w:ascii="仿宋_GB2312" w:hAnsi="仿宋_GB2312" w:eastAsia="仿宋_GB2312" w:cs="仿宋_GB2312"/>
          <w:b/>
          <w:bCs/>
          <w:sz w:val="32"/>
          <w:szCs w:val="32"/>
          <w:highlight w:val="none"/>
        </w:rPr>
        <w:t>如未响应或不满足，则按废标处理。</w:t>
      </w:r>
    </w:p>
    <w:p w14:paraId="71661E9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31136D"/>
    <w:multiLevelType w:val="multilevel"/>
    <w:tmpl w:val="8E31136D"/>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03465C"/>
    <w:rsid w:val="2603465C"/>
    <w:rsid w:val="2D3576C1"/>
    <w:rsid w:val="3E1E037D"/>
    <w:rsid w:val="656C55A9"/>
    <w:rsid w:val="6D2B2B9D"/>
    <w:rsid w:val="70113CA5"/>
    <w:rsid w:val="7A710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3"/>
    <w:qFormat/>
    <w:uiPriority w:val="0"/>
    <w:pPr>
      <w:keepNext/>
      <w:numPr>
        <w:ilvl w:val="0"/>
        <w:numId w:val="1"/>
      </w:numPr>
      <w:spacing w:line="700" w:lineRule="exact"/>
      <w:jc w:val="center"/>
      <w:outlineLvl w:val="0"/>
    </w:pPr>
    <w:rPr>
      <w:rFonts w:ascii="黑体" w:hAnsi="黑体" w:eastAsia="宋体"/>
      <w:b/>
      <w:sz w:val="44"/>
    </w:rPr>
  </w:style>
  <w:style w:type="paragraph" w:styleId="3">
    <w:name w:val="heading 2"/>
    <w:basedOn w:val="1"/>
    <w:next w:val="1"/>
    <w:link w:val="14"/>
    <w:semiHidden/>
    <w:unhideWhenUsed/>
    <w:qFormat/>
    <w:uiPriority w:val="0"/>
    <w:pPr>
      <w:keepNext/>
      <w:numPr>
        <w:ilvl w:val="1"/>
        <w:numId w:val="1"/>
      </w:numPr>
      <w:spacing w:line="700" w:lineRule="exact"/>
      <w:outlineLvl w:val="1"/>
    </w:pPr>
    <w:rPr>
      <w:rFonts w:ascii="黑体" w:hAnsi="黑体" w:eastAsia="宋体"/>
      <w:b/>
      <w:sz w:val="44"/>
    </w:rPr>
  </w:style>
  <w:style w:type="paragraph" w:styleId="4">
    <w:name w:val="heading 3"/>
    <w:basedOn w:val="1"/>
    <w:next w:val="1"/>
    <w:semiHidden/>
    <w:unhideWhenUsed/>
    <w:qFormat/>
    <w:uiPriority w:val="0"/>
    <w:pPr>
      <w:keepNext/>
      <w:keepLines/>
      <w:numPr>
        <w:ilvl w:val="2"/>
        <w:numId w:val="1"/>
      </w:numPr>
      <w:snapToGrid w:val="0"/>
      <w:spacing w:before="260" w:beforeLines="0" w:beforeAutospacing="0" w:after="260" w:afterLines="0" w:afterAutospacing="0" w:line="300" w:lineRule="auto"/>
      <w:ind w:firstLine="403"/>
      <w:outlineLvl w:val="2"/>
    </w:pPr>
    <w:rPr>
      <w:rFonts w:eastAsia="仿宋_GB2312" w:asciiTheme="minorAscii" w:hAnsiTheme="minorAscii"/>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character" w:customStyle="1" w:styleId="13">
    <w:name w:val="标题 1 Char"/>
    <w:link w:val="2"/>
    <w:qFormat/>
    <w:uiPriority w:val="0"/>
    <w:rPr>
      <w:rFonts w:ascii="黑体" w:hAnsi="黑体" w:eastAsia="宋体"/>
      <w:b/>
      <w:sz w:val="44"/>
    </w:rPr>
  </w:style>
  <w:style w:type="character" w:customStyle="1" w:styleId="14">
    <w:name w:val="标题 2 Char"/>
    <w:link w:val="3"/>
    <w:qFormat/>
    <w:uiPriority w:val="0"/>
    <w:rPr>
      <w:rFonts w:ascii="黑体" w:hAnsi="黑体" w:eastAsia="宋体"/>
      <w:b/>
      <w:sz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1571</Words>
  <Characters>1723</Characters>
  <Lines>0</Lines>
  <Paragraphs>0</Paragraphs>
  <TotalTime>0</TotalTime>
  <ScaleCrop>false</ScaleCrop>
  <LinksUpToDate>false</LinksUpToDate>
  <CharactersWithSpaces>1724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2026-05-25T07:22:00Z</dcterms:created>
  <dc:creator>陕西华采招标有限公司</dc:creator>
  <cp:lastModifiedBy>陕西华采招标有限公司</cp:lastModifiedBy>
  <dcterms:modified xsi:type="dcterms:W3CDTF">2026-05-25T07:24:30Z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E77E699FAB0F4B3AA47FD57D288EE2FC_11</vt:lpwstr>
  </property>
  <property fmtid="{D5CDD505-2E9C-101B-9397-08002B2CF9AE}" pid="4" name="KSOTemplateDocerSaveRecord">
    <vt:lpwstr>eyJoZGlkIjoiNzlkYjQxZmY4MWQ0ZWY2YTZhOTY1MTMyMDgzMmE0NmEiLCJ1c2VySWQiOiI5MzY1NjA0ODAifQ==</vt:lpwstr>
  </property>
</Properties>
</file>