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版本号：HYX-ZFCG-2026-汉021号20260813001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门诊、住院楼病房改造设计采购项目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HYX-ZFCG-2026-汉021号</w:t>
      </w:r>
      <w:r>
        <w:br/>
      </w:r>
      <w:r>
        <w:br/>
      </w:r>
      <w:r>
        <w:br/>
      </w:r>
    </w:p>
    <w:p>
      <w:pPr>
        <w:pStyle w:val="null3"/>
        <w:jc w:val="center"/>
        <w:outlineLvl w:val="2"/>
      </w:pPr>
      <w:r>
        <w:rPr>
          <w:rFonts w:ascii="仿宋_GB2312" w:hAnsi="仿宋_GB2312" w:cs="仿宋_GB2312" w:eastAsia="仿宋_GB2312"/>
          <w:sz w:val="28"/>
          <w:b/>
        </w:rPr>
        <w:t>西乡县城南中心卫生院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西乡县城南中心卫生院</w:t>
      </w:r>
      <w:r>
        <w:rPr>
          <w:rFonts w:ascii="仿宋_GB2312" w:hAnsi="仿宋_GB2312" w:cs="仿宋_GB2312" w:eastAsia="仿宋_GB2312"/>
        </w:rPr>
        <w:t>委托，拟对</w:t>
      </w:r>
      <w:r>
        <w:rPr>
          <w:rFonts w:ascii="仿宋_GB2312" w:hAnsi="仿宋_GB2312" w:cs="仿宋_GB2312" w:eastAsia="仿宋_GB2312"/>
        </w:rPr>
        <w:t>门诊、住院楼病房改造设计采购项目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HYX-ZFCG-2026-汉021号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门诊、住院楼病房改造设计采购项目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优化卫生院就医环境，完善门诊、住院楼病房使用功能，提升医疗卫生服务配套条件，拟对院内门诊及住院楼病房开展改造设计服务。服务内容主要包含现场实地踏勘、现状情况摸排分析，完成病房改造施工图设计，提供设计概算，配合项目后期施工阶段技术交底、设计变更及现场技术答疑等相关配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采购包1（西乡县城南中心卫生院门诊、住院楼病房改造设计采购项目）：属于专门面向中小企业采购。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须具备建设行政主管部门颁发的工程设计综合资质甲级或建筑行业乙级及以上资质或建筑行业（建筑工程）乙级及以上资质或建筑装饰工程设计专项乙级及以上资质；供应商资质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4、拟派项目设计负责人要求：拟派设计项目负责人须具备须具备国家二级注册建筑师及以上执业资格，设计项目负责人信息应在“陕西省住房和城乡建设厅网（http://js.shaanxi.gov.cn/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7、其他要求：本项目不接受联合体投标，供应商需提供非联合体书面声明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西乡县城南街办葛石社区三组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0916-6479927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采购包1：278,400.00元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西乡县城南中心卫生院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基于本合同所完成的全部设计成果（包括但不限于设计图纸、概算书及其电子版等），其知识产权和相关财产权利自文件提交采购人之日起，全部归采购人所有。供应商仅享有署名权。供应商不得将上述设计成果用于本合同项目以外的任何其他用途。若供应商人违反本条约定，采购人有权追究其违约及侵权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满足国家、行业及地方现行工程建设规范、强制性条文以及本项目采购文件、合同全部要求；施工图经施工图审查机构审查合格；全套图纸、概算、电子及纸质资料完整交付；各项商务条款全部履约到位，即为验收合格。审查不合格的，供应商须在约定期限内完成整改，整改后仍达不到要求视为验收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卫生院就医环境，完善门诊、住院楼病房使用功能，提升医疗卫生服务配套条件，拟对院内门诊及住院楼病房开展改造设计服务。服务内容主要包含现场实地踏勘、现状情况摸排分析，完成病房改造施工图设计，提供设计概算，配合项目后期施工阶段技术交底、设计变更及现场技术答疑等相关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278,400.00</w:t>
      </w:r>
    </w:p>
    <w:p>
      <w:pPr>
        <w:pStyle w:val="null3"/>
      </w:pPr>
      <w:r>
        <w:rPr>
          <w:rFonts w:ascii="仿宋_GB2312" w:hAnsi="仿宋_GB2312" w:cs="仿宋_GB2312" w:eastAsia="仿宋_GB2312"/>
        </w:rPr>
        <w:t>采购包最高限价（元）: 278,400.00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对既有西乡县城南中心卫生院门诊、住院楼病房改造设计，达到医建设相关标准，符合消防、环保要求，材料质量过关皮实耐用。</w:t>
            </w:r>
          </w:p>
        </w:tc>
        <w:tc>
          <w:tcPr>
            <w:tcW w:type="dxa" w:w="755"/>
          </w:tcPr>
          <w:p>
            <w:pPr>
              <w:pStyle w:val="null3"/>
              <w:jc w:val="right"/>
            </w:pPr>
            <w:r>
              <w:rPr>
                <w:rFonts w:ascii="仿宋_GB2312" w:hAnsi="仿宋_GB2312" w:cs="仿宋_GB2312" w:eastAsia="仿宋_GB2312"/>
              </w:rPr>
              <w:t>6,400.00</w:t>
            </w:r>
          </w:p>
        </w:tc>
        <w:tc>
          <w:tcPr>
            <w:tcW w:type="dxa" w:w="755"/>
          </w:tcPr>
          <w:p>
            <w:pPr>
              <w:pStyle w:val="null3"/>
              <w:jc w:val="right"/>
            </w:pPr>
            <w:r>
              <w:rPr>
                <w:rFonts w:ascii="仿宋_GB2312" w:hAnsi="仿宋_GB2312" w:cs="仿宋_GB2312" w:eastAsia="仿宋_GB2312"/>
              </w:rPr>
              <w:t>278,400.00</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标的名称：对既有西乡县城南中心卫生院门诊、住院楼病房改造设计，达到医建设相关标准，符合消防、环保要求，材料质量过关皮实耐用。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一、服务规模及范围</w:t>
            </w:r>
          </w:p>
          <w:p>
            <w:pPr>
              <w:pStyle w:val="null3"/>
            </w:pPr>
            <w:r>
              <w:rPr>
                <w:rFonts w:ascii="仿宋_GB2312" w:hAnsi="仿宋_GB2312" w:cs="仿宋_GB2312" w:eastAsia="仿宋_GB2312"/>
                <w:sz w:val="21"/>
              </w:rPr>
              <w:t xml:space="preserve">  1.服务范围：本项目位于西乡县城南中心卫生院院内，主要服务内容为西乡县城南中心卫生院门诊、住院楼病房改造工程设计工作，服务成果包括但不限于施工图设计、概算编制及施工配合工作；供应商须严格按照国家、医疗卫生行业及地方现行规范、标准及采购人使用需求，开展全过程施工图设计工作。</w:t>
            </w:r>
          </w:p>
          <w:p>
            <w:pPr>
              <w:pStyle w:val="null3"/>
            </w:pPr>
            <w:r>
              <w:rPr>
                <w:rFonts w:ascii="仿宋_GB2312" w:hAnsi="仿宋_GB2312" w:cs="仿宋_GB2312" w:eastAsia="仿宋_GB2312"/>
                <w:sz w:val="21"/>
              </w:rPr>
              <w:t xml:space="preserve">  2.设计深度要求：施工图设计深度须符合《建筑工程设计文件编制深度规定》要求，并且能够直接作为编制工程量清单和施工的依据。</w:t>
            </w:r>
          </w:p>
          <w:p>
            <w:pPr>
              <w:pStyle w:val="null3"/>
            </w:pPr>
            <w:r>
              <w:rPr>
                <w:rFonts w:ascii="仿宋_GB2312" w:hAnsi="仿宋_GB2312" w:cs="仿宋_GB2312" w:eastAsia="仿宋_GB2312"/>
                <w:sz w:val="21"/>
              </w:rPr>
              <w:t xml:space="preserve">  3.施工配合工作：包括但不限于负责向相关参建单位进行设计交底、处理有关设计问题、进行设计变更、参加图纸会审、隐蔽工程验收、分部分项验收、竣工验收等。</w:t>
            </w:r>
          </w:p>
          <w:p>
            <w:pPr>
              <w:pStyle w:val="null3"/>
            </w:pPr>
            <w:r>
              <w:rPr>
                <w:rFonts w:ascii="仿宋_GB2312" w:hAnsi="仿宋_GB2312" w:cs="仿宋_GB2312" w:eastAsia="仿宋_GB2312"/>
                <w:sz w:val="21"/>
              </w:rPr>
              <w:t xml:space="preserve">  4.成果提交：每个项目最终成果须提供6套完整的纸质版施工图，以及1套可编辑的电子版图纸（含CAD及PDF格式）和概算文件（含Excel格式）</w:t>
            </w:r>
          </w:p>
          <w:p>
            <w:pPr>
              <w:pStyle w:val="null3"/>
            </w:pPr>
            <w:r>
              <w:rPr>
                <w:rFonts w:ascii="仿宋_GB2312" w:hAnsi="仿宋_GB2312" w:cs="仿宋_GB2312" w:eastAsia="仿宋_GB2312"/>
                <w:sz w:val="21"/>
              </w:rPr>
              <w:t>二、技术要求</w:t>
            </w:r>
          </w:p>
          <w:p>
            <w:pPr>
              <w:pStyle w:val="null3"/>
            </w:pPr>
            <w:r>
              <w:rPr>
                <w:rFonts w:ascii="仿宋_GB2312" w:hAnsi="仿宋_GB2312" w:cs="仿宋_GB2312" w:eastAsia="仿宋_GB2312"/>
                <w:sz w:val="21"/>
              </w:rPr>
              <w:t xml:space="preserve">  1、设计理念科学规范，贴合乡镇卫生院医疗诊疗、病房康养、医患通行等实际使用需求，兼顾医疗功能性、安全性、舒适性及实用性。</w:t>
            </w:r>
          </w:p>
          <w:p>
            <w:pPr>
              <w:pStyle w:val="null3"/>
            </w:pPr>
            <w:r>
              <w:rPr>
                <w:rFonts w:ascii="仿宋_GB2312" w:hAnsi="仿宋_GB2312" w:cs="仿宋_GB2312" w:eastAsia="仿宋_GB2312"/>
                <w:sz w:val="21"/>
              </w:rPr>
              <w:t xml:space="preserve">  2、设计方案充分贴合项目现场原有建筑现状、原有管线布局及改造实际情况，因地制宜、科学合理，杜绝脱离现场、无法落地的设计内容。</w:t>
            </w:r>
          </w:p>
          <w:p>
            <w:pPr>
              <w:pStyle w:val="null3"/>
            </w:pPr>
            <w:r>
              <w:rPr>
                <w:rFonts w:ascii="仿宋_GB2312" w:hAnsi="仿宋_GB2312" w:cs="仿宋_GB2312" w:eastAsia="仿宋_GB2312"/>
                <w:sz w:val="21"/>
              </w:rPr>
              <w:t xml:space="preserve">  3、所有设计成果、设计细节必须满足国家、医疗卫生行业及项目所在地现行规范、标准、规程及采购人建设、使用、验收要求。</w:t>
            </w:r>
          </w:p>
          <w:p>
            <w:pPr>
              <w:pStyle w:val="null3"/>
            </w:pPr>
            <w:r>
              <w:rPr>
                <w:rFonts w:ascii="仿宋_GB2312" w:hAnsi="仿宋_GB2312" w:cs="仿宋_GB2312" w:eastAsia="仿宋_GB2312"/>
                <w:sz w:val="21"/>
              </w:rPr>
              <w:t xml:space="preserve">  4、适用规范标准</w:t>
            </w:r>
          </w:p>
          <w:p>
            <w:pPr>
              <w:pStyle w:val="null3"/>
            </w:pPr>
            <w:r>
              <w:rPr>
                <w:rFonts w:ascii="仿宋_GB2312" w:hAnsi="仿宋_GB2312" w:cs="仿宋_GB2312" w:eastAsia="仿宋_GB2312"/>
                <w:sz w:val="21"/>
              </w:rPr>
              <w:t xml:space="preserve">  4.1 设计过程和成果必须符合国家有关工程建设标准强制性条文、医疗卫生建筑专项设计规范及现行的标准、规范、规程、定额、办法、示例以及招标项目所在地关于工程设计方面的文件、规定。</w:t>
            </w:r>
          </w:p>
          <w:p>
            <w:pPr>
              <w:pStyle w:val="null3"/>
            </w:pPr>
            <w:r>
              <w:rPr>
                <w:rFonts w:ascii="仿宋_GB2312" w:hAnsi="仿宋_GB2312" w:cs="仿宋_GB2312" w:eastAsia="仿宋_GB2312"/>
                <w:sz w:val="21"/>
              </w:rPr>
              <w:t xml:space="preserve">  4.2 供应商在设计工作中如需使用本项目规范、标准以外的技术标准、规范时，应事先征得采购人书面同意。</w:t>
            </w:r>
          </w:p>
          <w:p>
            <w:pPr>
              <w:pStyle w:val="null3"/>
            </w:pPr>
            <w:r>
              <w:rPr>
                <w:rFonts w:ascii="仿宋_GB2312" w:hAnsi="仿宋_GB2312" w:cs="仿宋_GB2312" w:eastAsia="仿宋_GB2312"/>
                <w:sz w:val="21"/>
              </w:rPr>
              <w:t xml:space="preserve">  4.3 设计过程中，若国家、行业或地方主管部门颁布新的技术标准、规范，供应商须自动执行最新标准、规范完成全部设计工作。</w:t>
            </w:r>
          </w:p>
          <w:p>
            <w:pPr>
              <w:pStyle w:val="null3"/>
            </w:pPr>
            <w:r>
              <w:rPr>
                <w:rFonts w:ascii="仿宋_GB2312" w:hAnsi="仿宋_GB2312" w:cs="仿宋_GB2312" w:eastAsia="仿宋_GB2312"/>
                <w:sz w:val="21"/>
              </w:rPr>
              <w:t xml:space="preserve">  4.4 供应商在设计全过程中必须严格遵守《工程建设标准强制性条文》及医疗卫生建筑设计相关强制规范要求。</w:t>
            </w:r>
          </w:p>
          <w:p>
            <w:pPr>
              <w:pStyle w:val="null3"/>
            </w:pPr>
            <w:r>
              <w:rPr>
                <w:rFonts w:ascii="仿宋_GB2312" w:hAnsi="仿宋_GB2312" w:cs="仿宋_GB2312" w:eastAsia="仿宋_GB2312"/>
                <w:sz w:val="21"/>
              </w:rPr>
              <w:t>三、成果交付要求</w:t>
            </w:r>
          </w:p>
          <w:p>
            <w:pPr>
              <w:pStyle w:val="null3"/>
            </w:pPr>
            <w:r>
              <w:rPr>
                <w:rFonts w:ascii="仿宋_GB2312" w:hAnsi="仿宋_GB2312" w:cs="仿宋_GB2312" w:eastAsia="仿宋_GB2312"/>
                <w:sz w:val="21"/>
              </w:rPr>
              <w:t xml:space="preserve">  1、设计服务：供应商必须独立完成本项目全部施工图设计服务工作，严禁转包、违法分包。项目服务周期内，拟派项目设计负责人及核心专业团队人员须保持稳定，未经采购人书面同意不得擅自更换。</w:t>
            </w:r>
          </w:p>
          <w:p>
            <w:pPr>
              <w:pStyle w:val="null3"/>
            </w:pPr>
            <w:r>
              <w:rPr>
                <w:rFonts w:ascii="仿宋_GB2312" w:hAnsi="仿宋_GB2312" w:cs="仿宋_GB2312" w:eastAsia="仿宋_GB2312"/>
                <w:sz w:val="21"/>
              </w:rPr>
              <w:t xml:space="preserve">  2、设计成果要求：供应商须充分理解本项目医疗改造建设范围、科室功能定位、造价控制及建设进度要求，结合原有建筑现状完成全套改造施工图设计，确保图纸功能布局合理、医疗流线顺畅、改造措施精准，完全适配卫生院门诊、住院病房使用需求，满足图纸审查、现场施工、竣工验收使用标准。</w:t>
            </w:r>
          </w:p>
          <w:p>
            <w:pPr>
              <w:pStyle w:val="null3"/>
            </w:pPr>
            <w:r>
              <w:rPr>
                <w:rFonts w:ascii="仿宋_GB2312" w:hAnsi="仿宋_GB2312" w:cs="仿宋_GB2312" w:eastAsia="仿宋_GB2312"/>
                <w:sz w:val="21"/>
              </w:rPr>
              <w:t xml:space="preserve">  3、审查要求：提交的施工图设计成果须确保能够顺利通过施工图审查机构及相关行业主管部门审查。</w:t>
            </w:r>
          </w:p>
          <w:p>
            <w:pPr>
              <w:pStyle w:val="null3"/>
            </w:pPr>
            <w:r>
              <w:rPr>
                <w:rFonts w:ascii="仿宋_GB2312" w:hAnsi="仿宋_GB2312" w:cs="仿宋_GB2312" w:eastAsia="仿宋_GB2312"/>
                <w:sz w:val="21"/>
              </w:rPr>
              <w:t xml:space="preserve">  4、成果提交：严格按照行业规范及采购人要求，提交经审查合格、审定完善的全套改造施工图纸、设计说明、工程概算及配套技术资料，包含规范份数的纸质版文件及完整电子文档。</w:t>
            </w:r>
          </w:p>
          <w:p>
            <w:pPr>
              <w:pStyle w:val="null3"/>
            </w:pPr>
            <w:r>
              <w:rPr>
                <w:rFonts w:ascii="仿宋_GB2312" w:hAnsi="仿宋_GB2312" w:cs="仿宋_GB2312" w:eastAsia="仿宋_GB2312"/>
                <w:sz w:val="21"/>
              </w:rPr>
              <w:t xml:space="preserve">  5、安全要求：本项目自合同签订之日起至全部设计服务工作终止，供应商全权负责设计服务全过程的人员安全、设备安全及相关财产安全，服务过程中产生的一切安全事故、人员及财产损失、相关法律及经济责任均由供应商自行承担。</w:t>
            </w:r>
          </w:p>
          <w:p>
            <w:pPr>
              <w:pStyle w:val="null3"/>
            </w:pPr>
            <w:r>
              <w:rPr>
                <w:rFonts w:ascii="仿宋_GB2312" w:hAnsi="仿宋_GB2312" w:cs="仿宋_GB2312" w:eastAsia="仿宋_GB2312"/>
                <w:sz w:val="21"/>
              </w:rPr>
              <w:t xml:space="preserve">  6、保密要求：成交供应商对本项目所有设计资料、技术文件、院区现状信息、医疗相关涉密信息严格履行保密义务，未经采购人书面许可，不得向任何第三方泄露、传播或擅自使用。</w:t>
            </w:r>
          </w:p>
          <w:p>
            <w:pPr>
              <w:pStyle w:val="null3"/>
            </w:pPr>
            <w:r>
              <w:rPr>
                <w:rFonts w:ascii="仿宋_GB2312" w:hAnsi="仿宋_GB2312" w:cs="仿宋_GB2312" w:eastAsia="仿宋_GB2312"/>
                <w:sz w:val="21"/>
              </w:rPr>
              <w:t xml:space="preserve">  7、后续服务要求：成交供应商须全程做好图纸答疑、设计优化、设计变更、施工技术交底、现场技术配合、竣工验收配合等全过程后续配套服务工作，保障项目改造施工顺利实施。</w:t>
            </w:r>
          </w:p>
          <w:p>
            <w:pPr>
              <w:pStyle w:val="null3"/>
            </w:pPr>
            <w:r>
              <w:rPr>
                <w:rFonts w:ascii="仿宋_GB2312" w:hAnsi="仿宋_GB2312" w:cs="仿宋_GB2312" w:eastAsia="仿宋_GB2312"/>
                <w:sz w:val="21"/>
              </w:rPr>
              <w:t>四、其他要求</w:t>
            </w:r>
          </w:p>
          <w:p>
            <w:pPr>
              <w:pStyle w:val="null3"/>
            </w:pPr>
            <w:r>
              <w:rPr>
                <w:rFonts w:ascii="仿宋_GB2312" w:hAnsi="仿宋_GB2312" w:cs="仿宋_GB2312" w:eastAsia="仿宋_GB2312"/>
                <w:sz w:val="21"/>
              </w:rPr>
              <w:t xml:space="preserve">  1、成交供应商须在中标后，结合项目实际情况出具初步改造设计方案说明，采购人报送住建局消防股界定项目属性，根据住建主管部门出具的项目类别界定意见，确定消防系统是否需要重新设计、开展消防整改设计，严格按照主管部门审批意见完成后续全部设计工作，上述方案编制、报审配合、属性研判、消防专项评估等全部相关工作费用，纳入本次设计投标总价，采购人不另行追加支付任何费用；</w:t>
            </w:r>
          </w:p>
          <w:p>
            <w:pPr>
              <w:pStyle w:val="null3"/>
            </w:pPr>
            <w:r>
              <w:rPr>
                <w:rFonts w:ascii="仿宋_GB2312" w:hAnsi="仿宋_GB2312" w:cs="仿宋_GB2312" w:eastAsia="仿宋_GB2312"/>
                <w:sz w:val="21"/>
              </w:rPr>
              <w:t xml:space="preserve">  2、成交供应商未按合同约定及本采购技术要求履约、设计质量不达标、服务不到位、设计成果无法满足项目建设及使用要求的，采购人有权要求其无条件整改、优化设计成果、更换技术人员；拒不整改或整改后仍无法满足项目要求的，采购人有权单方终止合同，并依法追究其违约责任及相应经济损失。</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质量：符合国家及相关行业规范标准及要求，达到合格标准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合同签订后15个日历天交付施工图纸，提供技术服务至项目竣工验收结束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规范、强制性条款，并通过施工图审查。采购人收到设计成果后将图纸报送至审查单位进行审核，审核不合格的，供应商应在10个工作日内完成修改并重新提交。两次审核仍不合格的，采购人有权解除合同，供应商应退还已收取的全部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进度款，供应商向采购人提交初步施工图设计文件后，达到付款条件起7个工作日内，支付合同总金额的30.0%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进度款，施工图设计文件通过图审机构审查后，达到付款条件起7个工作日内，支付合同总金额的40.0%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进度款，工程竣工验收后，达到付款条件起7个工作日内，支付合同总金额的10.0%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成交供应商未按合同约定工期交付设计成果、设计质量不满足国家规范及项目要求、擅自转包分包、擅自更换项目主要人员、违反知识产权及保密约定的，采购人有权扣除相应合同款项；造成采购人经济损失的，成交供应商应当承担相应赔偿责任；情节严重的，采购人有权解除合同。 2. 争议解决：合同履行过程中发生争议，双方优先友好协商解决；协商不成，任何一方可向项目所在地人民法院提起诉讼。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工程设计综合资质甲级或建筑行业乙级及以上资质或建筑行业（建筑工程）乙级及以上资质或建筑装饰工程设计专项乙级及以上资质；供应商资质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拟派项目设计负责人要求</w:t>
            </w:r>
          </w:p>
        </w:tc>
        <w:tc>
          <w:tcPr>
            <w:tcW w:type="dxa" w:w="3322"/>
          </w:tcPr>
          <w:p>
            <w:pPr>
              <w:pStyle w:val="null3"/>
            </w:pPr>
            <w:r>
              <w:rPr>
                <w:rFonts w:ascii="仿宋_GB2312" w:hAnsi="仿宋_GB2312" w:cs="仿宋_GB2312" w:eastAsia="仿宋_GB2312"/>
              </w:rPr>
              <w:t>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项目服务实施方案.docx 拟派项目组团队人员情况表.docx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供应商提供自2023年1月1日至本项目响应文件递交截止时间前的类似业绩证明材料，每提供1项得2.5分，最多得5分。未提供的不得分。 评审依据：提供合同的复印件或扫描件加盖公章，时间以合同签订时间为准。类似业绩指建设工程设计类业绩；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拟派项目设计负责人职称</w:t>
            </w:r>
          </w:p>
        </w:tc>
        <w:tc>
          <w:tcPr>
            <w:tcW w:type="dxa" w:w="2492"/>
          </w:tcPr>
          <w:p>
            <w:pPr>
              <w:pStyle w:val="null3"/>
            </w:pPr>
            <w:r>
              <w:rPr>
                <w:rFonts w:ascii="仿宋_GB2312" w:hAnsi="仿宋_GB2312" w:cs="仿宋_GB2312" w:eastAsia="仿宋_GB2312"/>
              </w:rPr>
              <w:t>拟派项目设计负责人具备高级职称的得5分；中级职称得3分；其余情况不得分。（职称专业需为建筑学、建筑设计、建筑装饰、建筑工程、给排水、暖通、电气等建筑工程设计相关专业） 评审依据：以加盖公章的职称证书的扫描件或复印件为准，未提供的不得分；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拟派项目组团队人员情况表.docx</w:t>
            </w:r>
          </w:p>
        </w:tc>
      </w:tr>
      <w:tr>
        <w:tc>
          <w:tcPr>
            <w:tcW w:type="dxa" w:w="831"/>
            <w:vMerge/>
          </w:tcPr>
          <w:p/>
        </w:tc>
        <w:tc>
          <w:tcPr>
            <w:tcW w:type="dxa" w:w="1661"/>
          </w:tcPr>
          <w:p>
            <w:pPr>
              <w:pStyle w:val="null3"/>
            </w:pPr>
            <w:r>
              <w:rPr>
                <w:rFonts w:ascii="仿宋_GB2312" w:hAnsi="仿宋_GB2312" w:cs="仿宋_GB2312" w:eastAsia="仿宋_GB2312"/>
              </w:rPr>
              <w:t>拟派项目设计负责人工作年限</w:t>
            </w:r>
          </w:p>
        </w:tc>
        <w:tc>
          <w:tcPr>
            <w:tcW w:type="dxa" w:w="2492"/>
          </w:tcPr>
          <w:p>
            <w:pPr>
              <w:pStyle w:val="null3"/>
            </w:pPr>
            <w:r>
              <w:rPr>
                <w:rFonts w:ascii="仿宋_GB2312" w:hAnsi="仿宋_GB2312" w:cs="仿宋_GB2312" w:eastAsia="仿宋_GB2312"/>
              </w:rPr>
              <w:t>拟派项目设计负责人具有3年及以上工作经历的得4分；2年及以上，但在3年以下的得3分；1年及以上，但在2年以下的得2分；1年以下的得1分。 评审依据：以供应商提供的加盖公章的拟派项目设计负责人相关证书的扫描件或复印件为准，时间计算为发证之日起至今，未提供的不得分（相关证件为注册建筑师证书或符合要求的职称证书为准；如供应商同时提供多个证书，以发证时间最早的证书计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拟派项目组团队人员情况表.docx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需针对本项⽬制定完善的团队⼈员配置计划，评审标准：①、提供本项目专属组织架构图，明确配备建筑、装饰、给排水、电气、暖通专业专职设计岗位及对应在岗人员，每提供一个专业岗位得1.5分，最多得7.5分。人员每人仅限任职一个岗位，同类专业只计算一次。以提供的本项目专属组织架构图、岗位人员配置清单为准；②、团队职能分⼯与职责划分，完整列明各专业岗位对应本项目项目联系沟通、施工图纸编制、全过程技术问题解答、设计变更相关配合、施工现场技术服务等工作职责，岗位职责全面贴合本项目设计工作需求，得7.5分；每缺少一项核心岗位职责扣1.5分，以提供的岗位职能说明、人员分工明细表为准；③、拟投入建筑、装饰、给排水、电气、暖通各专业人员，每1人具备本专业有效注册执业证书得1分，最高得5分。以加盖公章的有效期内注册执业证书扫描件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拟派项目组团队人员情况表.docx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需针对本项目出具专项服务质量承诺（包含①问题处理响应时间承诺、②后续施工配合及技术支持服务承诺、③项目进度全程跟进保障承诺、④图纸质量终身负责及修改答疑服务承诺、⑤施工阶段驻场设计服务承诺）。评审标准：供应商需提供加盖公章的承诺函，每提供一个承诺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需针对本项目制定完善的突发环境事件应急预案（包含①突发事件应急处理小组及人员分工、②突发事件防范工作安排、③可能突发的事件及处置方式、④突发事件应急处置措施等内容）。评审标准：预案内容专门针对本项目编制，切合本项目实际情况及实施要求，内容与要点相符、每个要点均有展开详细阐述且能够适用本项目，每项计2分，最高计8分。若上述内容存在缺陷，每项每出现一处缺陷扣1分，每项最多扣2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项目设计服务方案</w:t>
            </w:r>
          </w:p>
        </w:tc>
        <w:tc>
          <w:tcPr>
            <w:tcW w:type="dxa" w:w="2492"/>
          </w:tcPr>
          <w:p>
            <w:pPr>
              <w:pStyle w:val="null3"/>
            </w:pPr>
            <w:r>
              <w:rPr>
                <w:rFonts w:ascii="仿宋_GB2312" w:hAnsi="仿宋_GB2312" w:cs="仿宋_GB2312" w:eastAsia="仿宋_GB2312"/>
              </w:rPr>
              <w:t>供应商需针对本项⽬制定完善的项目设计服务方案（包括①设计服务方案总体思路、②各专项思路、③工作计划及流程、④技术路线及技术方法）。：评审标准：⽅案内容专⻔针对本项⽬编制，切合本项⽬实际情况及实施要求，内容与要点相符、每个要点均有展开详细的阐述且能够适⽤于本项⽬，每项计2分，最⾼计8分，若上述内容存在缺陷，每项每出现⼀处缺陷扣1分，每项最多扣2分。注：“缺陷”是指内容缺项、不完整或缺少关键点；⾮专⻔针对本项⽬或不适⽤本项⽬特性、套⽤其他项⽬内容；对同⼀问题前后表述⽭盾；存在逻辑漏洞、科学原理或常识错误；不利于本项⽬⽬标的实现、现有技术条件下不可能出现的情形等任意⼀种情形。⽅案缺漏项或只有标题没有实质性内容的每项扣2分，扣完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供应商需针对本项目特性制定完善的质量保证措施（包括①质量控制工作程序、②项目全过程质量管控措施、③健全的质量保证体系、④图纸审核及质量纠错整改机制）。评审标准：方案内容专门针对本项目编制，切合本项目实际情况及实施要求，内容与要点相符、每个要点均有展开详细的阐述且能够适用于本项目，每项计2分，最高计8分。若上述内容存在缺陷，每项每出现一处缺陷扣1分，每项最多扣2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项目实施进度安排及保证措施</w:t>
            </w:r>
          </w:p>
        </w:tc>
        <w:tc>
          <w:tcPr>
            <w:tcW w:type="dxa" w:w="2492"/>
          </w:tcPr>
          <w:p>
            <w:pPr>
              <w:pStyle w:val="null3"/>
            </w:pPr>
            <w:r>
              <w:rPr>
                <w:rFonts w:ascii="仿宋_GB2312" w:hAnsi="仿宋_GB2312" w:cs="仿宋_GB2312" w:eastAsia="仿宋_GB2312"/>
              </w:rPr>
              <w:t>应商需针对本项目制定完善的项目实施进度安排及保障方案（包含①总体计划安排、②各专项任务衔接安排、③各阶段成果交付时间节点计划、④进度保障措施等内容）。评审标准：方案内容专门针对本项目编制，切合本项目实际情况及实施要求，内容与要点相符、每个要点均有展开详细阐述且能够适用本项目，每项计2分，最高计8分。若上述内容存在缺陷，每项每出现一处缺陷扣1分，每项最多扣2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供应商需针对本项目需求制定完善的项目重点难点分析方案（包含①本项目工作重点、难点认知分析、②项目实施关键环节梳理分析、③针对重点难点及关键环节制定的针对性应对措施、④项目风险预判及规避保障措施等内容）。评审标准：分析内容专门针对本项目编制，切合本项目实际情况及实施要求，内容与要点相符、每个要点均有展开详细阐述且能够适用本项目，每项计2分，最高计8分。若上述内容存在缺陷，每项每出现一处缺陷扣1分，每项最多扣2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内部管控制度</w:t>
            </w:r>
          </w:p>
        </w:tc>
        <w:tc>
          <w:tcPr>
            <w:tcW w:type="dxa" w:w="2492"/>
          </w:tcPr>
          <w:p>
            <w:pPr>
              <w:pStyle w:val="null3"/>
            </w:pPr>
            <w:r>
              <w:rPr>
                <w:rFonts w:ascii="仿宋_GB2312" w:hAnsi="仿宋_GB2312" w:cs="仿宋_GB2312" w:eastAsia="仿宋_GB2312"/>
              </w:rPr>
              <w:t>供应商需提供加盖公章的完整制度文件：①图纸三审三校制度；②设计变更管理制度；③项目档案归档管理制度。每提供一类完整制度得2分，最多得6分；仅提供标题无正文内容不计分。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详见附件：拟派项目组团队人员情况表.docx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