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版本号：SZB-2026-013-0420260525001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第五届秦创原高价值专利大赛项目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SZB-2026-013-04</w:t>
      </w:r>
      <w:r>
        <w:br/>
      </w:r>
      <w:r>
        <w:br/>
      </w:r>
      <w:r>
        <w:br/>
      </w:r>
    </w:p>
    <w:p>
      <w:pPr>
        <w:pStyle w:val="null3"/>
        <w:jc w:val="center"/>
        <w:outlineLvl w:val="2"/>
      </w:pPr>
      <w:r>
        <w:rPr>
          <w:rFonts w:ascii="仿宋_GB2312" w:hAnsi="仿宋_GB2312" w:cs="仿宋_GB2312" w:eastAsia="仿宋_GB2312"/>
          <w:sz w:val="28"/>
          <w:b/>
        </w:rPr>
        <w:t>陕西省知识产权局机关</w:t>
      </w:r>
    </w:p>
    <w:p>
      <w:pPr>
        <w:pStyle w:val="null3"/>
        <w:jc w:val="center"/>
        <w:outlineLvl w:val="2"/>
      </w:pPr>
      <w:r>
        <w:rPr>
          <w:rFonts w:ascii="仿宋_GB2312" w:hAnsi="仿宋_GB2312" w:cs="仿宋_GB2312" w:eastAsia="仿宋_GB2312"/>
          <w:sz w:val="28"/>
          <w:b/>
        </w:rPr>
        <w:t>陕西众恒项目管理有限公司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陕西众恒项目管理有限公司</w:t>
      </w:r>
      <w:r>
        <w:rPr>
          <w:rFonts w:ascii="仿宋_GB2312" w:hAnsi="仿宋_GB2312" w:cs="仿宋_GB2312" w:eastAsia="仿宋_GB2312"/>
        </w:rPr>
        <w:t>（以下简称“代理机构”）受</w:t>
      </w:r>
      <w:r>
        <w:rPr>
          <w:rFonts w:ascii="仿宋_GB2312" w:hAnsi="仿宋_GB2312" w:cs="仿宋_GB2312" w:eastAsia="仿宋_GB2312"/>
        </w:rPr>
        <w:t>陕西省知识产权局机关</w:t>
      </w:r>
      <w:r>
        <w:rPr>
          <w:rFonts w:ascii="仿宋_GB2312" w:hAnsi="仿宋_GB2312" w:cs="仿宋_GB2312" w:eastAsia="仿宋_GB2312"/>
        </w:rPr>
        <w:t>委托，拟对</w:t>
      </w:r>
      <w:r>
        <w:rPr>
          <w:rFonts w:ascii="仿宋_GB2312" w:hAnsi="仿宋_GB2312" w:cs="仿宋_GB2312" w:eastAsia="仿宋_GB2312"/>
        </w:rPr>
        <w:t>第五届秦创原高价值专利大赛项目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SZB-2026-013-04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第五届秦创原高价值专利大赛项目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举办第五届秦创原高价值专利大赛是为加快推进西部示范知识产权强省建设，挖掘培育高价值专利，搭建专利转化对接桥梁，提升专利价值评估、运营与产业化能力，营造知识产权创新生态。赛事目标打造全国标杆赛事，推动专利成果与产业、资本精准对接，助力专利成果高效转化，强化秦创原品牌影响力与知识产权引领作用。供应商须具有承担大型专利转化对接活动的能力，可以完成第五届秦创原高价值专利大赛的整体策划与组织实施，完成赛事全流程组织、评审、路演、宣传、颁奖及专利成果转化服务。供应商需拥有大型专利赛事经验，熟悉高价值专利评价标准与国家、陕西省知识产权政策导向；团队配置稳定，团队成员须具备赛事策划、会务执行、宣传推广、专家邀约、项目辅导能力，并且遵守赛事规程与陕西省知识产权局相关要求，保障赛事合规、安全、有序实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1、营业执照：具有独立承担民事责任能力的法人、其他组织或自然人，提供合法有效的统一社会信用代码营业执照（其他组织提供相关证明资料，自然人应提供身份证）</w:t>
      </w:r>
    </w:p>
    <w:p>
      <w:pPr>
        <w:pStyle w:val="null3"/>
      </w:pPr>
      <w:r>
        <w:rPr>
          <w:rFonts w:ascii="仿宋_GB2312" w:hAnsi="仿宋_GB2312" w:cs="仿宋_GB2312" w:eastAsia="仿宋_GB2312"/>
        </w:rPr>
        <w:t>2、财务状况报告：具有良好的商业信誉和健全的财务会计制度，提供近1年经审计的财务报告或基本开户银行出具的资信证明</w:t>
      </w:r>
    </w:p>
    <w:p>
      <w:pPr>
        <w:pStyle w:val="null3"/>
      </w:pPr>
      <w:r>
        <w:rPr>
          <w:rFonts w:ascii="仿宋_GB2312" w:hAnsi="仿宋_GB2312" w:cs="仿宋_GB2312" w:eastAsia="仿宋_GB2312"/>
        </w:rPr>
        <w:t>3、税收缴纳证明：有依法缴纳税收和社会保障资金的良好记录，提供近6个月内任意1个月的纳税及社保缴纳凭证</w:t>
      </w:r>
    </w:p>
    <w:p>
      <w:pPr>
        <w:pStyle w:val="null3"/>
      </w:pPr>
      <w:r>
        <w:rPr>
          <w:rFonts w:ascii="仿宋_GB2312" w:hAnsi="仿宋_GB2312" w:cs="仿宋_GB2312" w:eastAsia="仿宋_GB2312"/>
        </w:rPr>
        <w:t>4、书面声明及证明材料：具有履行合同所必需的设备和专业技术能力，提供书面声明及相关设备、技术能力证明材料</w:t>
      </w:r>
    </w:p>
    <w:p>
      <w:pPr>
        <w:pStyle w:val="null3"/>
      </w:pPr>
      <w:r>
        <w:rPr>
          <w:rFonts w:ascii="仿宋_GB2312" w:hAnsi="仿宋_GB2312" w:cs="仿宋_GB2312" w:eastAsia="仿宋_GB2312"/>
        </w:rPr>
        <w:t>5、书面声明：参加政府采购活动前3年内，在经营活动中没有重大违法记录，提供书面声明</w:t>
      </w:r>
    </w:p>
    <w:p>
      <w:pPr>
        <w:pStyle w:val="null3"/>
      </w:pPr>
      <w:r>
        <w:rPr>
          <w:rFonts w:ascii="仿宋_GB2312" w:hAnsi="仿宋_GB2312" w:cs="仿宋_GB2312" w:eastAsia="仿宋_GB2312"/>
        </w:rPr>
        <w:t>6、其他要求：法律、行政法规规定的其他条件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陕西省知识产权局机关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新城大院内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艾老师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18992853647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西安市雁翔路99号交大博源科技广场C座12楼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18821775788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代理服务费收费标准：代理服务费用收取对象：中标/成交供应商 代理服务费收费标准：招标代理服务费由中标人在领取中标通知书前向招标代理机构支付 ，参照国家计委计价格【2002】 1980号文支付，一次性收取。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陕西省知识产权局机关</w:t>
      </w:r>
      <w:r>
        <w:rPr>
          <w:rFonts w:ascii="仿宋_GB2312" w:hAnsi="仿宋_GB2312" w:cs="仿宋_GB2312" w:eastAsia="仿宋_GB2312"/>
        </w:rPr>
        <w:t>和</w:t>
      </w:r>
      <w:r>
        <w:rPr>
          <w:rFonts w:ascii="仿宋_GB2312" w:hAnsi="仿宋_GB2312" w:cs="仿宋_GB2312" w:eastAsia="仿宋_GB2312"/>
        </w:rPr>
        <w:t>陕西众恒项目管理有限公司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陕西省知识产权局机关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陕西省知识产权局机关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联系人：李楠</w:t>
      </w:r>
    </w:p>
    <w:p>
      <w:pPr>
        <w:pStyle w:val="null3"/>
      </w:pPr>
      <w:r>
        <w:rPr>
          <w:rFonts w:ascii="仿宋_GB2312" w:hAnsi="仿宋_GB2312" w:cs="仿宋_GB2312" w:eastAsia="仿宋_GB2312"/>
        </w:rPr>
        <w:t>联系电话：18821775788</w:t>
      </w:r>
    </w:p>
    <w:p>
      <w:pPr>
        <w:pStyle w:val="null3"/>
      </w:pPr>
      <w:r>
        <w:rPr>
          <w:rFonts w:ascii="仿宋_GB2312" w:hAnsi="仿宋_GB2312" w:cs="仿宋_GB2312" w:eastAsia="仿宋_GB2312"/>
        </w:rPr>
        <w:t>地址：西安市雁翔路99号交大博源科技广场C座12楼</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举办第五届秦创原高价值专利大赛是为加快推进西部示范知识产权强省建设，挖掘培育高价值专利，搭建专利转化对接桥梁，提升专利价值评估、运营与产业化能力，营造知识产权创新生态。赛事目标打造全国标杆赛事，推动专利成果与产业、资本精准对接，助力专利成果高效转化，强化秦创原品牌影响力与知识产权引领作用。供应商须具有承担大型专利转化对接活动的能力，可以完成第五届秦创原高价值专利大赛的整体策划与组织实施，完成赛事全流程组织、评审、路演、宣传、颁奖及专利成果转化服务。供应商需拥有大型专利赛事经验，熟悉高价值专利评价标准与国家、陕西省知识产权政策导向；团队配置稳定，团队成员须具备赛事策划、会务执行、宣传推广、专家邀约、项目辅导能力，并且遵守赛事规程与陕西省知识产权局相关要求，保障赛事合规、安全、有序实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2,900,000.00</w:t>
      </w:r>
    </w:p>
    <w:p>
      <w:pPr>
        <w:pStyle w:val="null3"/>
      </w:pPr>
      <w:r>
        <w:rPr>
          <w:rFonts w:ascii="仿宋_GB2312" w:hAnsi="仿宋_GB2312" w:cs="仿宋_GB2312" w:eastAsia="仿宋_GB2312"/>
        </w:rPr>
        <w:t>采购包最高限价（元）: 2,900,000.00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2900000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标的名称：2900000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2"/>
            </w:pPr>
            <w:r>
              <w:rPr>
                <w:rFonts w:ascii="仿宋_GB2312" w:hAnsi="仿宋_GB2312" w:cs="仿宋_GB2312" w:eastAsia="仿宋_GB2312"/>
                <w:sz w:val="21"/>
                <w:b/>
              </w:rPr>
              <w:t>供应商须具备组织大型知识产权赛事的成熟经验，围绕赛事各个阶段，提供完整的全周期赛事执行方案。须提供各阶段所需的场地、设备及物料，并做好合理布置，确保赛事正常举行，同时制定并落实安全预案与应急方案，切实保障人员、信息及财产安全。</w:t>
            </w:r>
            <w:r>
              <w:rPr>
                <w:rFonts w:ascii="仿宋_GB2312" w:hAnsi="仿宋_GB2312" w:cs="仿宋_GB2312" w:eastAsia="仿宋_GB2312"/>
                <w:sz w:val="21"/>
                <w:b/>
              </w:rPr>
              <w:t>根据赛事规程完成发明、实用新型专利与工业设计组别的科学划分与设计，并按照省知识产权局</w:t>
            </w:r>
            <w:r>
              <w:rPr>
                <w:rFonts w:ascii="仿宋_GB2312" w:hAnsi="仿宋_GB2312" w:cs="仿宋_GB2312" w:eastAsia="仿宋_GB2312"/>
                <w:sz w:val="21"/>
                <w:b/>
              </w:rPr>
              <w:t>要求代为发放大赛奖金、奖杯、证书及纪念奖品，确保各环节衔接有序、流程合规。</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供应商需组建涵盖知识产权、技术研发、金融投资、产业管理等多领域专家的专业评审委员会，确保评审结果的权威性与公正性。须制定科学严谨的评分细则，评价维度应全面覆盖专利质量、技术创新性、保护布局合理性、成果转化前景及市场价值等核心指标。评审过程须实行回避制度与盲审制度，做到流程可追溯、结果可复核。还需规范完成专家邀请、签到、评分及劳务报酬发放等工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outlineLvl w:val="2"/>
            </w:pPr>
            <w:r>
              <w:rPr>
                <w:rFonts w:ascii="仿宋_GB2312" w:hAnsi="仿宋_GB2312" w:cs="仿宋_GB2312" w:eastAsia="仿宋_GB2312"/>
                <w:sz w:val="21"/>
                <w:b/>
              </w:rPr>
              <w:t>供应商应搭建并维护稳定的赛事专用系统，支持线上报名、材料提交、资格初审等功能，同时需搭建赛事专题页面，集中呈现赛事进程与成果，宣传内容须符合国家及陕西省知识产权政策导向，严格遵守信息发布与保密规定。</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880"/>
              <w:jc w:val="both"/>
            </w:pPr>
            <w:r>
              <w:rPr>
                <w:rFonts w:ascii="仿宋_GB2312" w:hAnsi="仿宋_GB2312" w:cs="仿宋_GB2312" w:eastAsia="仿宋_GB2312"/>
                <w:sz w:val="21"/>
              </w:rPr>
              <w:t>供应商须根据大赛总体定位，策划并完成初赛、复赛、决赛及颁奖等各阶段的布展方案。需完成秦高赛整体视觉效果设计，包括主视觉及延展物料、场地氛围营造等，充分体现秦创原品牌特色与知识产权主题。各阶段场地须完成路演区、展示区、签到区等功能分区的搭建与布置，确保布局合理、动线清晰。同时须提供LED屏幕、灯光音响等所需设施并保障正常运行，全程负责布展与撤展工作，确保现场安全有序。</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outlineLvl w:val="2"/>
            </w:pPr>
            <w:r>
              <w:rPr>
                <w:rFonts w:ascii="仿宋_GB2312" w:hAnsi="仿宋_GB2312" w:cs="仿宋_GB2312" w:eastAsia="仿宋_GB2312"/>
                <w:sz w:val="21"/>
                <w:b/>
              </w:rPr>
              <w:t>供应商须提供全程会务保障服务，包括主持人、会务人员安排，会务资料准备，参赛人员及专家的接待工作。需统筹安排参会人员的住宿、交通、餐饮、彩排及签到等事宜，确保工作安排有序。在现场执行管理中，必须保障各环节衔接顺畅、流程规范，在决赛及颁奖阶段，重点做好仪式流程策划与执行，保证活动隆重、有序、高效。</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供应商须围绕秦高赛亮点进行深度策划，有效提升赛事曝光量与品牌影响力。具体工作包括撰写新闻稿件、邀请主流媒体进行报道。须完成海报设计、宣传物料制作、赛事资讯定向推送等基础宣传工作，并开展赛事视频拍摄与制作，形成精彩集锦、路演录像等可留存传播的视频成果。</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供应商须组建稳定、专业的服务团队，明确项目总负责人及核心成员，确保全周期在岗并高效响应。团队成员须具备赛事策划、会务执行、宣传推广、专家邀约及项目辅导等综合能力，项目总负责人及主要执行人员应具有大型知识产权赛事或同类活动的组织经验。团队内部岗位分工须明确，制定详细的人员职责表与联络机制，严格遵守赛事规程及陕西省知识产权局相关要求，保障赛事合规、安全、有序实施。</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ind w:firstLine="640"/>
              <w:jc w:val="both"/>
            </w:pPr>
            <w:r>
              <w:rPr>
                <w:rFonts w:ascii="仿宋_GB2312" w:hAnsi="仿宋_GB2312" w:cs="仿宋_GB2312" w:eastAsia="仿宋_GB2312"/>
                <w:sz w:val="21"/>
              </w:rPr>
              <w:t>成立专属项目团队，提供7×24小时响应服务，定期汇报项目进展。项目结束后，整理并提交完整的项目资料包，包括策划方案、执行记录、宣传数据、设计源文件、视频图片素材等。配合采购人完成项目验收，根据验收意见及时整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按照项目规模及服务要求配置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按照项目规模及服务要求配置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按照项目规模及服务要求配置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按照合同约定期限完成所有内容。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进度款，项目完成后，达到付款条件起7个工作日内，支付合同总金额的20.0%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具有独立承担民事责任能力的法人、其他组织或自然人，提供合法有效的统一社会信用代码营业执照（其他组织提供相关证明资料，自然人应提供身份证）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具有良好的商业信誉和健全的财务会计制度，提供近1年经审计的财务报告或基本开户银行出具的资信证明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有依法缴纳税收和社会保障资金的良好记录，提供近6个月内任意1个月的纳税及社保缴纳凭证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书面声明及证明材料</w:t>
            </w:r>
          </w:p>
        </w:tc>
        <w:tc>
          <w:tcPr>
            <w:tcW w:type="dxa" w:w="3322"/>
          </w:tcPr>
          <w:p>
            <w:pPr>
              <w:pStyle w:val="null3"/>
            </w:pPr>
            <w:r>
              <w:rPr>
                <w:rFonts w:ascii="仿宋_GB2312" w:hAnsi="仿宋_GB2312" w:cs="仿宋_GB2312" w:eastAsia="仿宋_GB2312"/>
              </w:rPr>
              <w:t>具有履行合同所必需的设备和专业技术能力，提供书面声明及相关设备、技术能力证明材料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参加政府采购活动前3年内，在经营活动中没有重大违法记录，提供书面声明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法律、行政法规规定的其他条件</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赛事组织</w:t>
            </w:r>
          </w:p>
        </w:tc>
        <w:tc>
          <w:tcPr>
            <w:tcW w:type="dxa" w:w="2492"/>
          </w:tcPr>
          <w:p>
            <w:pPr>
              <w:pStyle w:val="null3"/>
            </w:pPr>
            <w:r>
              <w:rPr>
                <w:rFonts w:ascii="仿宋_GB2312" w:hAnsi="仿宋_GB2312" w:cs="仿宋_GB2312" w:eastAsia="仿宋_GB2312"/>
              </w:rPr>
              <w:t>根据赛事规程完成发明、实用新型专利与工业设计组别的科学划分与设计，完成从项目征集、资格审核到各阶段评审与路演的全程组织工作。总体规划切实可行的7-10分，规划较为合理的赋4-7分，方案较差赋0-4分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赛事评审</w:t>
            </w:r>
          </w:p>
        </w:tc>
        <w:tc>
          <w:tcPr>
            <w:tcW w:type="dxa" w:w="2492"/>
          </w:tcPr>
          <w:p>
            <w:pPr>
              <w:pStyle w:val="null3"/>
            </w:pPr>
            <w:r>
              <w:rPr>
                <w:rFonts w:ascii="仿宋_GB2312" w:hAnsi="仿宋_GB2312" w:cs="仿宋_GB2312" w:eastAsia="仿宋_GB2312"/>
              </w:rPr>
              <w:t>根据赛事内容，组建大赛专业评审委员会，完成各阶段项目评审，复赛项目和决赛项目知识产权评议；总体规划切实可行的7-10分，规划较为合理的赋4-7分，方案较差赋0-4分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策划布展方案</w:t>
            </w:r>
          </w:p>
        </w:tc>
        <w:tc>
          <w:tcPr>
            <w:tcW w:type="dxa" w:w="2492"/>
          </w:tcPr>
          <w:p>
            <w:pPr>
              <w:pStyle w:val="null3"/>
            </w:pPr>
            <w:r>
              <w:rPr>
                <w:rFonts w:ascii="仿宋_GB2312" w:hAnsi="仿宋_GB2312" w:cs="仿宋_GB2312" w:eastAsia="仿宋_GB2312"/>
              </w:rPr>
              <w:t>秦高赛各阶段视觉效果设计及场地布置，提供大赛所需场地、相关设备及会务服务，组织机构及工作安排基本完善、合理，岗位分工明确得11-15分； 基本合理得6-10分；一般得0-5分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会务服务</w:t>
            </w:r>
          </w:p>
        </w:tc>
        <w:tc>
          <w:tcPr>
            <w:tcW w:type="dxa" w:w="2492"/>
          </w:tcPr>
          <w:p>
            <w:pPr>
              <w:pStyle w:val="null3"/>
            </w:pPr>
            <w:r>
              <w:rPr>
                <w:rFonts w:ascii="仿宋_GB2312" w:hAnsi="仿宋_GB2312" w:cs="仿宋_GB2312" w:eastAsia="仿宋_GB2312"/>
              </w:rPr>
              <w:t>大赛各阶段会务工作，包括：场地、主持人、礼仪、会务资料、住宿交通、彩排签到等。工作安排有序、有详细的服务攻略赋7-8分，服务方案较为合理赋4-6分，措施方案粗略赋0-3分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配套活动组织</w:t>
            </w:r>
          </w:p>
        </w:tc>
        <w:tc>
          <w:tcPr>
            <w:tcW w:type="dxa" w:w="2492"/>
          </w:tcPr>
          <w:p>
            <w:pPr>
              <w:pStyle w:val="null3"/>
            </w:pPr>
            <w:r>
              <w:rPr>
                <w:rFonts w:ascii="仿宋_GB2312" w:hAnsi="仿宋_GB2312" w:cs="仿宋_GB2312" w:eastAsia="仿宋_GB2312"/>
              </w:rPr>
              <w:t>提供展览配套活动组织的详细方案，组织项目路演，代发秦高赛奖金、奖杯、证书及纪念奖品等，方案详细、合理、全面得7-10分；方案基本合理得4-7分；提供的项目策划方案较差的，得0-4分。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配套赛事技术开发</w:t>
            </w:r>
          </w:p>
        </w:tc>
        <w:tc>
          <w:tcPr>
            <w:tcW w:type="dxa" w:w="2492"/>
          </w:tcPr>
          <w:p>
            <w:pPr>
              <w:pStyle w:val="null3"/>
            </w:pPr>
            <w:r>
              <w:rPr>
                <w:rFonts w:ascii="仿宋_GB2312" w:hAnsi="仿宋_GB2312" w:cs="仿宋_GB2312" w:eastAsia="仿宋_GB2312"/>
              </w:rPr>
              <w:t>供应商应结合赛事开展情况，提供赛事报名系统及线上产品开发等相关服务产品的证明。全满足采购要求，计10分。（产品证明包括：产品截图、产品功能说明）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供应商结合本项目实际情况制定合理、可行、完整的总体进度计划及保障措施。 进度计划及保障措施内容完整且时效性强，能够切合本项目实际情况对进度关键节点的控制和保障措施详细描述，完全满足采购要求，计5-6分； 进度计划及保障措施内容单一，基本可行，计3-4分； 进度计划及保障措施有偏差，没有针对性，计0-2分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赛事宣传</w:t>
            </w:r>
          </w:p>
        </w:tc>
        <w:tc>
          <w:tcPr>
            <w:tcW w:type="dxa" w:w="2492"/>
          </w:tcPr>
          <w:p>
            <w:pPr>
              <w:pStyle w:val="null3"/>
            </w:pPr>
            <w:r>
              <w:rPr>
                <w:rFonts w:ascii="仿宋_GB2312" w:hAnsi="仿宋_GB2312" w:cs="仿宋_GB2312" w:eastAsia="仿宋_GB2312"/>
              </w:rPr>
              <w:t>新闻稿撰写、邀请媒体单位、比赛资讯定向推送、海报设计、新闻投放、视频拍摄、现场专访、专题搭建等。根据赛事性质积极宣传，提升曝光量，突出亮点赋10-15分，宣传方案较为合理赋5-10分，宣传方案粗略或者不全面赋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提供供应商2023年1月1日至今举办过知识产权类赛事、展览会议的，每提供一个得2分；本项目最高得6分。 （业绩证明包括：合同，以合同签订时间为准，须附合同的扫描件加盖公章）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评标基准价：通过资格性审查和符合性审查且报价最低的投标报价为评标基准价。 投标报价得分：投标报价得分统一按照下列公式计算： 价格分=(评标基准价／投标报价)×价格权值×100 （注：如评标委员会一致认为最低报价或某些分项报价明显不合理，有降低质量、不能诚信履约的可能时，评标委员会有权通知投标人进行解释。如投标人未能在规定期限内作出解释，或所作解释不合理，经评标委员会取得一致意见后，对该投标人将不予推荐。）</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