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版本号：SXHY-2026-03120260826001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大荔县2026年第二批产业发展帮扶资金项目施工</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SXHY-2026-031</w:t>
      </w:r>
      <w:r>
        <w:br/>
      </w:r>
      <w:r>
        <w:br/>
      </w:r>
      <w:r>
        <w:br/>
      </w:r>
    </w:p>
    <w:p>
      <w:pPr>
        <w:pStyle w:val="null3"/>
        <w:jc w:val="center"/>
        <w:outlineLvl w:val="2"/>
      </w:pPr>
      <w:r>
        <w:rPr>
          <w:rFonts w:ascii="仿宋_GB2312" w:hAnsi="仿宋_GB2312" w:cs="仿宋_GB2312" w:eastAsia="仿宋_GB2312"/>
          <w:sz w:val="28"/>
          <w:b/>
        </w:rPr>
        <w:t>大荔县设施农业发展中心</w:t>
      </w:r>
    </w:p>
    <w:p>
      <w:pPr>
        <w:pStyle w:val="null3"/>
        <w:jc w:val="center"/>
        <w:outlineLvl w:val="2"/>
      </w:pPr>
      <w:r>
        <w:rPr>
          <w:rFonts w:ascii="仿宋_GB2312" w:hAnsi="仿宋_GB2312" w:cs="仿宋_GB2312" w:eastAsia="仿宋_GB2312"/>
          <w:sz w:val="28"/>
          <w:b/>
        </w:rPr>
        <w:t>陕西浩优项目管理有限公司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2026年08月26日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陕西浩优项目管理有限公司</w:t>
      </w:r>
      <w:r>
        <w:rPr>
          <w:rFonts w:ascii="仿宋_GB2312" w:hAnsi="仿宋_GB2312" w:cs="仿宋_GB2312" w:eastAsia="仿宋_GB2312"/>
        </w:rPr>
        <w:t>（以下简称“代理机构”）受</w:t>
      </w:r>
      <w:r>
        <w:rPr>
          <w:rFonts w:ascii="仿宋_GB2312" w:hAnsi="仿宋_GB2312" w:cs="仿宋_GB2312" w:eastAsia="仿宋_GB2312"/>
        </w:rPr>
        <w:t>大荔县设施农业发展中心</w:t>
      </w:r>
      <w:r>
        <w:rPr>
          <w:rFonts w:ascii="仿宋_GB2312" w:hAnsi="仿宋_GB2312" w:cs="仿宋_GB2312" w:eastAsia="仿宋_GB2312"/>
        </w:rPr>
        <w:t>委托，拟对</w:t>
      </w:r>
      <w:r>
        <w:rPr>
          <w:rFonts w:ascii="仿宋_GB2312" w:hAnsi="仿宋_GB2312" w:cs="仿宋_GB2312" w:eastAsia="仿宋_GB2312"/>
        </w:rPr>
        <w:t>大荔县2026年第二批产业发展帮扶资金项目施工</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SXHY-2026-031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大荔县2026年第二批产业发展帮扶资金项目施工</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大荔县2026年第二批产业发展帮扶资金项目施工主要内容为建设2026年大荔县西城街道谷多村分拣包装车间。</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采购包1（大荔县2026年第二批产业发展帮扶资金项目施工）：属于专门面向中小企业采购。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2、资质要求：供应商具备有效的建筑工程施工总承包三级(含三级)及以上资质，并在人员、设备、资金等方面具备相应的能力且具备有效的安全生产许可证；</w:t>
      </w:r>
    </w:p>
    <w:p>
      <w:pPr>
        <w:pStyle w:val="null3"/>
      </w:pPr>
      <w:r>
        <w:rPr>
          <w:rFonts w:ascii="仿宋_GB2312" w:hAnsi="仿宋_GB2312" w:cs="仿宋_GB2312" w:eastAsia="仿宋_GB2312"/>
        </w:rPr>
        <w:t>3、项目经理要求：拟派项目经理须具备建筑工程专业二级及以上注册建造师资格，且具备有效的安全生产考核合格证(B证)，未担任其他在建工程项目的项目经理（提供承诺函）；</w:t>
      </w:r>
    </w:p>
    <w:p>
      <w:pPr>
        <w:pStyle w:val="null3"/>
      </w:pPr>
      <w:r>
        <w:rPr>
          <w:rFonts w:ascii="仿宋_GB2312" w:hAnsi="仿宋_GB2312" w:cs="仿宋_GB2312" w:eastAsia="仿宋_GB2312"/>
        </w:rPr>
        <w:t>4、财务状况报告：提供具有财务审计资质单位出具赋二维码查验功能的2024年或2025年财务审计报告（成立时间至开标时间不足一年的可提供成立后任意时段的资产负债表）或开标前六个月内其基本账户银行出具的资信证明或政府采购信用担保机构出具的担保函；</w:t>
      </w:r>
    </w:p>
    <w:p>
      <w:pPr>
        <w:pStyle w:val="null3"/>
      </w:pPr>
      <w:r>
        <w:rPr>
          <w:rFonts w:ascii="仿宋_GB2312" w:hAnsi="仿宋_GB2312" w:cs="仿宋_GB2312" w:eastAsia="仿宋_GB2312"/>
        </w:rPr>
        <w:t>5、税收缴纳证明：提供截止至开标时间前12个月内任意一个月的税收缴纳凭据；（增值税、企业所得税至少提供一种，依法免税的供应商应提供相关文件证明）</w:t>
      </w:r>
    </w:p>
    <w:p>
      <w:pPr>
        <w:pStyle w:val="null3"/>
      </w:pPr>
      <w:r>
        <w:rPr>
          <w:rFonts w:ascii="仿宋_GB2312" w:hAnsi="仿宋_GB2312" w:cs="仿宋_GB2312" w:eastAsia="仿宋_GB2312"/>
        </w:rPr>
        <w:t>6、社会保障资金缴纳证明：提供截止至开标时间前12个月内任意一个月的社保缴纳凭据或社保机构开具的社会保险参保缴纳情况证明；（依法不需要缴纳社会保障资金的供应商应提供相关证明）</w:t>
      </w:r>
    </w:p>
    <w:p>
      <w:pPr>
        <w:pStyle w:val="null3"/>
      </w:pPr>
      <w:r>
        <w:rPr>
          <w:rFonts w:ascii="仿宋_GB2312" w:hAnsi="仿宋_GB2312" w:cs="仿宋_GB2312" w:eastAsia="仿宋_GB2312"/>
        </w:rPr>
        <w:t>7、提供具有履行本合同所必需的设备和专业技术能力的承诺：提供具有履行本合同所必需的设备和专业技术能力的承诺；（提供承诺书，加盖供应商公章）</w:t>
      </w:r>
    </w:p>
    <w:p>
      <w:pPr>
        <w:pStyle w:val="null3"/>
      </w:pPr>
      <w:r>
        <w:rPr>
          <w:rFonts w:ascii="仿宋_GB2312" w:hAnsi="仿宋_GB2312" w:cs="仿宋_GB2312" w:eastAsia="仿宋_GB2312"/>
        </w:rPr>
        <w:t>8、法定代表人身份证明和授权委托书：法定代表人授权委托书（附法定代表人身份证复印件及被授权人身份证复印件）；法定代表人直接参加投标的只须提供法定代表人资格证明书（附法定代表人身份证复印件）；</w:t>
      </w:r>
    </w:p>
    <w:p>
      <w:pPr>
        <w:pStyle w:val="null3"/>
      </w:pPr>
      <w:r>
        <w:rPr>
          <w:rFonts w:ascii="仿宋_GB2312" w:hAnsi="仿宋_GB2312" w:cs="仿宋_GB2312" w:eastAsia="仿宋_GB2312"/>
        </w:rPr>
        <w:t>9、三年内在经营活动中没有重大违法记录的书面声明：提供参加政府采购活动前三年内在经营活动中没有重大违法记录的书面声明；（提供书面声明，加盖供应商公章）</w:t>
      </w:r>
    </w:p>
    <w:p>
      <w:pPr>
        <w:pStyle w:val="null3"/>
      </w:pPr>
      <w:r>
        <w:rPr>
          <w:rFonts w:ascii="仿宋_GB2312" w:hAnsi="仿宋_GB2312" w:cs="仿宋_GB2312" w:eastAsia="仿宋_GB2312"/>
        </w:rPr>
        <w:t>10、中小企业声明函：本项目专门面向中小企业采购；须符合《政府采购促进中小企业发展管理办法》（财库〔2020〕46号）规定的中小企业参加。（提供《中小企业声明函》）；</w:t>
      </w:r>
    </w:p>
    <w:p>
      <w:pPr>
        <w:pStyle w:val="null3"/>
      </w:pPr>
      <w:r>
        <w:rPr>
          <w:rFonts w:ascii="仿宋_GB2312" w:hAnsi="仿宋_GB2312" w:cs="仿宋_GB2312" w:eastAsia="仿宋_GB2312"/>
        </w:rPr>
        <w:t>11、信誉要求：不得为“信用中国”网站(http://www.creditchina.gov.cn)列入“失信被执行人（页面跳转至“中国执行信息公开网”http://zxgk.court.gov.cn/shixin/）、重大税收违法失信主体、政府采购严重违法失信行为记录名单”的供应商；不得为中国政府采购网(http://www.ccgp.gov.cn)“政府采购严重违法失信行为记录名单”中的供应商；(根据财库【2019】38号文规定，由采购人在投标截止日当天在“信用中国”网站和中国政府采购网站进行查询，截图留档；如网站无供应商信息的，供应商须提供相关证明资料或书面声明，放在在每份投标文件中。）；</w:t>
      </w:r>
    </w:p>
    <w:p>
      <w:pPr>
        <w:pStyle w:val="null3"/>
      </w:pPr>
      <w:r>
        <w:rPr>
          <w:rFonts w:ascii="仿宋_GB2312" w:hAnsi="仿宋_GB2312" w:cs="仿宋_GB2312" w:eastAsia="仿宋_GB2312"/>
        </w:rPr>
        <w:t>12、单位负责人为同一人或者存在控股、管理关系的不同单位，不得同时参加同一招标项目投标，否则投标无效：单位负责人为同一人或者存在直接控股、管理关系的不同供应商，不得参加同一合同项下的政府采购活动。(根据财库【2019】38号文规定，由采购人在投标截止日当天在“国家企业信用信息公示系统”网站进行查询，截图留档；如网站无供应商信息的，供应商须提供相关证明资料或承诺书，放在每份投标文件中。）；</w:t>
      </w:r>
    </w:p>
    <w:p>
      <w:pPr>
        <w:pStyle w:val="null3"/>
      </w:pPr>
      <w:r>
        <w:rPr>
          <w:rFonts w:ascii="仿宋_GB2312" w:hAnsi="仿宋_GB2312" w:cs="仿宋_GB2312" w:eastAsia="仿宋_GB2312"/>
        </w:rPr>
        <w:t>13、本项目不接受联合体投标：本项目不接受联合体投标；</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大荔县设施农业发展中心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大荔县府门前12号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王巧莉</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0913-3256136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陕西浩优项目管理有限公司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陕西省西安市曲江新区商通大道6号智慧大厦一幢203室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李金娥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029-89553153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大荔县政府采购管理股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杨俊明</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0913-3256202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采购包1：2,889,496.24元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开户名称：陕西浩优项目管理有限公司</w:t>
            </w:r>
          </w:p>
          <w:p>
            <w:pPr>
              <w:pStyle w:val="null3"/>
            </w:pPr>
            <w:r>
              <w:rPr>
                <w:rFonts w:ascii="仿宋_GB2312" w:hAnsi="仿宋_GB2312" w:cs="仿宋_GB2312" w:eastAsia="仿宋_GB2312"/>
              </w:rPr>
              <w:t>开户银行：中国建设银行股份有限公司西安曲江支行</w:t>
            </w:r>
          </w:p>
          <w:p>
            <w:pPr>
              <w:pStyle w:val="null3"/>
            </w:pPr>
            <w:r>
              <w:rPr>
                <w:rFonts w:ascii="仿宋_GB2312" w:hAnsi="仿宋_GB2312" w:cs="仿宋_GB2312" w:eastAsia="仿宋_GB2312"/>
              </w:rPr>
              <w:t>银行账号： 61050191000400004479</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招标代理服务费收取参考国家计委颁布的《招标代理服务收费管理暂行办法》（计价格[2002]1980号）和（发改办价格[2003]857号）文收费标准收取。2.采购代理服务费收取：户名：陕西浩优项目管理有限公司 开户银行：中国建设银行股份有限公司西安曲江支行 账号：6105 0191 0004 0000 4479</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大荔县设施农业发展中心</w:t>
      </w:r>
      <w:r>
        <w:rPr>
          <w:rFonts w:ascii="仿宋_GB2312" w:hAnsi="仿宋_GB2312" w:cs="仿宋_GB2312" w:eastAsia="仿宋_GB2312"/>
        </w:rPr>
        <w:t>和</w:t>
      </w:r>
      <w:r>
        <w:rPr>
          <w:rFonts w:ascii="仿宋_GB2312" w:hAnsi="仿宋_GB2312" w:cs="仿宋_GB2312" w:eastAsia="仿宋_GB2312"/>
        </w:rPr>
        <w:t>陕西浩优项目管理有限公司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大荔县设施农业发展中心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陕西浩优项目管理有限公司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大荔县设施农业发展中心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陕西浩优项目管理有限公司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⼀、本⼯程应按⼯程量清单及磋商⽂件全部内容完成；本⼯程验收标准应符合国家相关⼯程管理规定及⾏业标准；依据磋商⽂件及成交⼈响应⽂件及签证单等⽂件内容进⾏验收。 ⼆、交付竣⼯验收的⼯程，必须符合规定的⼯程质量标准，有完整的⼯程技术经济资料和经签署的⼯程保修书，并具备国家规定的其他竣⼯条件。 ⼯程竣⼯经验收合格后，⽅可交付使⽤；未经验收或者验收不合格的，不得交付使⽤。三、验收结果合格的，采购⼈应向成交供应商出具履约验收报告，成交供应商凭验收报告办理相关⼿续。</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陕西浩优项目管理有限公司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陕西浩优项目管理有限公司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陕西浩优项目管理有限公司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联系人：李金娥</w:t>
      </w:r>
    </w:p>
    <w:p>
      <w:pPr>
        <w:pStyle w:val="null3"/>
      </w:pPr>
      <w:r>
        <w:rPr>
          <w:rFonts w:ascii="仿宋_GB2312" w:hAnsi="仿宋_GB2312" w:cs="仿宋_GB2312" w:eastAsia="仿宋_GB2312"/>
        </w:rPr>
        <w:t>联系电话：029-89553153</w:t>
      </w:r>
    </w:p>
    <w:p>
      <w:pPr>
        <w:pStyle w:val="null3"/>
      </w:pPr>
      <w:r>
        <w:rPr>
          <w:rFonts w:ascii="仿宋_GB2312" w:hAnsi="仿宋_GB2312" w:cs="仿宋_GB2312" w:eastAsia="仿宋_GB2312"/>
        </w:rPr>
        <w:t>地址：陕西省西安市曲江新区商通大道6号智慧大厦一幢203室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2,889,496.24</w:t>
      </w:r>
    </w:p>
    <w:p>
      <w:pPr>
        <w:pStyle w:val="null3"/>
      </w:pPr>
      <w:r>
        <w:rPr>
          <w:rFonts w:ascii="仿宋_GB2312" w:hAnsi="仿宋_GB2312" w:cs="仿宋_GB2312" w:eastAsia="仿宋_GB2312"/>
        </w:rPr>
        <w:t>采购包最高限价（元）: 2,889,496.24</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大荔县设施农业发展中心大荔县2026年第二批产业发展帮扶资金项目施工</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2,889,496.24</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标的名称：大荔县设施农业发展中心大荔县2026年第二批产业发展帮扶资金项目施工</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具体详见工程量清单所含全部内容。</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执⾏国家相关标准、⾏业标准、或者其他标准、规范等。</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1、工期：90⽇历天；2、合同履约地点：渭南市⼤荔县；3、合同⽀付约定：采购包1：（1） 预付款，甲⽅与⼄⽅签订合同后，达到付款条件起10个⼯作⽇内，⽀付合同总⾦额的40.0%；（2） 进度款，⼯程竣⼯后，达到付款条件起10个⼯作⽇内，⽀付合同总⾦额的50.0%；（3）进度款，⼯程验收合格后，达到付款条件起10个⼯作⽇内，⽀付合同总⾦额的10.0%。4、质量保修范围和保修期：（1）质保期为终验合格后不少于⼀年。中标⼈承诺的质保时间超过国家标准要求的，按其承诺时间质保。 （2）中标⼈承诺的质保期起始时间为终验合格之⽇。（3）中标⼈应遵照国家规范规定的建筑⼯程施⼯质量标准及要求。5、质量标准：符合国家施工验收规范合格标准。</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成交供应商在成交结果公告发布后3个⼯作⽇内提供叁套纸质投标⽂件（经编标⼯具⽣成的⽂件直接打印并加盖公章），递交的纸质版⽂件内容确保与线上电⼦⽂件保持⼀致，不允许修改和补充；提交最终版《⼯程量清单》。</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供应商应提交的相关资格证明材料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供应商具备有效的建筑工程施工总承包三级(含三级)及以上资质，并在人员、设备、资金等方面具备相应的能力且具备有效的安全生产许可证；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项目经理要求</w:t>
            </w:r>
          </w:p>
        </w:tc>
        <w:tc>
          <w:tcPr>
            <w:tcW w:type="dxa" w:w="3322"/>
          </w:tcPr>
          <w:p>
            <w:pPr>
              <w:pStyle w:val="null3"/>
            </w:pPr>
            <w:r>
              <w:rPr>
                <w:rFonts w:ascii="仿宋_GB2312" w:hAnsi="仿宋_GB2312" w:cs="仿宋_GB2312" w:eastAsia="仿宋_GB2312"/>
              </w:rPr>
              <w:t>拟派项目经理须具备建筑工程专业二级及以上注册建造师资格，且具备有效的安全生产考核合格证(B证)，未担任其他在建工程项目的项目经理（提供承诺函）；</w:t>
            </w:r>
          </w:p>
        </w:tc>
        <w:tc>
          <w:tcPr>
            <w:tcW w:type="dxa" w:w="1661"/>
          </w:tcPr>
          <w:p>
            <w:pPr>
              <w:pStyle w:val="null3"/>
            </w:pPr>
            <w:r>
              <w:rPr>
                <w:rFonts w:ascii="仿宋_GB2312" w:hAnsi="仿宋_GB2312" w:cs="仿宋_GB2312" w:eastAsia="仿宋_GB2312"/>
              </w:rPr>
              <w:t>供应商应提交的相关资格证明材料 主要人员简历表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具有财务审计资质单位出具赋二维码查验功能的2024年或2025年财务审计报告（成立时间至开标时间不足一年的可提供成立后任意时段的资产负债表）或开标前六个月内其基本账户银行出具的资信证明或政府采购信用担保机构出具的担保函；</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提供截止至开标时间前12个月内任意一个月的税收缴纳凭据；（增值税、企业所得税至少提供一种，依法免税的供应商应提供相关文件证明）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提供截止至开标时间前12个月内任意一个月的社保缴纳凭据或社保机构开具的社会保险参保缴纳情况证明；（依法不需要缴纳社会保障资金的供应商应提供相关证明）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提供具有履行本合同所必需的设备和专业技术能力的承诺</w:t>
            </w:r>
          </w:p>
        </w:tc>
        <w:tc>
          <w:tcPr>
            <w:tcW w:type="dxa" w:w="3322"/>
          </w:tcPr>
          <w:p>
            <w:pPr>
              <w:pStyle w:val="null3"/>
            </w:pPr>
            <w:r>
              <w:rPr>
                <w:rFonts w:ascii="仿宋_GB2312" w:hAnsi="仿宋_GB2312" w:cs="仿宋_GB2312" w:eastAsia="仿宋_GB2312"/>
              </w:rPr>
              <w:t>提供具有履行本合同所必需的设备和专业技术能力的承诺；（提供承诺书，加盖供应商公章）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法定代表人身份证明和授权委托书</w:t>
            </w:r>
          </w:p>
        </w:tc>
        <w:tc>
          <w:tcPr>
            <w:tcW w:type="dxa" w:w="3322"/>
          </w:tcPr>
          <w:p>
            <w:pPr>
              <w:pStyle w:val="null3"/>
            </w:pPr>
            <w:r>
              <w:rPr>
                <w:rFonts w:ascii="仿宋_GB2312" w:hAnsi="仿宋_GB2312" w:cs="仿宋_GB2312" w:eastAsia="仿宋_GB2312"/>
              </w:rPr>
              <w:t>法定代表人授权委托书（附法定代表人身份证复印件及被授权人身份证复印件）；法定代表人直接参加投标的只须提供法定代表人资格证明书（附法定代表人身份证复印件）；</w:t>
            </w:r>
          </w:p>
        </w:tc>
        <w:tc>
          <w:tcPr>
            <w:tcW w:type="dxa" w:w="1661"/>
          </w:tcPr>
          <w:p>
            <w:pPr>
              <w:pStyle w:val="null3"/>
            </w:pPr>
            <w:r>
              <w:rPr>
                <w:rFonts w:ascii="仿宋_GB2312" w:hAnsi="仿宋_GB2312" w:cs="仿宋_GB2312" w:eastAsia="仿宋_GB2312"/>
              </w:rPr>
              <w:t>法定代表人证明书与法定代表人授权书.docx 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三年内在经营活动中没有重大违法记录的书面声明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提供参加政府采购活动前三年内在经营活动中没有重大违法记录的书面声明；（提供书面声明，加盖供应商公章）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本项目专门面向中小企业采购；须符合《政府采购促进中小企业发展管理办法》（财库〔2020〕46号）规定的中小企业参加。（提供《中小企业声明函》）；</w:t>
            </w:r>
          </w:p>
        </w:tc>
        <w:tc>
          <w:tcPr>
            <w:tcW w:type="dxa" w:w="1661"/>
          </w:tcPr>
          <w:p>
            <w:pPr>
              <w:pStyle w:val="null3"/>
            </w:pPr>
            <w:r>
              <w:rPr>
                <w:rFonts w:ascii="仿宋_GB2312" w:hAnsi="仿宋_GB2312" w:cs="仿宋_GB2312" w:eastAsia="仿宋_GB2312"/>
              </w:rPr>
              <w:t>中小企业声明函 供应商应提交的相关资格证明材料</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不得为“信用中国”网站(http://www.creditchina.gov.cn)列入“失信被执行人（页面跳转至“中国执行信息公开网”http://zxgk.court.gov.cn/shixin/）、重大税收违法失信主体、政府采购严重违法失信行为记录名单”的供应商；不得为中国政府采购网(http://www.ccgp.gov.cn)“政府采购严重违法失信行为记录名单”中的供应商；(根据财库【2019】38号文规定，由采购人在投标截止日当天在“信用中国”网站和中国政府采购网站进行查询，截图留档；如网站无供应商信息的，供应商须提供相关证明资料或书面声明，放在在每份投标文件中。）；</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单位负责人为同一人或者存在控股、管理关系的不同单位，不得同时参加同一招标项目投标，否则投标无效</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根据财库【2019】38号文规定，由采购人在投标截止日当天在“国家企业信用信息公示系统”网站进行查询，截图留档；如网站无供应商信息的，供应商须提供相关证明资料或承诺书，放在每份投标文件中。）；</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13</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 承诺书.docx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供应商名称与营业执照、资质证书等⼀致。</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强制优先采购产品承诺函 响应文件封面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满⾜竞争性磋商⽂件规定。</w:t>
            </w:r>
          </w:p>
        </w:tc>
        <w:tc>
          <w:tcPr>
            <w:tcW w:type="dxa" w:w="1661"/>
          </w:tcPr>
          <w:p>
            <w:pPr>
              <w:pStyle w:val="null3"/>
            </w:pPr>
            <w:r>
              <w:rPr>
                <w:rFonts w:ascii="仿宋_GB2312" w:hAnsi="仿宋_GB2312" w:cs="仿宋_GB2312" w:eastAsia="仿宋_GB2312"/>
              </w:rPr>
              <w:t>响应文件封面 技术服务合同条款及其他商务要求应答表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满⾜竞争性磋商⽂件规定。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响应⽂件签章</w:t>
            </w:r>
          </w:p>
        </w:tc>
        <w:tc>
          <w:tcPr>
            <w:tcW w:type="dxa" w:w="3322"/>
          </w:tcPr>
          <w:p>
            <w:pPr>
              <w:pStyle w:val="null3"/>
            </w:pPr>
            <w:r>
              <w:rPr>
                <w:rFonts w:ascii="仿宋_GB2312" w:hAnsi="仿宋_GB2312" w:cs="仿宋_GB2312" w:eastAsia="仿宋_GB2312"/>
              </w:rPr>
              <w:t>响应⽂件按竞争性磋商⽂件要求进⾏签章。</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强制优先采购产品承诺函 响应文件封面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报价唯⼀</w:t>
            </w:r>
          </w:p>
        </w:tc>
        <w:tc>
          <w:tcPr>
            <w:tcW w:type="dxa" w:w="3322"/>
          </w:tcPr>
          <w:p>
            <w:pPr>
              <w:pStyle w:val="null3"/>
            </w:pPr>
            <w:r>
              <w:rPr>
                <w:rFonts w:ascii="仿宋_GB2312" w:hAnsi="仿宋_GB2312" w:cs="仿宋_GB2312" w:eastAsia="仿宋_GB2312"/>
              </w:rPr>
              <w:t>只能有⼀个有效报价，不得提交选择性报价，且报价不超过最⾼限价。</w:t>
            </w:r>
          </w:p>
        </w:tc>
        <w:tc>
          <w:tcPr>
            <w:tcW w:type="dxa" w:w="1661"/>
          </w:tcPr>
          <w:p>
            <w:pPr>
              <w:pStyle w:val="null3"/>
            </w:pPr>
            <w:r>
              <w:rPr>
                <w:rFonts w:ascii="仿宋_GB2312" w:hAnsi="仿宋_GB2312" w:cs="仿宋_GB2312" w:eastAsia="仿宋_GB2312"/>
              </w:rPr>
              <w:t>响应文件封面 已标价工程量清单 报价函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其他情形</w:t>
            </w:r>
          </w:p>
        </w:tc>
        <w:tc>
          <w:tcPr>
            <w:tcW w:type="dxa" w:w="3322"/>
          </w:tcPr>
          <w:p>
            <w:pPr>
              <w:pStyle w:val="null3"/>
            </w:pPr>
            <w:r>
              <w:rPr>
                <w:rFonts w:ascii="仿宋_GB2312" w:hAnsi="仿宋_GB2312" w:cs="仿宋_GB2312" w:eastAsia="仿宋_GB2312"/>
              </w:rPr>
              <w:t>竞争性磋商⽂件规定的其他情形</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强制优先采购产品承诺函 响应文件封面 项目管理机构组成表 残疾人福利性单位声明函 报价函 标的清单 供应商类似项目业绩一览表 响应函 主要人员简历表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根据供应商提供的施工方案进行评审，评审内容包含但不限于: （1）有具体的施工方案； (2)施工次工序和施工方案； (3)施工组织与工期保证措施等。 以上内容无缺项，专门针对本项目编制，符合本项目实际情况，内容全面详细，且条理清晰、准确、措施合理化能够保障项目顺利实施的得9分。每施工方案小项缺项或者内容非针对于本项目的扣3分，每小项有一处缺陷的扣1分，扣完为止。(缺陷是指:施工方案内容不完整、条理不清晰、缺少关键点、方案不具体、针对性不强、内容没有根据项目实际情况且表述前后不一致、现有技术条件下不可能出现的及其他不利于本项目实施的情形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项目实施方案.docx</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安全、文明施工措施及环境保证措施</w:t>
            </w:r>
          </w:p>
        </w:tc>
        <w:tc>
          <w:tcPr>
            <w:tcW w:type="dxa" w:w="2492"/>
          </w:tcPr>
          <w:p>
            <w:pPr>
              <w:pStyle w:val="null3"/>
            </w:pPr>
            <w:r>
              <w:rPr>
                <w:rFonts w:ascii="仿宋_GB2312" w:hAnsi="仿宋_GB2312" w:cs="仿宋_GB2312" w:eastAsia="仿宋_GB2312"/>
              </w:rPr>
              <w:t>根据供应商提供的安全、文明施工措施及环境保证措施进行评审，评审内容包括但不限于:(1)安全文明施工目标、安全生产管理体系、安全标识及施工现场的临时管理措施、文明施工保证措施； （2）环境保护管理体系及环保控制措施。 以上内容无缺项，专门针对本项目编制，符合本项目实际情况，内容全面详细，且条理清晰、准确、措施合理化能够保障项目顺利实施的得8分。每小项缺项或者内容没有针对于本项目的扣4分，每小项有一处缺陷的扣1分，扣完为止。(缺陷是指:安全、文明施工措施及环境保护措施描述内容描述不完整、条理不清晰、未对安全做出具体明确的解决措施等、缺少关键点、针对性不强、内容没有根据项目实际情况、表述前后不一致、现有技术条件下不可能出现的及其他不利于项目实施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施工质量保证措施</w:t>
            </w:r>
          </w:p>
        </w:tc>
        <w:tc>
          <w:tcPr>
            <w:tcW w:type="dxa" w:w="2492"/>
          </w:tcPr>
          <w:p>
            <w:pPr>
              <w:pStyle w:val="null3"/>
            </w:pPr>
            <w:r>
              <w:rPr>
                <w:rFonts w:ascii="仿宋_GB2312" w:hAnsi="仿宋_GB2312" w:cs="仿宋_GB2312" w:eastAsia="仿宋_GB2312"/>
              </w:rPr>
              <w:t>根据供应商提供的施工质量保证措施进行评审，评审内容包括但不限于: （1）质量目标管理体系及质量的检验； （2）施工质量技术保证措施。 以上内容无缺项，专门针对本项目编制，符合本项目实际情况，内容描述全面详细且条理清晰、准确、措施合理化能够保障项目顺利实施的得8分。每小项缺项或者内容非针对于本项目的扣4分，每小项有一处缺陷的扣1分，扣完为止。(缺陷是指:施工质量保证措施内容不完整、条理不清晰、缺少关键点、措施描述不具体、针对性不强、内容没有根据项目实际情况、表述前后不一致、现有技术条件下不可能出现的及其他不利于项目实施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项目实施方案.docx</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劳动力安排及施工机械配备</w:t>
            </w:r>
          </w:p>
        </w:tc>
        <w:tc>
          <w:tcPr>
            <w:tcW w:type="dxa" w:w="2492"/>
          </w:tcPr>
          <w:p>
            <w:pPr>
              <w:pStyle w:val="null3"/>
            </w:pPr>
            <w:r>
              <w:rPr>
                <w:rFonts w:ascii="仿宋_GB2312" w:hAnsi="仿宋_GB2312" w:cs="仿宋_GB2312" w:eastAsia="仿宋_GB2312"/>
              </w:rPr>
              <w:t>根据供应商提供的劳动力安排及施工机械配备投入计划进行评审，评审内容包含但不限于:(1)劳动力投入计划、及劳务分包情况及劳动力保证措施； （2）投入的机械设备投入计划。 以上内容无缺项，专门针对本项目编制，符合本项目实际情况。内容全面详细，且条理清晰、准确、措施合理化能够保障项目顺利实施的得8分。每小项缺项或者内容非针对于本项目的扣4分，每小项有一处缺陷的扣1分，扣完为止。(缺陷是指:劳动力安排及施工机械配备不到位、针对性不强、内容没有根据项目实际情况、表述前后不一致、现有技术条件下不可能出现的及其他不利于项目实施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项目管理机构</w:t>
            </w:r>
          </w:p>
        </w:tc>
        <w:tc>
          <w:tcPr>
            <w:tcW w:type="dxa" w:w="2492"/>
          </w:tcPr>
          <w:p>
            <w:pPr>
              <w:pStyle w:val="null3"/>
            </w:pPr>
            <w:r>
              <w:rPr>
                <w:rFonts w:ascii="仿宋_GB2312" w:hAnsi="仿宋_GB2312" w:cs="仿宋_GB2312" w:eastAsia="仿宋_GB2312"/>
              </w:rPr>
              <w:t>根据供应商提供的项目管理机构进行评审，评审内容包含但不限于: （1）项目团队成员清单及架构； （2）相关人员持有对应岗位证书； (3)项目组配备人员的专业素质及岗位分工及责任制度。 以上内容无缺项，专门针对本项目编制，符合本项目实际情况，内容全面详细，且人员分配具体、准确、能够合理化能够保障项目顺利实施的得6分。每小项缺项或者内容非针对于本项目的扣2分，每小项有一处缺陷的扣1分，扣完为止。(缺陷是指:项目管理机构不完整、条理不清晰、缺少关键管理人员、人员分配不具体、针对性不强、内容没有根据项目实际情况、表述前后不一致、现有技术条件下不可能出现的及其他不利于项目实施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施工进度</w:t>
            </w:r>
          </w:p>
        </w:tc>
        <w:tc>
          <w:tcPr>
            <w:tcW w:type="dxa" w:w="2492"/>
          </w:tcPr>
          <w:p>
            <w:pPr>
              <w:pStyle w:val="null3"/>
            </w:pPr>
            <w:r>
              <w:rPr>
                <w:rFonts w:ascii="仿宋_GB2312" w:hAnsi="仿宋_GB2312" w:cs="仿宋_GB2312" w:eastAsia="仿宋_GB2312"/>
              </w:rPr>
              <w:t>根据供应商提供的施工进度措施进行评审，评审内容包含但不限于: （1）有详细的进度计划； （2）关键节点控制措施。 以上内容无缺项，专门针对本项目编制，符合本项目实际情况，内容全面详细，且条理清晰、准确、措施合理化能够保障项目顺利实施的得6分。每小项缺项或者内容非针对于本项目的扣3分，每小项有一处缺陷的扣1分，扣完为止。(缺陷是指:施工进度措施不具体、针对性不强、内容没有根据项目实际情况、表述前后不一致、现有技术条件下不可能出现的及其他不利于项目实施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项目实施方案.docx</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项目经理</w:t>
            </w:r>
          </w:p>
        </w:tc>
        <w:tc>
          <w:tcPr>
            <w:tcW w:type="dxa" w:w="2492"/>
          </w:tcPr>
          <w:p>
            <w:pPr>
              <w:pStyle w:val="null3"/>
            </w:pPr>
            <w:r>
              <w:rPr>
                <w:rFonts w:ascii="仿宋_GB2312" w:hAnsi="仿宋_GB2312" w:cs="仿宋_GB2312" w:eastAsia="仿宋_GB2312"/>
              </w:rPr>
              <w:t>1.项目经理具有建筑工程专业高级及以上职称得3分，中级职称得2分，其余不得分。 2.项目经理具有1项建筑工程施工管理经历的得1分，最多得2分。（工程施工管理经历以提供2023年08月至今承担类似项目业绩为准，需提供合同复印件加盖公章，时间以合同的签订日期为准）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技术负责人</w:t>
            </w:r>
          </w:p>
        </w:tc>
        <w:tc>
          <w:tcPr>
            <w:tcW w:type="dxa" w:w="2492"/>
          </w:tcPr>
          <w:p>
            <w:pPr>
              <w:pStyle w:val="null3"/>
            </w:pPr>
            <w:r>
              <w:rPr>
                <w:rFonts w:ascii="仿宋_GB2312" w:hAnsi="仿宋_GB2312" w:cs="仿宋_GB2312" w:eastAsia="仿宋_GB2312"/>
              </w:rPr>
              <w:t>1.技术负责人具有建筑工程专业高级及以上职称得3分，中级职称得2分，其余不得分。 2.技术负责人具有1项建筑工程施工管理经历的得1分，最多得2分。（工程施工管理经历以提供2023年08月至今承担类似项目业绩为准，需提供合同复印件加盖公章，时间以合同的签订日期为准）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提供近三年（2023年08月至今）(以合同签订日期为准)类似项目业绩，每提供一个业绩得2分，最高得10分。（需提供合同复印件加盖公章，时间以合同签订时间为准)。未提供不得分。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依据本项目情况，提供适用于本项目的合理化建议 ①针对性强、利于本项目的得4.1-5分； ②所提出的建议及意见合理的得2.1-4分； ③内容全面建议欠缺的得0-2分，未提供不得分。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项目实施方案.docx</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采用低价优先法计算，即通过资格审查和符合性审查且最后报价最低的供应商的价格为磋商基准价，其价格分为满分。磋商报价得分＝（磋商基准价/最后磋商报价）×30 备注：当磋商小组认为某个供应商的报价明显低于其他通过符合性审查供应商的报价，有可能影响工程质量和不能诚信履约的，应要求该供应商在评审现场合理的时间内提供书面说明，必要时提交相关证明材料；供应商不能证明其报价合理的，磋商小组将其作为无效文件处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详见附件：承诺书.docx</w:t>
      </w:r>
    </w:p>
    <w:p>
      <w:pPr>
        <w:pStyle w:val="null3"/>
        <w:ind w:firstLine="960"/>
      </w:pPr>
      <w:r>
        <w:rPr>
          <w:rFonts w:ascii="仿宋_GB2312" w:hAnsi="仿宋_GB2312" w:cs="仿宋_GB2312" w:eastAsia="仿宋_GB2312"/>
        </w:rPr>
        <w:t>详见附件：项目实施方案.docx</w:t>
      </w:r>
    </w:p>
    <w:p>
      <w:pPr>
        <w:pStyle w:val="null3"/>
        <w:ind w:firstLine="960"/>
      </w:pPr>
      <w:r>
        <w:rPr>
          <w:rFonts w:ascii="仿宋_GB2312" w:hAnsi="仿宋_GB2312" w:cs="仿宋_GB2312" w:eastAsia="仿宋_GB2312"/>
        </w:rPr>
        <w:t>详见附件：法定代表人证明书与法定代表人授权书.docx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