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版本号：NBC-2026-ZFGK-G-11320260903002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2026年南郑区汉山街道办生物质高值综合利用项目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NBC-2026-ZFGK-G-113</w:t>
      </w:r>
      <w:r>
        <w:br/>
      </w:r>
      <w:r>
        <w:br/>
      </w:r>
      <w:r>
        <w:br/>
      </w:r>
    </w:p>
    <w:p>
      <w:pPr>
        <w:pStyle w:val="null3"/>
        <w:jc w:val="center"/>
        <w:outlineLvl w:val="2"/>
      </w:pPr>
      <w:r>
        <w:rPr>
          <w:rFonts w:ascii="仿宋_GB2312" w:hAnsi="仿宋_GB2312" w:cs="仿宋_GB2312" w:eastAsia="仿宋_GB2312"/>
          <w:sz w:val="28"/>
          <w:b/>
        </w:rPr>
        <w:t>汉中市南郑区汉山街道办事处</w:t>
      </w:r>
    </w:p>
    <w:p>
      <w:pPr>
        <w:pStyle w:val="null3"/>
        <w:jc w:val="center"/>
        <w:outlineLvl w:val="2"/>
      </w:pPr>
      <w:r>
        <w:rPr>
          <w:rFonts w:ascii="仿宋_GB2312" w:hAnsi="仿宋_GB2312" w:cs="仿宋_GB2312" w:eastAsia="仿宋_GB2312"/>
          <w:sz w:val="28"/>
          <w:b/>
        </w:rPr>
        <w:t>纳百川项目管理咨询有限公司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纳百川项目管理咨询有限公司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汉中市南郑区汉山街道办事处</w:t>
      </w:r>
      <w:r>
        <w:rPr>
          <w:rFonts w:ascii="仿宋_GB2312" w:hAnsi="仿宋_GB2312" w:cs="仿宋_GB2312" w:eastAsia="仿宋_GB2312"/>
        </w:rPr>
        <w:t>委托，拟对</w:t>
      </w:r>
      <w:r>
        <w:rPr>
          <w:rFonts w:ascii="仿宋_GB2312" w:hAnsi="仿宋_GB2312" w:cs="仿宋_GB2312" w:eastAsia="仿宋_GB2312"/>
        </w:rPr>
        <w:t>2026年南郑区汉山街道办生物质高值综合利用项目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NBC-2026-ZFGK-G-113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2026年南郑区汉山街道办生物质高值综合利用项目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购置破捆机1台、粉碎机1台、转输设备、缓冲仓2台、灭菌机1台、搅拌床1台、脱水机1台、5000kg液体腐殖酸菌剂储存槽、液体灌装机1台、制粒机1台、空压机1台、中控控制系统1套等成套设备，建设秸秆生物质资源化加工生产线，完成秸秆破捆、粉碎、灭菌、脱水、菌剂灌装、生物质制粒全流程高值利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采购包1（2026年南郑区汉山街道办生物质高值综合利用项目）：属于专门面向中小企业采购。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身份证明：投标人具有独立承担民事责任能力的法人、其他组织或自然人，并出具合法有效的营业执照或事业单位法人证书等国家规定的相关证明，自然人参与的提供其身份证明。（材料应清晰可辨并进行电子签章）</w:t>
      </w:r>
    </w:p>
    <w:p>
      <w:pPr>
        <w:pStyle w:val="null3"/>
      </w:pPr>
      <w:r>
        <w:rPr>
          <w:rFonts w:ascii="仿宋_GB2312" w:hAnsi="仿宋_GB2312" w:cs="仿宋_GB2312" w:eastAsia="仿宋_GB2312"/>
        </w:rPr>
        <w:t>2、法定代表人身份证明或授权书：投标人应授权合法的人员参加投标全过程，其中法定代表人直接参加投标的，须提供《法定代表人（单位负责人）身份证明》及身份证复印件；法定代表人授权他人参加投标，须提供《法定代表人授权委托书》及法定代表人和委托代理人身份证复印件。（材料应清晰可辨并进行电子签章）</w:t>
      </w:r>
    </w:p>
    <w:p>
      <w:pPr>
        <w:pStyle w:val="null3"/>
      </w:pPr>
      <w:r>
        <w:rPr>
          <w:rFonts w:ascii="仿宋_GB2312" w:hAnsi="仿宋_GB2312" w:cs="仿宋_GB2312" w:eastAsia="仿宋_GB2312"/>
        </w:rPr>
        <w:t>3、汉中市政府采购供应商资格承诺函：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投标人基本资格条件承诺制的通知》（汉采办采管〔2024〕20号）文件要求，须提供《汉中市政府采购投标人资格承诺函》）。（材料应清晰可辨并进行电子签章）</w:t>
      </w:r>
    </w:p>
    <w:p>
      <w:pPr>
        <w:pStyle w:val="null3"/>
      </w:pPr>
      <w:r>
        <w:rPr>
          <w:rFonts w:ascii="仿宋_GB2312" w:hAnsi="仿宋_GB2312" w:cs="仿宋_GB2312" w:eastAsia="仿宋_GB2312"/>
        </w:rPr>
        <w:t>4、中小企业声明函：本项目专门面向中小企业采购，投标人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p>
      <w:pPr>
        <w:pStyle w:val="null3"/>
      </w:pPr>
      <w:r>
        <w:rPr>
          <w:rFonts w:ascii="仿宋_GB2312" w:hAnsi="仿宋_GB2312" w:cs="仿宋_GB2312" w:eastAsia="仿宋_GB2312"/>
        </w:rPr>
        <w:t>5、其他：本项目不接受联合体投标，供应商应提供《非联合体声明》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汉中市南郑区汉山街道办事处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陕西省汉中市南郑区南环路8号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18740453470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纳百川项目管理咨询有限公司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陕西省西安市雁塔区西安曲江新区雁翔路旺座曲江K座1701室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15319339961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开户名称：纳百川项目管理咨询有限公司汉中分公司</w:t>
            </w:r>
          </w:p>
          <w:p>
            <w:pPr>
              <w:pStyle w:val="null3"/>
            </w:pPr>
            <w:r>
              <w:rPr>
                <w:rFonts w:ascii="仿宋_GB2312" w:hAnsi="仿宋_GB2312" w:cs="仿宋_GB2312" w:eastAsia="仿宋_GB2312"/>
              </w:rPr>
              <w:t>开户银行：中国工商银行股份有限公司汉中西环路支行</w:t>
            </w:r>
          </w:p>
          <w:p>
            <w:pPr>
              <w:pStyle w:val="null3"/>
            </w:pPr>
            <w:r>
              <w:rPr>
                <w:rFonts w:ascii="仿宋_GB2312" w:hAnsi="仿宋_GB2312" w:cs="仿宋_GB2312" w:eastAsia="仿宋_GB2312"/>
              </w:rPr>
              <w:t>银行账号：2606 0539 0920 0086 526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汉中市南郑区汉山街道办事处</w:t>
      </w:r>
      <w:r>
        <w:rPr>
          <w:rFonts w:ascii="仿宋_GB2312" w:hAnsi="仿宋_GB2312" w:cs="仿宋_GB2312" w:eastAsia="仿宋_GB2312"/>
        </w:rPr>
        <w:t>和</w:t>
      </w:r>
      <w:r>
        <w:rPr>
          <w:rFonts w:ascii="仿宋_GB2312" w:hAnsi="仿宋_GB2312" w:cs="仿宋_GB2312" w:eastAsia="仿宋_GB2312"/>
        </w:rPr>
        <w:t>纳百川项目管理咨询有限公司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汉中市南郑区汉山街道办事处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纳百川项目管理咨询有限公司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汉中市南郑区汉山街道办事处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纳百川项目管理咨询有限公司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知识产权归属：供应商原有设备、专利、商标、软件著作权等知识产权归供应商所有；履行本项目过程中产生的新增知识产权原则上归供应商，法律另有规定或合同另行约定除外；涉及国家及公共利益的，按法规确定权属。2、知识产权处理：供应商保证本项目设备及服务不侵害第三方知识产权，如产生侵权纠纷，由供应商承担全部责任。采购人拥有本项目范围内的合理使用权，不得擅自转让、对外许可。供应商按需提供知识产权相关证明材料，保障采购人正常使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满足行业相关标准及采购人要求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纳百川项目管理咨询有限公司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联系电话：15319339961</w:t>
      </w:r>
    </w:p>
    <w:p>
      <w:pPr>
        <w:pStyle w:val="null3"/>
      </w:pPr>
      <w:r>
        <w:rPr>
          <w:rFonts w:ascii="仿宋_GB2312" w:hAnsi="仿宋_GB2312" w:cs="仿宋_GB2312" w:eastAsia="仿宋_GB2312"/>
        </w:rPr>
        <w:t>地址：陕西省汉中市汉台区东关街道办事处东一环路中饮国际办公中心8008</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购置破捆机1台、粉碎机1台、转输设备、缓冲仓2台、灭菌机1台、搅拌床1台、脱水机1台、5000kg液体腐殖酸菌剂储存槽、液体灌装机1台、制粒机1台、空压机1台、中控控制系统1套等成套设备，建设秸秆生物质资源化加工生产线，完成秸秆破捆、粉碎、灭菌、脱水、菌剂灌装、生物质制粒全流程高值利用。</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1,900,000.00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2026年南郑区汉山街道办生物质高值综合利用项目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标的名称：2026年南郑区汉山街道办生物质高值综合利用项目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27"/>
              <w:gridCol w:w="259"/>
              <w:gridCol w:w="1725"/>
              <w:gridCol w:w="137"/>
              <w:gridCol w:w="164"/>
              <w:gridCol w:w="132"/>
            </w:tblGrid>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序号</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设备名称</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主要技术参数要求</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数量</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单位</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备注</w:t>
                  </w: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搅拌床</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1、有效容积： ≥2L；</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2、设备性能要求：菌种扩培摇床，确保长期高频次运行下的稳定性和超长使用寿命；</w:t>
                  </w:r>
                  <w:r>
                    <w:br/>
                  </w:r>
                  <w:r>
                    <w:rPr>
                      <w:rFonts w:ascii="仿宋_GB2312" w:hAnsi="仿宋_GB2312" w:cs="仿宋_GB2312" w:eastAsia="仿宋_GB2312"/>
                      <w:sz w:val="24"/>
                      <w:color w:val="000000"/>
                    </w:rPr>
                    <w:t>3、设备材质：同等或优于 304 不锈钢；</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4、设备重量：≤20Kg；</w:t>
                  </w:r>
                  <w:r>
                    <w:br/>
                  </w:r>
                  <w:r>
                    <w:rPr>
                      <w:rFonts w:ascii="仿宋_GB2312" w:hAnsi="仿宋_GB2312" w:cs="仿宋_GB2312" w:eastAsia="仿宋_GB2312"/>
                      <w:sz w:val="24"/>
                      <w:color w:val="000000"/>
                    </w:rPr>
                    <w:t xml:space="preserve">5、载重： ≥5Kg </w:t>
                  </w:r>
                  <w:r>
                    <w:rPr>
                      <w:rFonts w:ascii="仿宋_GB2312" w:hAnsi="仿宋_GB2312" w:cs="仿宋_GB2312" w:eastAsia="仿宋_GB2312"/>
                      <w:sz w:val="22"/>
                      <w:color w:val="000000"/>
                    </w:rPr>
                    <w:t>▲</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2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破捆机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1、处理能力： ≥3500kg/h；</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2、设备性能要求：对成捆秸秆进行破捆、抛松、筛拣除杂；</w:t>
                  </w:r>
                  <w:r>
                    <w:br/>
                  </w:r>
                  <w:r>
                    <w:rPr>
                      <w:rFonts w:ascii="仿宋_GB2312" w:hAnsi="仿宋_GB2312" w:cs="仿宋_GB2312" w:eastAsia="仿宋_GB2312"/>
                      <w:sz w:val="24"/>
                      <w:color w:val="000000"/>
                    </w:rPr>
                    <w:t>3、设备材质：同等或优于 Q235A；</w:t>
                  </w:r>
                  <w:r>
                    <w:br/>
                  </w:r>
                  <w:r>
                    <w:rPr>
                      <w:rFonts w:ascii="仿宋_GB2312" w:hAnsi="仿宋_GB2312" w:cs="仿宋_GB2312" w:eastAsia="仿宋_GB2312"/>
                      <w:sz w:val="24"/>
                      <w:color w:val="000000"/>
                    </w:rPr>
                    <w:t>4、设备重量：≤3000Kg；</w:t>
                  </w:r>
                  <w:r>
                    <w:br/>
                  </w:r>
                  <w:r>
                    <w:rPr>
                      <w:rFonts w:ascii="仿宋_GB2312" w:hAnsi="仿宋_GB2312" w:cs="仿宋_GB2312" w:eastAsia="仿宋_GB2312"/>
                      <w:sz w:val="24"/>
                      <w:color w:val="000000"/>
                    </w:rPr>
                    <w:t>5、功率： ≥18.5KW，  AC380V 50HZ；</w:t>
                  </w:r>
                  <w:r>
                    <w:br/>
                  </w:r>
                  <w:r>
                    <w:rPr>
                      <w:rFonts w:ascii="仿宋_GB2312" w:hAnsi="仿宋_GB2312" w:cs="仿宋_GB2312" w:eastAsia="仿宋_GB2312"/>
                      <w:sz w:val="24"/>
                      <w:color w:val="000000"/>
                    </w:rPr>
                    <w:t>6、设备需要连续运行；</w:t>
                  </w:r>
                  <w:r>
                    <w:br/>
                  </w:r>
                  <w:r>
                    <w:rPr>
                      <w:rFonts w:ascii="仿宋_GB2312" w:hAnsi="仿宋_GB2312" w:cs="仿宋_GB2312" w:eastAsia="仿宋_GB2312"/>
                      <w:sz w:val="24"/>
                      <w:color w:val="000000"/>
                    </w:rPr>
                    <w:t>7、处理单捆能力： ≥8 捆 /h ；</w:t>
                  </w:r>
                  <w:r>
                    <w:br/>
                  </w:r>
                  <w:r>
                    <w:rPr>
                      <w:rFonts w:ascii="仿宋_GB2312" w:hAnsi="仿宋_GB2312" w:cs="仿宋_GB2312" w:eastAsia="仿宋_GB2312"/>
                      <w:sz w:val="24"/>
                      <w:color w:val="000000"/>
                    </w:rPr>
                    <w:t>8、进料方式：输送带喂料</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3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粉碎机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1、处理能力： ≥3500kg/h；</w:t>
                  </w:r>
                  <w:r>
                    <w:rPr>
                      <w:rFonts w:ascii="仿宋_GB2312" w:hAnsi="仿宋_GB2312" w:cs="仿宋_GB2312" w:eastAsia="仿宋_GB2312"/>
                      <w:sz w:val="18"/>
                      <w:color w:val="000000"/>
                    </w:rPr>
                    <w:t>★</w:t>
                  </w:r>
                  <w:r>
                    <w:br/>
                  </w:r>
                  <w:r>
                    <w:rPr>
                      <w:rFonts w:ascii="仿宋_GB2312" w:hAnsi="仿宋_GB2312" w:cs="仿宋_GB2312" w:eastAsia="仿宋_GB2312"/>
                      <w:sz w:val="24"/>
                      <w:color w:val="000000"/>
                    </w:rPr>
                    <w:t>2、设备性能要求：可破碎干、湿秸秆；出料秸秆 2-3.5cm，能满足 70%含水率的湿秸秆</w:t>
                  </w:r>
                  <w:r>
                    <w:br/>
                  </w:r>
                  <w:r>
                    <w:rPr>
                      <w:rFonts w:ascii="仿宋_GB2312" w:hAnsi="仿宋_GB2312" w:cs="仿宋_GB2312" w:eastAsia="仿宋_GB2312"/>
                      <w:sz w:val="24"/>
                      <w:color w:val="000000"/>
                    </w:rPr>
                    <w:t>处理量；</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3、设备材质：同等或优于 Q235A；</w:t>
                  </w:r>
                  <w:r>
                    <w:br/>
                  </w:r>
                  <w:r>
                    <w:rPr>
                      <w:rFonts w:ascii="仿宋_GB2312" w:hAnsi="仿宋_GB2312" w:cs="仿宋_GB2312" w:eastAsia="仿宋_GB2312"/>
                      <w:sz w:val="24"/>
                      <w:color w:val="000000"/>
                    </w:rPr>
                    <w:t>4、功率： ≥44KW，  AC380V 50HZ；</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5、设备需要连续运行；</w:t>
                  </w:r>
                  <w:r>
                    <w:br/>
                  </w:r>
                  <w:r>
                    <w:rPr>
                      <w:rFonts w:ascii="仿宋_GB2312" w:hAnsi="仿宋_GB2312" w:cs="仿宋_GB2312" w:eastAsia="仿宋_GB2312"/>
                      <w:sz w:val="24"/>
                      <w:color w:val="000000"/>
                    </w:rPr>
                    <w:t>6、进料方式：输送带喂料</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4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水流输送+</w:t>
                  </w:r>
                  <w:r>
                    <w:br/>
                  </w:r>
                  <w:r>
                    <w:rPr>
                      <w:rFonts w:ascii="仿宋_GB2312" w:hAnsi="仿宋_GB2312" w:cs="仿宋_GB2312" w:eastAsia="仿宋_GB2312"/>
                      <w:sz w:val="24"/>
                      <w:color w:val="000000"/>
                    </w:rPr>
                    <w:t>提升机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1、处理能力： ≥4500kg/h；</w:t>
                  </w:r>
                  <w:r>
                    <w:br/>
                  </w:r>
                  <w:r>
                    <w:rPr>
                      <w:rFonts w:ascii="仿宋_GB2312" w:hAnsi="仿宋_GB2312" w:cs="仿宋_GB2312" w:eastAsia="仿宋_GB2312"/>
                      <w:sz w:val="24"/>
                      <w:color w:val="000000"/>
                    </w:rPr>
                    <w:t>2、设备性能要求：转输使物料进入灭菌机，碳钢支架螺旋，变速驱动；</w:t>
                  </w:r>
                  <w:r>
                    <w:br/>
                  </w:r>
                  <w:r>
                    <w:rPr>
                      <w:rFonts w:ascii="仿宋_GB2312" w:hAnsi="仿宋_GB2312" w:cs="仿宋_GB2312" w:eastAsia="仿宋_GB2312"/>
                      <w:sz w:val="24"/>
                      <w:color w:val="000000"/>
                    </w:rPr>
                    <w:t>3、设备材质：同等或优于 Q235A；</w:t>
                  </w:r>
                  <w:r>
                    <w:br/>
                  </w:r>
                  <w:r>
                    <w:rPr>
                      <w:rFonts w:ascii="仿宋_GB2312" w:hAnsi="仿宋_GB2312" w:cs="仿宋_GB2312" w:eastAsia="仿宋_GB2312"/>
                      <w:sz w:val="24"/>
                      <w:color w:val="000000"/>
                    </w:rPr>
                    <w:t>4、功率： ≥5.5KW，  AC380V 50HZ：</w:t>
                  </w:r>
                  <w:r>
                    <w:br/>
                  </w:r>
                  <w:r>
                    <w:rPr>
                      <w:rFonts w:ascii="仿宋_GB2312" w:hAnsi="仿宋_GB2312" w:cs="仿宋_GB2312" w:eastAsia="仿宋_GB2312"/>
                      <w:sz w:val="24"/>
                      <w:color w:val="000000"/>
                    </w:rPr>
                    <w:t>5、设备需要连续运行；</w:t>
                  </w:r>
                  <w:r>
                    <w:br/>
                  </w:r>
                  <w:r>
                    <w:rPr>
                      <w:rFonts w:ascii="仿宋_GB2312" w:hAnsi="仿宋_GB2312" w:cs="仿宋_GB2312" w:eastAsia="仿宋_GB2312"/>
                      <w:sz w:val="24"/>
                      <w:color w:val="000000"/>
                    </w:rPr>
                    <w:t>6、输送水平投影长度： ≥3M；</w:t>
                  </w:r>
                  <w:r>
                    <w:br/>
                  </w:r>
                  <w:r>
                    <w:rPr>
                      <w:rFonts w:ascii="仿宋_GB2312" w:hAnsi="仿宋_GB2312" w:cs="仿宋_GB2312" w:eastAsia="仿宋_GB2312"/>
                      <w:sz w:val="24"/>
                      <w:color w:val="000000"/>
                    </w:rPr>
                    <w:t>7、输送倾斜：≤25 ° ;</w:t>
                  </w:r>
                  <w:r>
                    <w:br/>
                  </w:r>
                  <w:r>
                    <w:rPr>
                      <w:rFonts w:ascii="仿宋_GB2312" w:hAnsi="仿宋_GB2312" w:cs="仿宋_GB2312" w:eastAsia="仿宋_GB2312"/>
                      <w:sz w:val="24"/>
                      <w:color w:val="000000"/>
                    </w:rPr>
                    <w:t>8、整机壳体形式：U 型槽，带盖板，防尘防扬尘</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5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灭菌机（核</w:t>
                  </w:r>
                  <w:r>
                    <w:br/>
                  </w:r>
                  <w:r>
                    <w:rPr>
                      <w:rFonts w:ascii="仿宋_GB2312" w:hAnsi="仿宋_GB2312" w:cs="仿宋_GB2312" w:eastAsia="仿宋_GB2312"/>
                      <w:sz w:val="24"/>
                      <w:color w:val="000000"/>
                    </w:rPr>
                    <w:t>心产品）</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1、处理能力： ≥4000kg/h；</w:t>
                  </w:r>
                  <w:r>
                    <w:rPr>
                      <w:rFonts w:ascii="仿宋_GB2312" w:hAnsi="仿宋_GB2312" w:cs="仿宋_GB2312" w:eastAsia="仿宋_GB2312"/>
                      <w:sz w:val="18"/>
                      <w:color w:val="000000"/>
                    </w:rPr>
                    <w:t>★</w:t>
                  </w:r>
                  <w:r>
                    <w:br/>
                  </w:r>
                  <w:r>
                    <w:rPr>
                      <w:rFonts w:ascii="仿宋_GB2312" w:hAnsi="仿宋_GB2312" w:cs="仿宋_GB2312" w:eastAsia="仿宋_GB2312"/>
                      <w:sz w:val="24"/>
                      <w:color w:val="000000"/>
                    </w:rPr>
                    <w:t>2、设备性能要求：温度 100~110℃</w:t>
                  </w:r>
                  <w:r>
                    <w:rPr>
                      <w:rFonts w:ascii="仿宋_GB2312" w:hAnsi="仿宋_GB2312" w:cs="仿宋_GB2312" w:eastAsia="仿宋_GB2312"/>
                      <w:sz w:val="22"/>
                      <w:color w:val="000000"/>
                    </w:rPr>
                    <w:t xml:space="preserve">▲ </w:t>
                  </w:r>
                  <w:r>
                    <w:rPr>
                      <w:rFonts w:ascii="仿宋_GB2312" w:hAnsi="仿宋_GB2312" w:cs="仿宋_GB2312" w:eastAsia="仿宋_GB2312"/>
                      <w:sz w:val="24"/>
                      <w:color w:val="000000"/>
                    </w:rPr>
                    <w:t>, 压力：可调节，灭菌时间：≤15min；</w:t>
                  </w:r>
                  <w:r>
                    <w:br/>
                  </w:r>
                  <w:r>
                    <w:rPr>
                      <w:rFonts w:ascii="仿宋_GB2312" w:hAnsi="仿宋_GB2312" w:cs="仿宋_GB2312" w:eastAsia="仿宋_GB2312"/>
                      <w:sz w:val="24"/>
                      <w:color w:val="000000"/>
                    </w:rPr>
                    <w:t>3、设备材质：同等或优于Q235A，内衬同等或优于 304 不锈钢；</w:t>
                  </w:r>
                  <w:r>
                    <w:br/>
                  </w:r>
                  <w:r>
                    <w:rPr>
                      <w:rFonts w:ascii="仿宋_GB2312" w:hAnsi="仿宋_GB2312" w:cs="仿宋_GB2312" w:eastAsia="仿宋_GB2312"/>
                      <w:sz w:val="24"/>
                      <w:color w:val="000000"/>
                    </w:rPr>
                    <w:t>4、功率：＜30KW，  AC380V 50HZ；</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5、蒸汽耗量：≤350kg/h 4bar；</w:t>
                  </w:r>
                  <w:r>
                    <w:br/>
                  </w:r>
                  <w:r>
                    <w:rPr>
                      <w:rFonts w:ascii="仿宋_GB2312" w:hAnsi="仿宋_GB2312" w:cs="仿宋_GB2312" w:eastAsia="仿宋_GB2312"/>
                      <w:sz w:val="24"/>
                      <w:color w:val="000000"/>
                    </w:rPr>
                    <w:t>6、设备需要连续运行；</w:t>
                  </w:r>
                  <w:r>
                    <w:br/>
                  </w:r>
                  <w:r>
                    <w:rPr>
                      <w:rFonts w:ascii="仿宋_GB2312" w:hAnsi="仿宋_GB2312" w:cs="仿宋_GB2312" w:eastAsia="仿宋_GB2312"/>
                      <w:sz w:val="24"/>
                      <w:color w:val="000000"/>
                    </w:rPr>
                    <w:t>7、灭菌机有效容积（L） ≥1000；</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8、核心产品</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内衬</w:t>
                  </w:r>
                  <w:r>
                    <w:br/>
                  </w:r>
                  <w:r>
                    <w:rPr>
                      <w:rFonts w:ascii="仿宋_GB2312" w:hAnsi="仿宋_GB2312" w:cs="仿宋_GB2312" w:eastAsia="仿宋_GB2312"/>
                      <w:sz w:val="24"/>
                      <w:color w:val="000000"/>
                    </w:rPr>
                    <w:t>304</w:t>
                  </w: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6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螺旋输送机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 处理能力： ≥4500kg/h；</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2.设备性能要求：转输使物料进入灭菌机，碳钢支架螺旋，国产变速驱动，灭菌机至布</w:t>
                  </w:r>
                  <w:r>
                    <w:br/>
                  </w:r>
                  <w:r>
                    <w:rPr>
                      <w:rFonts w:ascii="仿宋_GB2312" w:hAnsi="仿宋_GB2312" w:cs="仿宋_GB2312" w:eastAsia="仿宋_GB2312"/>
                      <w:sz w:val="24"/>
                      <w:color w:val="000000"/>
                    </w:rPr>
                    <w:t xml:space="preserve"> 料机转输)；</w:t>
                  </w:r>
                  <w:r>
                    <w:br/>
                  </w:r>
                  <w:r>
                    <w:rPr>
                      <w:rFonts w:ascii="仿宋_GB2312" w:hAnsi="仿宋_GB2312" w:cs="仿宋_GB2312" w:eastAsia="仿宋_GB2312"/>
                      <w:sz w:val="24"/>
                      <w:color w:val="000000"/>
                    </w:rPr>
                    <w:t xml:space="preserve"> 3.设备材质：同等或优于 Q235A；</w:t>
                  </w:r>
                  <w:r>
                    <w:br/>
                  </w:r>
                  <w:r>
                    <w:rPr>
                      <w:rFonts w:ascii="仿宋_GB2312" w:hAnsi="仿宋_GB2312" w:cs="仿宋_GB2312" w:eastAsia="仿宋_GB2312"/>
                      <w:sz w:val="24"/>
                      <w:color w:val="000000"/>
                    </w:rPr>
                    <w:t xml:space="preserve"> 4.功率： ≥11KW，  AC380V50HZ；</w:t>
                  </w:r>
                  <w:r>
                    <w:br/>
                  </w:r>
                  <w:r>
                    <w:rPr>
                      <w:rFonts w:ascii="仿宋_GB2312" w:hAnsi="仿宋_GB2312" w:cs="仿宋_GB2312" w:eastAsia="仿宋_GB2312"/>
                      <w:sz w:val="24"/>
                      <w:color w:val="000000"/>
                    </w:rPr>
                    <w:t xml:space="preserve"> 5.设备需要连续运行；</w:t>
                  </w:r>
                  <w:r>
                    <w:br/>
                  </w:r>
                  <w:r>
                    <w:rPr>
                      <w:rFonts w:ascii="仿宋_GB2312" w:hAnsi="仿宋_GB2312" w:cs="仿宋_GB2312" w:eastAsia="仿宋_GB2312"/>
                      <w:sz w:val="24"/>
                      <w:color w:val="000000"/>
                    </w:rPr>
                    <w:t xml:space="preserve"> 6.输送水平投影长度： ≥3M；</w:t>
                  </w:r>
                  <w:r>
                    <w:br/>
                  </w:r>
                  <w:r>
                    <w:rPr>
                      <w:rFonts w:ascii="仿宋_GB2312" w:hAnsi="仿宋_GB2312" w:cs="仿宋_GB2312" w:eastAsia="仿宋_GB2312"/>
                      <w:sz w:val="24"/>
                      <w:color w:val="000000"/>
                    </w:rPr>
                    <w:t xml:space="preserve"> 7.输送倾斜：≤50 °</w:t>
                  </w:r>
                  <w:r>
                    <w:br/>
                  </w:r>
                  <w:r>
                    <w:rPr>
                      <w:rFonts w:ascii="仿宋_GB2312" w:hAnsi="仿宋_GB2312" w:cs="仿宋_GB2312" w:eastAsia="仿宋_GB2312"/>
                      <w:sz w:val="24"/>
                      <w:color w:val="000000"/>
                    </w:rPr>
                    <w:t xml:space="preserve"> 整机壳体形式：U 型槽，带盖板，防尘防扬尘；</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2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7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螺旋脱水机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1、处理能力： ≥3200kg/h；</w:t>
                  </w:r>
                  <w:r>
                    <w:br/>
                  </w:r>
                  <w:r>
                    <w:rPr>
                      <w:rFonts w:ascii="仿宋_GB2312" w:hAnsi="仿宋_GB2312" w:cs="仿宋_GB2312" w:eastAsia="仿宋_GB2312"/>
                      <w:sz w:val="24"/>
                      <w:color w:val="000000"/>
                    </w:rPr>
                    <w:t>2、设备性能要求：进料含水率 ： ≥50%，出料含水率 ：≤35%；</w:t>
                  </w:r>
                  <w:r>
                    <w:rPr>
                      <w:rFonts w:ascii="仿宋_GB2312" w:hAnsi="仿宋_GB2312" w:cs="仿宋_GB2312" w:eastAsia="仿宋_GB2312"/>
                      <w:sz w:val="18"/>
                      <w:color w:val="000000"/>
                    </w:rPr>
                    <w:t>★</w:t>
                  </w:r>
                  <w:r>
                    <w:br/>
                  </w:r>
                  <w:r>
                    <w:rPr>
                      <w:rFonts w:ascii="仿宋_GB2312" w:hAnsi="仿宋_GB2312" w:cs="仿宋_GB2312" w:eastAsia="仿宋_GB2312"/>
                      <w:sz w:val="24"/>
                      <w:color w:val="000000"/>
                    </w:rPr>
                    <w:t>3、设备材质：同等或优于 Q235A；</w:t>
                  </w:r>
                  <w:r>
                    <w:br/>
                  </w:r>
                  <w:r>
                    <w:rPr>
                      <w:rFonts w:ascii="仿宋_GB2312" w:hAnsi="仿宋_GB2312" w:cs="仿宋_GB2312" w:eastAsia="仿宋_GB2312"/>
                      <w:sz w:val="24"/>
                      <w:color w:val="000000"/>
                    </w:rPr>
                    <w:t>功率：＜11KW，  AC380V 50HZ；</w:t>
                  </w:r>
                  <w:r>
                    <w:br/>
                  </w:r>
                  <w:r>
                    <w:rPr>
                      <w:rFonts w:ascii="仿宋_GB2312" w:hAnsi="仿宋_GB2312" w:cs="仿宋_GB2312" w:eastAsia="仿宋_GB2312"/>
                      <w:sz w:val="24"/>
                      <w:color w:val="000000"/>
                    </w:rPr>
                    <w:t>4、设备需要连续运行</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8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缓冲仓 1</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1、仓容： ≥30000L；</w:t>
                  </w:r>
                  <w:r>
                    <w:br/>
                  </w:r>
                  <w:r>
                    <w:rPr>
                      <w:rFonts w:ascii="仿宋_GB2312" w:hAnsi="仿宋_GB2312" w:cs="仿宋_GB2312" w:eastAsia="仿宋_GB2312"/>
                      <w:sz w:val="24"/>
                      <w:color w:val="000000"/>
                    </w:rPr>
                    <w:t>2、设备配置：土建+金属结构，物料缓存；</w:t>
                  </w:r>
                  <w:r>
                    <w:br/>
                  </w:r>
                  <w:r>
                    <w:rPr>
                      <w:rFonts w:ascii="仿宋_GB2312" w:hAnsi="仿宋_GB2312" w:cs="仿宋_GB2312" w:eastAsia="仿宋_GB2312"/>
                      <w:sz w:val="24"/>
                      <w:color w:val="000000"/>
                    </w:rPr>
                    <w:t>3、设备材质：金属部分同等或优于Q235A；</w:t>
                  </w:r>
                  <w:r>
                    <w:br/>
                  </w:r>
                  <w:r>
                    <w:rPr>
                      <w:rFonts w:ascii="仿宋_GB2312" w:hAnsi="仿宋_GB2312" w:cs="仿宋_GB2312" w:eastAsia="仿宋_GB2312"/>
                      <w:sz w:val="24"/>
                      <w:color w:val="000000"/>
                    </w:rPr>
                    <w:t>4、设备需要连续运行</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个</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9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液体腐殖酸</w:t>
                  </w:r>
                  <w:r>
                    <w:br/>
                  </w:r>
                  <w:r>
                    <w:rPr>
                      <w:rFonts w:ascii="仿宋_GB2312" w:hAnsi="仿宋_GB2312" w:cs="仿宋_GB2312" w:eastAsia="仿宋_GB2312"/>
                      <w:sz w:val="24"/>
                      <w:color w:val="000000"/>
                    </w:rPr>
                    <w:t>菌剂储存槽</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1、处理能力： ≥容积 5000L；</w:t>
                  </w:r>
                  <w:r>
                    <w:br/>
                  </w:r>
                  <w:r>
                    <w:rPr>
                      <w:rFonts w:ascii="仿宋_GB2312" w:hAnsi="仿宋_GB2312" w:cs="仿宋_GB2312" w:eastAsia="仿宋_GB2312"/>
                      <w:sz w:val="24"/>
                      <w:color w:val="000000"/>
                    </w:rPr>
                    <w:t>2、设备性能要求：收集液体腐殖酸；</w:t>
                  </w:r>
                  <w:r>
                    <w:br/>
                  </w:r>
                  <w:r>
                    <w:rPr>
                      <w:rFonts w:ascii="仿宋_GB2312" w:hAnsi="仿宋_GB2312" w:cs="仿宋_GB2312" w:eastAsia="仿宋_GB2312"/>
                      <w:sz w:val="24"/>
                      <w:color w:val="000000"/>
                    </w:rPr>
                    <w:t>3、设备材质：PE/PVC/玻璃钢；</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2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个/台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10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液体灌装机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4"/>
                      <w:color w:val="000000"/>
                    </w:rPr>
                    <w:t>、处理能力：</w:t>
                  </w:r>
                  <w:r>
                    <w:rPr>
                      <w:rFonts w:ascii="仿宋_GB2312" w:hAnsi="仿宋_GB2312" w:cs="仿宋_GB2312" w:eastAsia="仿宋_GB2312"/>
                      <w:sz w:val="24"/>
                      <w:color w:val="000000"/>
                    </w:rPr>
                    <w:t xml:space="preserve"> ≥1000kg/h</w:t>
                  </w:r>
                  <w:r>
                    <w:rPr>
                      <w:rFonts w:ascii="仿宋_GB2312" w:hAnsi="仿宋_GB2312" w:cs="仿宋_GB2312" w:eastAsia="仿宋_GB2312"/>
                      <w:sz w:val="24"/>
                      <w:color w:val="000000"/>
                    </w:rPr>
                    <w:t>；</w:t>
                  </w:r>
                  <w:r>
                    <w:rPr>
                      <w:rFonts w:ascii="仿宋_GB2312" w:hAnsi="仿宋_GB2312" w:cs="仿宋_GB2312" w:eastAsia="仿宋_GB2312"/>
                      <w:sz w:val="18"/>
                      <w:color w:val="000000"/>
                    </w:rPr>
                    <w:t>★</w:t>
                  </w:r>
                  <w:r>
                    <w:br/>
                  </w:r>
                  <w:r>
                    <w:rPr>
                      <w:rFonts w:ascii="仿宋_GB2312" w:hAnsi="仿宋_GB2312" w:cs="仿宋_GB2312" w:eastAsia="仿宋_GB2312"/>
                      <w:sz w:val="24"/>
                      <w:color w:val="000000"/>
                    </w:rPr>
                    <w:t>2、设备性能要求： 自动计量定量灌装，包装规格：20kg、1000kg；</w:t>
                  </w:r>
                  <w:r>
                    <w:br/>
                  </w:r>
                  <w:r>
                    <w:rPr>
                      <w:rFonts w:ascii="仿宋_GB2312" w:hAnsi="仿宋_GB2312" w:cs="仿宋_GB2312" w:eastAsia="仿宋_GB2312"/>
                      <w:sz w:val="24"/>
                      <w:color w:val="000000"/>
                    </w:rPr>
                    <w:t xml:space="preserve"> 3、设备材质：同等或优于 304 不锈钢；▲</w:t>
                  </w:r>
                  <w:r>
                    <w:br/>
                  </w:r>
                  <w:r>
                    <w:rPr>
                      <w:rFonts w:ascii="仿宋_GB2312" w:hAnsi="仿宋_GB2312" w:cs="仿宋_GB2312" w:eastAsia="仿宋_GB2312"/>
                      <w:sz w:val="24"/>
                      <w:color w:val="000000"/>
                    </w:rPr>
                    <w:t xml:space="preserve"> 4、功率： ≥3KW，  AC380V 50HZ：</w:t>
                  </w:r>
                  <w:r>
                    <w:br/>
                  </w:r>
                  <w:r>
                    <w:rPr>
                      <w:rFonts w:ascii="仿宋_GB2312" w:hAnsi="仿宋_GB2312" w:cs="仿宋_GB2312" w:eastAsia="仿宋_GB2312"/>
                      <w:sz w:val="24"/>
                      <w:color w:val="000000"/>
                    </w:rPr>
                    <w:t xml:space="preserve"> 5、设备需要连续运行；</w:t>
                  </w:r>
                  <w:r>
                    <w:br/>
                  </w:r>
                  <w:r>
                    <w:rPr>
                      <w:rFonts w:ascii="仿宋_GB2312" w:hAnsi="仿宋_GB2312" w:cs="仿宋_GB2312" w:eastAsia="仿宋_GB2312"/>
                      <w:sz w:val="24"/>
                      <w:color w:val="000000"/>
                    </w:rPr>
                    <w:t xml:space="preserve"> 6、灌装精度： ±1%~±2%（包装规格）</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11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缓冲仓 2</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1、仓容： ≥15m³ ;</w:t>
                  </w:r>
                  <w:r>
                    <w:br/>
                  </w:r>
                  <w:r>
                    <w:rPr>
                      <w:rFonts w:ascii="仿宋_GB2312" w:hAnsi="仿宋_GB2312" w:cs="仿宋_GB2312" w:eastAsia="仿宋_GB2312"/>
                      <w:sz w:val="24"/>
                      <w:color w:val="000000"/>
                    </w:rPr>
                    <w:t>2、设备性能要求：土建 + 金属，物料缓存；</w:t>
                  </w:r>
                  <w:r>
                    <w:br/>
                  </w:r>
                  <w:r>
                    <w:rPr>
                      <w:rFonts w:ascii="仿宋_GB2312" w:hAnsi="仿宋_GB2312" w:cs="仿宋_GB2312" w:eastAsia="仿宋_GB2312"/>
                      <w:sz w:val="24"/>
                      <w:color w:val="000000"/>
                    </w:rPr>
                    <w:t>3、设备材质：钢筋混凝土结构，仓内金属同等或优于Q235A 内衬；</w:t>
                  </w:r>
                  <w:r>
                    <w:br/>
                  </w:r>
                  <w:r>
                    <w:rPr>
                      <w:rFonts w:ascii="仿宋_GB2312" w:hAnsi="仿宋_GB2312" w:cs="仿宋_GB2312" w:eastAsia="仿宋_GB2312"/>
                      <w:sz w:val="24"/>
                      <w:color w:val="000000"/>
                    </w:rPr>
                    <w:t>4、设备需要连续运行</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个/台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12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制粒机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1、处理能力： ≥2000kg/h；</w:t>
                  </w:r>
                  <w:r>
                    <w:br/>
                  </w:r>
                  <w:r>
                    <w:rPr>
                      <w:rFonts w:ascii="仿宋_GB2312" w:hAnsi="仿宋_GB2312" w:cs="仿宋_GB2312" w:eastAsia="仿宋_GB2312"/>
                      <w:sz w:val="24"/>
                      <w:color w:val="000000"/>
                    </w:rPr>
                    <w:t>2、设备性能要求：碳钢结构；</w:t>
                  </w:r>
                  <w:r>
                    <w:br/>
                  </w:r>
                  <w:r>
                    <w:rPr>
                      <w:rFonts w:ascii="仿宋_GB2312" w:hAnsi="仿宋_GB2312" w:cs="仿宋_GB2312" w:eastAsia="仿宋_GB2312"/>
                      <w:sz w:val="24"/>
                      <w:color w:val="000000"/>
                    </w:rPr>
                    <w:t>3、设备材质：同等或优于 Q235A；</w:t>
                  </w:r>
                  <w:r>
                    <w:br/>
                  </w:r>
                  <w:r>
                    <w:rPr>
                      <w:rFonts w:ascii="仿宋_GB2312" w:hAnsi="仿宋_GB2312" w:cs="仿宋_GB2312" w:eastAsia="仿宋_GB2312"/>
                      <w:sz w:val="24"/>
                      <w:color w:val="000000"/>
                    </w:rPr>
                    <w:t>4、功率：＜55KW，  AC380V 50HZ：</w:t>
                  </w:r>
                  <w:r>
                    <w:br/>
                  </w:r>
                  <w:r>
                    <w:rPr>
                      <w:rFonts w:ascii="仿宋_GB2312" w:hAnsi="仿宋_GB2312" w:cs="仿宋_GB2312" w:eastAsia="仿宋_GB2312"/>
                      <w:sz w:val="24"/>
                      <w:color w:val="000000"/>
                    </w:rPr>
                    <w:t>5、设备需要连续运行；</w:t>
                  </w:r>
                  <w:r>
                    <w:br/>
                  </w:r>
                  <w:r>
                    <w:rPr>
                      <w:rFonts w:ascii="仿宋_GB2312" w:hAnsi="仿宋_GB2312" w:cs="仿宋_GB2312" w:eastAsia="仿宋_GB2312"/>
                      <w:sz w:val="24"/>
                      <w:color w:val="000000"/>
                    </w:rPr>
                    <w:t>6、颗粒成品直径（至少包含）： φ4mm、 φ6mm；</w:t>
                  </w:r>
                  <w:r>
                    <w:rPr>
                      <w:rFonts w:ascii="仿宋_GB2312" w:hAnsi="仿宋_GB2312" w:cs="仿宋_GB2312" w:eastAsia="仿宋_GB2312"/>
                      <w:sz w:val="22"/>
                      <w:color w:val="000000"/>
                    </w:rPr>
                    <w:t>▲</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13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空压机</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1、工作压力： ≥6Bar；</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2、设备材质：同等或优于 Q235A；</w:t>
                  </w:r>
                  <w:r>
                    <w:br/>
                  </w:r>
                  <w:r>
                    <w:rPr>
                      <w:rFonts w:ascii="仿宋_GB2312" w:hAnsi="仿宋_GB2312" w:cs="仿宋_GB2312" w:eastAsia="仿宋_GB2312"/>
                      <w:sz w:val="24"/>
                      <w:color w:val="000000"/>
                    </w:rPr>
                    <w:t xml:space="preserve"> 3、功率： ≥7.5KW，  AC380V 50HZ；</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4、设备需要连续运行；</w:t>
                  </w:r>
                  <w:r>
                    <w:br/>
                  </w:r>
                  <w:r>
                    <w:rPr>
                      <w:rFonts w:ascii="仿宋_GB2312" w:hAnsi="仿宋_GB2312" w:cs="仿宋_GB2312" w:eastAsia="仿宋_GB2312"/>
                      <w:sz w:val="24"/>
                      <w:color w:val="000000"/>
                    </w:rPr>
                    <w:t xml:space="preserve"> 5、冷却方式：风冷；</w:t>
                  </w:r>
                  <w:r>
                    <w:br/>
                  </w:r>
                  <w:r>
                    <w:rPr>
                      <w:rFonts w:ascii="仿宋_GB2312" w:hAnsi="仿宋_GB2312" w:cs="仿宋_GB2312" w:eastAsia="仿宋_GB2312"/>
                      <w:sz w:val="24"/>
                      <w:color w:val="000000"/>
                    </w:rPr>
                    <w:t xml:space="preserve"> 6、排气量（容积流量）： ≥1.0m³/min</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台</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r>
              <w:tc>
                <w:tcPr>
                  <w:tcW w:type="dxa" w:w="12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14 </w:t>
                  </w:r>
                </w:p>
              </w:tc>
              <w:tc>
                <w:tcPr>
                  <w:tcW w:type="dxa" w:w="25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中央控制系</w:t>
                  </w:r>
                  <w:r>
                    <w:br/>
                  </w:r>
                  <w:r>
                    <w:rPr>
                      <w:rFonts w:ascii="仿宋_GB2312" w:hAnsi="仿宋_GB2312" w:cs="仿宋_GB2312" w:eastAsia="仿宋_GB2312"/>
                      <w:sz w:val="24"/>
                      <w:color w:val="000000"/>
                    </w:rPr>
                    <w:t>统含电缆</w:t>
                  </w:r>
                </w:p>
              </w:tc>
              <w:tc>
                <w:tcPr>
                  <w:tcW w:type="dxa" w:w="172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1、功率：≤3kw,处理能力：AC380V 50HZ ；</w:t>
                  </w:r>
                  <w:r>
                    <w:br/>
                  </w:r>
                  <w:r>
                    <w:rPr>
                      <w:rFonts w:ascii="仿宋_GB2312" w:hAnsi="仿宋_GB2312" w:cs="仿宋_GB2312" w:eastAsia="仿宋_GB2312"/>
                      <w:sz w:val="24"/>
                      <w:color w:val="000000"/>
                    </w:rPr>
                    <w:t>2、设备配置：中央控制电脑，PLC、传感器模块、组态软件和控制软件等；</w:t>
                  </w:r>
                  <w:r>
                    <w:br/>
                  </w:r>
                  <w:r>
                    <w:rPr>
                      <w:rFonts w:ascii="仿宋_GB2312" w:hAnsi="仿宋_GB2312" w:cs="仿宋_GB2312" w:eastAsia="仿宋_GB2312"/>
                      <w:sz w:val="24"/>
                      <w:color w:val="000000"/>
                    </w:rPr>
                    <w:t>3、设备需要连续运行；</w:t>
                  </w:r>
                  <w:r>
                    <w:br/>
                  </w:r>
                  <w:r>
                    <w:rPr>
                      <w:rFonts w:ascii="仿宋_GB2312" w:hAnsi="仿宋_GB2312" w:cs="仿宋_GB2312" w:eastAsia="仿宋_GB2312"/>
                      <w:sz w:val="24"/>
                      <w:color w:val="000000"/>
                    </w:rPr>
                    <w:t>4、系统控制回路：  DC24V/AC220V；</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5、控制柜防护 ： ≥IP54；</w:t>
                  </w:r>
                  <w:r>
                    <w:br/>
                  </w:r>
                  <w:r>
                    <w:rPr>
                      <w:rFonts w:ascii="仿宋_GB2312" w:hAnsi="仿宋_GB2312" w:cs="仿宋_GB2312" w:eastAsia="仿宋_GB2312"/>
                      <w:sz w:val="24"/>
                      <w:color w:val="000000"/>
                    </w:rPr>
                    <w:t>6、规格：800*450*1800mm；</w:t>
                  </w:r>
                  <w:r>
                    <w:br/>
                  </w:r>
                  <w:r>
                    <w:rPr>
                      <w:rFonts w:ascii="仿宋_GB2312" w:hAnsi="仿宋_GB2312" w:cs="仿宋_GB2312" w:eastAsia="仿宋_GB2312"/>
                      <w:sz w:val="24"/>
                      <w:color w:val="000000"/>
                    </w:rPr>
                    <w:t>7、电控柜材质：Q235B 冷轧钢板，喷塑处理；</w:t>
                  </w:r>
                  <w:r>
                    <w:rPr>
                      <w:rFonts w:ascii="仿宋_GB2312" w:hAnsi="仿宋_GB2312" w:cs="仿宋_GB2312" w:eastAsia="仿宋_GB2312"/>
                      <w:sz w:val="18"/>
                      <w:color w:val="000000"/>
                    </w:rPr>
                    <w:t>★</w:t>
                  </w:r>
                  <w:r>
                    <w:br/>
                  </w:r>
                  <w:r>
                    <w:rPr>
                      <w:rFonts w:ascii="仿宋_GB2312" w:hAnsi="仿宋_GB2312" w:cs="仿宋_GB2312" w:eastAsia="仿宋_GB2312"/>
                      <w:sz w:val="24"/>
                      <w:color w:val="000000"/>
                    </w:rPr>
                    <w:t>8、柜体材质:冷轧钢板，喷塑；</w:t>
                  </w:r>
                  <w:r>
                    <w:rPr>
                      <w:rFonts w:ascii="仿宋_GB2312" w:hAnsi="仿宋_GB2312" w:cs="仿宋_GB2312" w:eastAsia="仿宋_GB2312"/>
                      <w:sz w:val="22"/>
                      <w:color w:val="000000"/>
                    </w:rPr>
                    <w:t>▲</w:t>
                  </w:r>
                  <w:r>
                    <w:br/>
                  </w:r>
                  <w:r>
                    <w:rPr>
                      <w:rFonts w:ascii="仿宋_GB2312" w:hAnsi="仿宋_GB2312" w:cs="仿宋_GB2312" w:eastAsia="仿宋_GB2312"/>
                      <w:sz w:val="24"/>
                      <w:color w:val="000000"/>
                    </w:rPr>
                    <w:t>9、控制电源：AC220V；DC24V 开关.电源，可配置冗余电源</w:t>
                  </w:r>
                </w:p>
              </w:tc>
              <w:tc>
                <w:tcPr>
                  <w:tcW w:type="dxa" w:w="1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 xml:space="preserve">1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4"/>
                      <w:color w:val="000000"/>
                    </w:rPr>
                    <w:t>套</w:t>
                  </w:r>
                </w:p>
              </w:tc>
              <w:tc>
                <w:tcPr>
                  <w:tcW w:type="dxa" w:w="132"/>
                  <w:tcBorders>
                    <w:top w:val="single" w:color="000000" w:sz="4"/>
                    <w:left w:val="single" w:color="000000" w:sz="4"/>
                    <w:bottom w:val="single" w:color="000000" w:sz="4"/>
                    <w:right w:val="single" w:color="000000" w:sz="4"/>
                  </w:tcBorders>
                  <w:tcMar>
                    <w:top w:type="dxa" w:w="15"/>
                    <w:left w:type="dxa" w:w="15"/>
                    <w:right w:type="dxa" w:w="15"/>
                  </w:tcMar>
                  <w:vAlign w:val="top"/>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合同签订后120日历天（含安装、调试）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项目所在地</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进度款，全部设备运抵项目现场，完成到场开箱清点，资料齐全，到场初验合格后，达到付款条件起7个工作日内，支付合同总金额的50.0%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进度款，竣工验收合格后，且缴纳3%的质保金后，达到付款条件起7个工作日内，支付合同总金额的20.0%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供应商所供设备、安装调试及交付成果，须符合国家现行相关标准，并通过采购人验收，验收合格后方可完成交付。</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范围：供应商所供全部设备（含核心设备、零部件、辅材）、安装调试成果及交付相关服务，涵盖设备运行故障维修、零部件更换、系统调试优化等；粉碎机刀片、锤片、筛网、传动皮带、密封件等正常损耗易损件、人为操作不当、擅自改装设备、不可抗力导致的设备损坏除外。 2、保修期：整机保修期自设备竣工验收合格之日起不少于1年，若设备原厂质保标准高于 1 年，则按厂家最长质保执行；保修期内，供应商提供免费维修、免费更换合格零部件服务；保修期届满后可提供终身有偿维护服务。 故障响应：接到故障报修通知后 2 小时响应，24 小时内维修人员抵达现场开展处置；因设备自身质量问题造成停机维修，对应设备保修期予以顺延。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投标人身份证明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提供《法定代表人（单位负责人）身份证明》及身份证复印件；法定代表人授权他人参加投标，须提供《法定代表人授权委托书》及法定代表人和委托代理人身份证复印件。（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投标人具有良好的商业信誉和健全的财务会计制度,具有履行合同所必需的设备和专业技术能力，具有依法缴纳税收和社会保障金的良好记录，参加本项目采购活动前三年内无重大违法活动记录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投标人应按照汉中市财政局《关于全面推行政府采购投标人基本资格条件承诺制的通知》（汉采办采管〔2024〕20号）文件要求，须提供《汉中市政府采购投标人资格承诺函》）。（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投标人应为中型、小型、微型企业、残疾人福利性单位或监狱企业；中小微企业须提供《中小企业声明函》，残疾人福利性单位须提供《残疾人福利性单位声明函》，监狱企业须提供监狱企业证明材料（残疾人福利性单位、监狱企业视同小型、微型企业）。（材料应清晰可辨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本项目不接受联合体投标，供应商应提供《非联合体声明》</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投标函 商务应答表 5、售后服务.docx 3、供货方案.docx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提供投标保证金缴纳凭证.docx 中小企业声明函 4、质量保证方案.docx 商务应答表 5、售后服务.docx 8、培训方案.docx 其他材料及供应商认为有必要说明、阐述的事项.docx 6、应急保障承诺.docx 产品技术参数表 投标人应提交的相关资格证明材料.docx 2、供货渠道及产品备件配备.docx 1、类似业绩情况表.docx 7、设备配置保障措施.docx 投标函 残疾人福利性单位声明函 标的清单 投标文件封面 监狱企业的证明文件 3、供货方案.docx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技术参数审查</w:t>
            </w:r>
          </w:p>
        </w:tc>
        <w:tc>
          <w:tcPr>
            <w:tcW w:type="dxa" w:w="3322"/>
          </w:tcPr>
          <w:p>
            <w:pPr>
              <w:pStyle w:val="null3"/>
            </w:pPr>
            <w:r>
              <w:rPr>
                <w:rFonts w:ascii="仿宋_GB2312" w:hAnsi="仿宋_GB2312" w:cs="仿宋_GB2312" w:eastAsia="仿宋_GB2312"/>
              </w:rPr>
              <w:t>投标产品的技术指标参数（带“★”）需求为实质性要求，供应商必须响应并满足。</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完全响应招标文件要求的各项技术条款、商务实质性条款。</w:t>
            </w:r>
          </w:p>
        </w:tc>
        <w:tc>
          <w:tcPr>
            <w:tcW w:type="dxa" w:w="1661"/>
          </w:tcPr>
          <w:p>
            <w:pPr>
              <w:pStyle w:val="null3"/>
            </w:pPr>
            <w:r>
              <w:rPr>
                <w:rFonts w:ascii="仿宋_GB2312" w:hAnsi="仿宋_GB2312" w:cs="仿宋_GB2312" w:eastAsia="仿宋_GB2312"/>
              </w:rPr>
              <w:t>开标一览表 产品技术参数表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 响应</w:t>
            </w:r>
          </w:p>
        </w:tc>
        <w:tc>
          <w:tcPr>
            <w:tcW w:type="dxa" w:w="2492"/>
          </w:tcPr>
          <w:p>
            <w:pPr>
              <w:pStyle w:val="null3"/>
            </w:pPr>
            <w:r>
              <w:rPr>
                <w:rFonts w:ascii="仿宋_GB2312" w:hAnsi="仿宋_GB2312" w:cs="仿宋_GB2312" w:eastAsia="仿宋_GB2312"/>
              </w:rPr>
              <w:t>依据招标文件技术参数对投标人响应内容逐项开展评审：标注★为实质性条款，不满足直接判定无效投标；本技术评审分项满分30分，▲重要条款、无标识普通条款出现未响应、达不到技术标准、负偏离均予以扣分，技术正偏离不给予加分。 （1）实质性条款（★）：本项目设置5项★实质性条款，未完全响应要求的，投标文件按无效投标处理； （2）标注（▲）重要技术条款共16项，分值24分，每有1项未响应、不满足或负偏离扣1.5分，扣至0分为止； （3）无标识普通技术条款，分值6分，每有1项未响应、不满足或负偏离扣0.5分，扣至0分为止； 注：投标人须在技术偏离表对全部技术参数逐项填报响应说明；★实质性条款、▲重要条款须附上对应佐证材料（包括但不限于检测报告、技术白皮书、厂家产品说明资料等）并标注材料页码，普通条款仅需在表格中作出响应，无需另行提供佐证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提供投标保证金缴纳凭证.docx</w:t>
            </w:r>
          </w:p>
          <w:p>
            <w:pPr>
              <w:pStyle w:val="null3"/>
            </w:pPr>
            <w:r>
              <w:rPr>
                <w:rFonts w:ascii="仿宋_GB2312" w:hAnsi="仿宋_GB2312" w:cs="仿宋_GB2312" w:eastAsia="仿宋_GB2312"/>
              </w:rPr>
              <w:t>其他材料及供应商认为有必要说明、阐述的事项.docx</w:t>
            </w:r>
          </w:p>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一、评审内容：需提供2023年8月1日至今类似项目业绩。 二、赋分标准： 每提供1份得2.5分，最高得5分。无此项内容不得分。（注：业绩证明材料以中标（成交）通知书或合同协议书为准，投标文件中附中标（成交）通知书或合同协议书扫描件。）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1、类似业绩情况表.docx</w:t>
            </w:r>
          </w:p>
        </w:tc>
      </w:tr>
      <w:tr>
        <w:tc>
          <w:tcPr>
            <w:tcW w:type="dxa" w:w="831"/>
            <w:vMerge/>
          </w:tcPr>
          <w:p/>
        </w:tc>
        <w:tc>
          <w:tcPr>
            <w:tcW w:type="dxa" w:w="1661"/>
          </w:tcPr>
          <w:p>
            <w:pPr>
              <w:pStyle w:val="null3"/>
            </w:pPr>
            <w:r>
              <w:rPr>
                <w:rFonts w:ascii="仿宋_GB2312" w:hAnsi="仿宋_GB2312" w:cs="仿宋_GB2312" w:eastAsia="仿宋_GB2312"/>
              </w:rPr>
              <w:t>供货渠道及产品备件配备</w:t>
            </w:r>
          </w:p>
        </w:tc>
        <w:tc>
          <w:tcPr>
            <w:tcW w:type="dxa" w:w="2492"/>
          </w:tcPr>
          <w:p>
            <w:pPr>
              <w:pStyle w:val="null3"/>
            </w:pPr>
            <w:r>
              <w:rPr>
                <w:rFonts w:ascii="仿宋_GB2312" w:hAnsi="仿宋_GB2312" w:cs="仿宋_GB2312" w:eastAsia="仿宋_GB2312"/>
              </w:rPr>
              <w:t>一、评审内容：投标人须提供以下两类证明资料：①投标产品正规来源证明、产品彩页、说明书，保证产品选型合规、附件齐全；②产品易损件、零配件供货保障说明及完整备品配件清单，明确质保期内配件供应渠道通畅。 二、赋分标准（满分 5 分，客观计分） 1、完整提供第①项全部资料得 2.5 分，缺任意一项资料或资料无效得 0 分； 2、完整提供第②项全部资料及备品配件清单得 2.5 分，缺任意一项资料或资料无效得 0 分； 3、未提供任何资料本项得 0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2、供货渠道及产品备件配备.docx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一评审内容、投标人需提供该项目详细供货方案，应包括①项目整体供货计划；②供货周期保障措施；③不合格货物退换方案； 二、评审标准：①完整性：方案及相关资料内容全面，对评审内容中的各项要求有详细描述及说明；②可实施性：方案及相关资料科学合理，可操作性强；③针对性：方案及相关资料能紧扣本项目实际情况，满足本项目各项具体要求。 三、赋分标准：①项目整体供货计划：每满足一项评审标准得1分，满分3分；②供货周期保障措施：每满足一项评审标准得0.5分，满分1.5分；③不合格货物退换方案：每满足一项评审标准得0.5分，满分1.5分；④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3、供货方案.docx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一、评审内容：根据项目实际需求，提供质量保证方案。包括但不限于以下内容: ①产品配套资料及产品性能②质量管理体系及保证措施 二、评审标准： 1.完整性：方案须全面，对上述各项内容均有描述及说明； 2.可实施性：切合本项目实际情况，实施步骤清晰、合理，可实施性强； 3.针对性：方案能够紧扣项目实际情况，内容科学合理，针对性强。 三、赋分标准（满分6分）： ①产品配套资料及产品性能：每完全满足一个评审标准得1分，满分3分；②质量管理体系及保证措施：每完全满足一个评审标准得1分，满分3分；③未提供者不得分。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4、质量保证方案.docx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根据项目实际需求提供售后服务方案，须完整包含以下四项内容：①售后服务内容及保障措施；②响应时间、响应方式；③故障处理及补救措施；④定期回访及维护。二、评审标准：满分4分，实行客观计分，无主观优劣评判。完整提供四项全部内容得4分，每缺失一项内容扣1分，扣至0分为止，未提供售后服务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5、售后服务.docx</w:t>
            </w:r>
          </w:p>
        </w:tc>
      </w:tr>
      <w:tr>
        <w:tc>
          <w:tcPr>
            <w:tcW w:type="dxa" w:w="831"/>
            <w:vMerge/>
          </w:tcPr>
          <w:p/>
        </w:tc>
        <w:tc>
          <w:tcPr>
            <w:tcW w:type="dxa" w:w="1661"/>
          </w:tcPr>
          <w:p>
            <w:pPr>
              <w:pStyle w:val="null3"/>
            </w:pPr>
            <w:r>
              <w:rPr>
                <w:rFonts w:ascii="仿宋_GB2312" w:hAnsi="仿宋_GB2312" w:cs="仿宋_GB2312" w:eastAsia="仿宋_GB2312"/>
              </w:rPr>
              <w:t>应急保障承诺</w:t>
            </w:r>
          </w:p>
        </w:tc>
        <w:tc>
          <w:tcPr>
            <w:tcW w:type="dxa" w:w="2492"/>
          </w:tcPr>
          <w:p>
            <w:pPr>
              <w:pStyle w:val="null3"/>
            </w:pPr>
            <w:r>
              <w:rPr>
                <w:rFonts w:ascii="仿宋_GB2312" w:hAnsi="仿宋_GB2312" w:cs="仿宋_GB2312" w:eastAsia="仿宋_GB2312"/>
              </w:rPr>
              <w:t>投标人须出具加盖单位公章的书面应急保障承诺，承诺完整覆盖以下 3 项内容，各项独立计分： 1、承诺建立项目专属应急组织架构、配备 24 小时应急联络人并明确全流程分级响应机制，得2分； 2、承诺针对原材料短缺、物流延期供货、设备参数不符、偷工减料问题制定处置方案及赔付保障条款，得2分； 3、承诺针对本项目破捆机、粉碎机、灭菌转输设备、缓冲仓、灭菌机、转输设备、搅拌床、脱水机、菌剂储存槽、液体灌装机、制粒机、空压机、中控制系统等成套生产设备故障、运行异常问题制定专项应急处置措施，得2分。 注：须附上对应有效承诺书，承诺内容不全、未提交承诺书的，该项不予计分。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6、应急保障承诺.docx</w:t>
            </w:r>
          </w:p>
        </w:tc>
      </w:tr>
      <w:tr>
        <w:tc>
          <w:tcPr>
            <w:tcW w:type="dxa" w:w="831"/>
            <w:vMerge/>
          </w:tcPr>
          <w:p/>
        </w:tc>
        <w:tc>
          <w:tcPr>
            <w:tcW w:type="dxa" w:w="1661"/>
          </w:tcPr>
          <w:p>
            <w:pPr>
              <w:pStyle w:val="null3"/>
            </w:pPr>
            <w:r>
              <w:rPr>
                <w:rFonts w:ascii="仿宋_GB2312" w:hAnsi="仿宋_GB2312" w:cs="仿宋_GB2312" w:eastAsia="仿宋_GB2312"/>
              </w:rPr>
              <w:t>设备配置保障措施</w:t>
            </w:r>
          </w:p>
        </w:tc>
        <w:tc>
          <w:tcPr>
            <w:tcW w:type="dxa" w:w="2492"/>
          </w:tcPr>
          <w:p>
            <w:pPr>
              <w:pStyle w:val="null3"/>
            </w:pPr>
            <w:r>
              <w:rPr>
                <w:rFonts w:ascii="仿宋_GB2312" w:hAnsi="仿宋_GB2312" w:cs="仿宋_GB2312" w:eastAsia="仿宋_GB2312"/>
              </w:rPr>
              <w:t>一、评审内容：根据项目实际需求，编制设备配置保障措施，包含但不限于①产品稳定性保障措施；②产品按时维护、保养保障措施。 二、评审标准：1. 完整性：方案须全面，对上述各项内容均有描述及说明；2. 可实施性：切合本项目实际情况，实施步骤清晰、合理，可实施性强；3. 针对性：方案能够紧扣项目实际情况，内容科学合理，针对性强。 三、赋分标准（满分 5 分）①产品稳定性保障措施：完全满足评审标准得1.5- 2.5 分，基本满足得 0.5-1.5 分，不满足得 0 分；②产品按时维护、保养保障措施：完全满足评审标准得 1.5-2.5 分，基本满足得 0.5-1.5分，不满足得 0 分；未提供完整方案本项不得分，本项总分最高 5 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7、设备配置保障措施.docx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一、评审内容：针对本项目提供培训方案，为采购人培训操作维护人员，保障设备正常使用，须完整包含①培训内容、②培训计划安排两项核心内容。二、评审标准：1. 完整性：方案须全面，对上述各项内容均有描述及说明；2. 可实施性：切合本项目实际情况，实施步骤清晰、合理，可实施性强；3. 针对性：方案能够紧扣项目实际情况，内容科学合理，针对性强。 三、赋分标准（满分 3分）①培训内容：每满足一项评审标准得0.5分，满分1.5分；不满足得 0 分；②培训计划安排两项核心内容：每满足一项评审标准得0.5分，满分1.5分；不满足得 0 分；未提供完整方案本项不得分，本项总分最高 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8、培训方案.docx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价格分统一采用低价优先法计算，即满足招标文件要求且最终报价最低的投标报价为评标基准价，其价格分为满分。其他供应商的价格分统一按照下列公式计算： 价格分=(评标基准价／投标报价)×30 注：1.计算分数时四舍五入取小数点后两位。 2.符合采购优惠政策的按政策执行。 3.投标报价不完整的，不进入评标标准价的计算，本项得0分。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详见附件：1、类似业绩情况表.docx</w:t>
      </w:r>
    </w:p>
    <w:p>
      <w:pPr>
        <w:pStyle w:val="null3"/>
        <w:ind w:firstLine="960"/>
      </w:pPr>
      <w:r>
        <w:rPr>
          <w:rFonts w:ascii="仿宋_GB2312" w:hAnsi="仿宋_GB2312" w:cs="仿宋_GB2312" w:eastAsia="仿宋_GB2312"/>
        </w:rPr>
        <w:t>详见附件：2、供货渠道及产品备件配备.docx</w:t>
      </w:r>
    </w:p>
    <w:p>
      <w:pPr>
        <w:pStyle w:val="null3"/>
        <w:ind w:firstLine="960"/>
      </w:pPr>
      <w:r>
        <w:rPr>
          <w:rFonts w:ascii="仿宋_GB2312" w:hAnsi="仿宋_GB2312" w:cs="仿宋_GB2312" w:eastAsia="仿宋_GB2312"/>
        </w:rPr>
        <w:t>详见附件：3、供货方案.docx</w:t>
      </w:r>
    </w:p>
    <w:p>
      <w:pPr>
        <w:pStyle w:val="null3"/>
        <w:ind w:firstLine="960"/>
      </w:pPr>
      <w:r>
        <w:rPr>
          <w:rFonts w:ascii="仿宋_GB2312" w:hAnsi="仿宋_GB2312" w:cs="仿宋_GB2312" w:eastAsia="仿宋_GB2312"/>
        </w:rPr>
        <w:t>详见附件：4、质量保证方案.docx</w:t>
      </w:r>
    </w:p>
    <w:p>
      <w:pPr>
        <w:pStyle w:val="null3"/>
        <w:ind w:firstLine="960"/>
      </w:pPr>
      <w:r>
        <w:rPr>
          <w:rFonts w:ascii="仿宋_GB2312" w:hAnsi="仿宋_GB2312" w:cs="仿宋_GB2312" w:eastAsia="仿宋_GB2312"/>
        </w:rPr>
        <w:t>详见附件：5、售后服务.docx</w:t>
      </w:r>
    </w:p>
    <w:p>
      <w:pPr>
        <w:pStyle w:val="null3"/>
        <w:ind w:firstLine="960"/>
      </w:pPr>
      <w:r>
        <w:rPr>
          <w:rFonts w:ascii="仿宋_GB2312" w:hAnsi="仿宋_GB2312" w:cs="仿宋_GB2312" w:eastAsia="仿宋_GB2312"/>
        </w:rPr>
        <w:t>详见附件：6、应急保障承诺.docx</w:t>
      </w:r>
    </w:p>
    <w:p>
      <w:pPr>
        <w:pStyle w:val="null3"/>
        <w:ind w:firstLine="960"/>
      </w:pPr>
      <w:r>
        <w:rPr>
          <w:rFonts w:ascii="仿宋_GB2312" w:hAnsi="仿宋_GB2312" w:cs="仿宋_GB2312" w:eastAsia="仿宋_GB2312"/>
        </w:rPr>
        <w:t>详见附件：7、设备配置保障措施.docx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详见附件：提供投标保证金缴纳凭证.docx</w:t>
      </w:r>
    </w:p>
    <w:p>
      <w:pPr>
        <w:pStyle w:val="null3"/>
        <w:ind w:firstLine="960"/>
      </w:pPr>
      <w:r>
        <w:rPr>
          <w:rFonts w:ascii="仿宋_GB2312" w:hAnsi="仿宋_GB2312" w:cs="仿宋_GB2312" w:eastAsia="仿宋_GB2312"/>
        </w:rPr>
        <w:t>详见附件：其他材料及供应商认为有必要说明、阐述的事项.docx</w:t>
      </w:r>
    </w:p>
    <w:p>
      <w:pPr>
        <w:pStyle w:val="null3"/>
        <w:ind w:firstLine="960"/>
      </w:pPr>
      <w:r>
        <w:rPr>
          <w:rFonts w:ascii="仿宋_GB2312" w:hAnsi="仿宋_GB2312" w:cs="仿宋_GB2312" w:eastAsia="仿宋_GB2312"/>
        </w:rPr>
        <w:t>详见附件：技术参数偏离表.docx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详见附件：政府采购合同格式（货物）.docx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