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版本号：THJT2026ZC-01720260727001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洋县2026年中央财政森林修复（森林可持续经营）项目作业设计编制服务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THJT2026ZC-017</w:t>
      </w:r>
      <w:r>
        <w:br/>
      </w:r>
      <w:r>
        <w:br/>
      </w:r>
      <w:r>
        <w:br/>
      </w:r>
    </w:p>
    <w:p>
      <w:pPr>
        <w:pStyle w:val="null3"/>
        <w:jc w:val="center"/>
        <w:outlineLvl w:val="2"/>
      </w:pPr>
      <w:r>
        <w:rPr>
          <w:rFonts w:ascii="仿宋_GB2312" w:hAnsi="仿宋_GB2312" w:cs="仿宋_GB2312" w:eastAsia="仿宋_GB2312"/>
          <w:sz w:val="28"/>
          <w:b/>
        </w:rPr>
        <w:t>洋县林业局（机关）</w:t>
      </w:r>
    </w:p>
    <w:p>
      <w:pPr>
        <w:pStyle w:val="null3"/>
        <w:jc w:val="center"/>
        <w:outlineLvl w:val="2"/>
      </w:pPr>
      <w:r>
        <w:rPr>
          <w:rFonts w:ascii="仿宋_GB2312" w:hAnsi="仿宋_GB2312" w:cs="仿宋_GB2312" w:eastAsia="仿宋_GB2312"/>
          <w:sz w:val="28"/>
          <w:b/>
        </w:rPr>
        <w:t>陕西天恒金泰项目管理有限公司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陕西天恒金泰项目管理有限公司</w:t>
      </w:r>
      <w:r>
        <w:rPr>
          <w:rFonts w:ascii="仿宋_GB2312" w:hAnsi="仿宋_GB2312" w:cs="仿宋_GB2312" w:eastAsia="仿宋_GB2312"/>
        </w:rPr>
        <w:t>（以下简称“代理机构”）受</w:t>
      </w:r>
      <w:r>
        <w:rPr>
          <w:rFonts w:ascii="仿宋_GB2312" w:hAnsi="仿宋_GB2312" w:cs="仿宋_GB2312" w:eastAsia="仿宋_GB2312"/>
        </w:rPr>
        <w:t>洋县林业局（机关）</w:t>
      </w:r>
      <w:r>
        <w:rPr>
          <w:rFonts w:ascii="仿宋_GB2312" w:hAnsi="仿宋_GB2312" w:cs="仿宋_GB2312" w:eastAsia="仿宋_GB2312"/>
        </w:rPr>
        <w:t>委托，拟对</w:t>
      </w:r>
      <w:r>
        <w:rPr>
          <w:rFonts w:ascii="仿宋_GB2312" w:hAnsi="仿宋_GB2312" w:cs="仿宋_GB2312" w:eastAsia="仿宋_GB2312"/>
        </w:rPr>
        <w:t>洋县2026年中央财政森林修复（森林可持续经营）项目作业设计编制服务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THJT2026ZC-017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洋县2026年中央财政森林修复（森林可持续经营）项目作业设计编制服务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对5万亩林地开展外业调查，编制项目作业设 计文件，包括设计文本、设计图、矢量数据库、施工图及投资概算等，并配合完成评审及后续服务事项。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采购包1（洋县2026年中央财政森林修复（森林可持续经营）项目作业设计编制服务）：属于专门面向中小企业采购。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2、法定代表人或委托代理人身份证明：法定代表人参加磋商须提供《法定代表人身份证明》及身份证复印件；法定代表人授权他人参加磋商，须提供《法定代表人授权委托书》、委托代理人身份证复印件；</w:t>
      </w:r>
    </w:p>
    <w:p>
      <w:pPr>
        <w:pStyle w:val="null3"/>
      </w:pPr>
      <w:r>
        <w:rPr>
          <w:rFonts w:ascii="仿宋_GB2312" w:hAnsi="仿宋_GB2312" w:cs="仿宋_GB2312" w:eastAsia="仿宋_GB2312"/>
        </w:rPr>
        <w:t>3、供应商资格承诺函：供应商须提供《汉中市政府采购供应商资格承诺函》并加盖公章；</w:t>
      </w:r>
    </w:p>
    <w:p>
      <w:pPr>
        <w:pStyle w:val="null3"/>
      </w:pPr>
      <w:r>
        <w:rPr>
          <w:rFonts w:ascii="仿宋_GB2312" w:hAnsi="仿宋_GB2312" w:cs="仿宋_GB2312" w:eastAsia="仿宋_GB2312"/>
        </w:rPr>
        <w:t>4、供应商资格证书：供应商须具备林业调查规划设计资质丙级及以上资质；</w:t>
      </w:r>
    </w:p>
    <w:p>
      <w:pPr>
        <w:pStyle w:val="null3"/>
      </w:pPr>
      <w:r>
        <w:rPr>
          <w:rFonts w:ascii="仿宋_GB2312" w:hAnsi="仿宋_GB2312" w:cs="仿宋_GB2312" w:eastAsia="仿宋_GB2312"/>
        </w:rPr>
        <w:t>5、拟派项目负责人：项目负责人具备林业相关专业中级及以上技术职称；</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洋县林业局（机关）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汉中市洋县戚氏镇竹园村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0916-8212316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陕西天恒金泰项目管理有限公司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陕西省汉中市汉台区太白路252号百嘉汇广场B 座14楼0201室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邓工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0916-8836688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张博今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15591616813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开户名称：陕西天恒金泰项目管理有限公司</w:t>
            </w:r>
          </w:p>
          <w:p>
            <w:pPr>
              <w:pStyle w:val="null3"/>
            </w:pPr>
            <w:r>
              <w:rPr>
                <w:rFonts w:ascii="仿宋_GB2312" w:hAnsi="仿宋_GB2312" w:cs="仿宋_GB2312" w:eastAsia="仿宋_GB2312"/>
              </w:rPr>
              <w:t>开户银行：农行汉中天台路支行</w:t>
            </w:r>
          </w:p>
          <w:p>
            <w:pPr>
              <w:pStyle w:val="null3"/>
            </w:pPr>
            <w:r>
              <w:rPr>
                <w:rFonts w:ascii="仿宋_GB2312" w:hAnsi="仿宋_GB2312" w:cs="仿宋_GB2312" w:eastAsia="仿宋_GB2312"/>
              </w:rPr>
              <w:t>银行账号：26653001040011635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代理服务费收费标准：代理服务费收费标准：参照国家计委颁发的《招标代理服务收费管理暂行办法》（计价格【2002】1980号）和《关于招标代理服务费收费有关问题的通知》（发改办价格【2023】875号标准收取。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洋县林业局（机关）</w:t>
      </w:r>
      <w:r>
        <w:rPr>
          <w:rFonts w:ascii="仿宋_GB2312" w:hAnsi="仿宋_GB2312" w:cs="仿宋_GB2312" w:eastAsia="仿宋_GB2312"/>
        </w:rPr>
        <w:t>和</w:t>
      </w:r>
      <w:r>
        <w:rPr>
          <w:rFonts w:ascii="仿宋_GB2312" w:hAnsi="仿宋_GB2312" w:cs="仿宋_GB2312" w:eastAsia="仿宋_GB2312"/>
        </w:rPr>
        <w:t>陕西天恒金泰项目管理有限公司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洋县林业局（机关）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陕西天恒金泰项目管理有限公司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洋县林业局（机关）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陕西天恒金泰项目管理有限公司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设计符合国家标准及行业规范，配合完成评审及后续服务事项</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陕西天恒金泰项目管理有限公司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陕西天恒金泰项目管理有限公司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陕西天恒金泰项目管理有限公司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联系人：邓攀</w:t>
      </w:r>
    </w:p>
    <w:p>
      <w:pPr>
        <w:pStyle w:val="null3"/>
      </w:pPr>
      <w:r>
        <w:rPr>
          <w:rFonts w:ascii="仿宋_GB2312" w:hAnsi="仿宋_GB2312" w:cs="仿宋_GB2312" w:eastAsia="仿宋_GB2312"/>
        </w:rPr>
        <w:t>联系电话：0916-8836688</w:t>
      </w:r>
    </w:p>
    <w:p>
      <w:pPr>
        <w:pStyle w:val="null3"/>
      </w:pPr>
      <w:r>
        <w:rPr>
          <w:rFonts w:ascii="仿宋_GB2312" w:hAnsi="仿宋_GB2312" w:cs="仿宋_GB2312" w:eastAsia="仿宋_GB2312"/>
        </w:rPr>
        <w:t>地址：汉中市汉台区太白路百嘉汇广场B 座14楼0201室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5万亩林地开展外业调查，编制项目作业设 计文件，包括设计文本、设计图、矢量数据库、施工图及投资概算等，并配合完成评审及后续服务事项。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洋县2026年中央财政森林修复(森林可持续经营)项目作业设计编制服务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标的名称：洋县2026年中央财政森林修复(森林可持续经营)项目作业设计编制服务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color w:val="000000"/>
              </w:rPr>
              <w:t>对</w:t>
            </w:r>
            <w:r>
              <w:rPr>
                <w:rFonts w:ascii="仿宋_GB2312" w:hAnsi="仿宋_GB2312" w:cs="仿宋_GB2312" w:eastAsia="仿宋_GB2312"/>
                <w:sz w:val="24"/>
                <w:color w:val="000000"/>
              </w:rPr>
              <w:t>5万亩林地开展外业调查，编制项目作业设计文件，包括设计文本、设计图、矢量数据库、施工图及投资概算等，并配合完成评审及后续服务事项。</w:t>
            </w:r>
          </w:p>
          <w:p>
            <w:pPr>
              <w:pStyle w:val="null3"/>
            </w:pPr>
            <w:r>
              <w:rPr>
                <w:rFonts w:ascii="仿宋_GB2312" w:hAnsi="仿宋_GB2312" w:cs="仿宋_GB2312" w:eastAsia="仿宋_GB2312"/>
                <w:sz w:val="24"/>
                <w:color w:val="000000"/>
              </w:rPr>
              <w:t>依据国家林草局</w:t>
            </w:r>
            <w:r>
              <w:rPr>
                <w:rFonts w:ascii="仿宋_GB2312" w:hAnsi="仿宋_GB2312" w:cs="仿宋_GB2312" w:eastAsia="仿宋_GB2312"/>
                <w:sz w:val="24"/>
                <w:color w:val="000000"/>
              </w:rPr>
              <w:t>《国土绿化项目作业设计管理规定》</w:t>
            </w:r>
            <w:r>
              <w:rPr>
                <w:rFonts w:ascii="仿宋_GB2312" w:hAnsi="仿宋_GB2312" w:cs="仿宋_GB2312" w:eastAsia="仿宋_GB2312"/>
                <w:sz w:val="24"/>
                <w:color w:val="000000"/>
              </w:rPr>
              <w:t>、</w:t>
            </w:r>
            <w:r>
              <w:rPr>
                <w:rFonts w:ascii="仿宋_GB2312" w:hAnsi="仿宋_GB2312" w:cs="仿宋_GB2312" w:eastAsia="仿宋_GB2312"/>
                <w:sz w:val="24"/>
                <w:color w:val="000000"/>
              </w:rPr>
              <w:t>《森林抚育规程》等相关行</w:t>
            </w:r>
            <w:r>
              <w:rPr>
                <w:rFonts w:ascii="仿宋_GB2312" w:hAnsi="仿宋_GB2312" w:cs="仿宋_GB2312" w:eastAsia="仿宋_GB2312"/>
                <w:sz w:val="24"/>
                <w:color w:val="000000"/>
              </w:rPr>
              <w:t>业规范要求，结合项目区林分现状，科学编制</w:t>
            </w:r>
            <w:r>
              <w:rPr>
                <w:rFonts w:ascii="仿宋_GB2312" w:hAnsi="仿宋_GB2312" w:cs="仿宋_GB2312" w:eastAsia="仿宋_GB2312"/>
                <w:sz w:val="24"/>
                <w:color w:val="000000"/>
              </w:rPr>
              <w:t>作业设计文件，精准提出疏伐、修枝、割灌、补植等抚育措施；明确每一地块的位置、面积、现状信息，合理计算各项工程量及投资概算；形成指导项目施工的技术性文件，确保项目作业科学规范实施。顺利通过国家、省、市上级部门的</w:t>
            </w:r>
            <w:r>
              <w:rPr>
                <w:rFonts w:ascii="仿宋_GB2312" w:hAnsi="仿宋_GB2312" w:cs="仿宋_GB2312" w:eastAsia="仿宋_GB2312"/>
                <w:sz w:val="24"/>
                <w:color w:val="000000"/>
              </w:rPr>
              <w:t>审核及</w:t>
            </w:r>
            <w:r>
              <w:rPr>
                <w:rFonts w:ascii="仿宋_GB2312" w:hAnsi="仿宋_GB2312" w:cs="仿宋_GB2312" w:eastAsia="仿宋_GB2312"/>
                <w:sz w:val="24"/>
                <w:color w:val="000000"/>
              </w:rPr>
              <w:t>验收。</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为保证本项目顺利实施，符合国家标准及行业规范，供应商应根据本项目规模，配备相关专业的技术人员以满足设计需求。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为保证本项目顺利实施，符合国家标准及行业规范，供应商应根据本项目规模，配备相关专业设备以满足设计需求。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满足采购文件要求，符合国家标准及行业规范</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 30 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完成5万亩林地外业调查，编制项目作业设计文件，包括设计文本、设计图、矢量数据库、施工图及投资概算等，并配合完成评审及后续服务事项。</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进度款，项目通过市级林业部门评审并协助完成后续服务事项，达到付款条件起7个工作日内，支付合同总金额的70.0%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合同履行发生争议，双方优先协商解决；协商不成，向项目所在地人民法院提起诉讼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满足采购文件要求，符合国家标准及行业规范</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供应商须提供《汉中市政府采购供应商资格承诺函》并加盖公章。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法定代表人或委托代理人身份证明</w:t>
            </w:r>
          </w:p>
        </w:tc>
        <w:tc>
          <w:tcPr>
            <w:tcW w:type="dxa" w:w="3322"/>
          </w:tcPr>
          <w:p>
            <w:pPr>
              <w:pStyle w:val="null3"/>
            </w:pPr>
            <w:r>
              <w:rPr>
                <w:rFonts w:ascii="仿宋_GB2312" w:hAnsi="仿宋_GB2312" w:cs="仿宋_GB2312" w:eastAsia="仿宋_GB2312"/>
              </w:rPr>
              <w:t>法定代表人参加磋商须提供《法定代表人身份证明》及身份证复印件；法定代表人授权他人参加磋商，须提供《法定代表人授权委托书》、委托代理人身份证复印件；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供应商须提供《汉中市政府采购供应商资格承诺函》并加盖公章；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供应商资格证书</w:t>
            </w:r>
          </w:p>
        </w:tc>
        <w:tc>
          <w:tcPr>
            <w:tcW w:type="dxa" w:w="3322"/>
          </w:tcPr>
          <w:p>
            <w:pPr>
              <w:pStyle w:val="null3"/>
            </w:pPr>
            <w:r>
              <w:rPr>
                <w:rFonts w:ascii="仿宋_GB2312" w:hAnsi="仿宋_GB2312" w:cs="仿宋_GB2312" w:eastAsia="仿宋_GB2312"/>
              </w:rPr>
              <w:t>供应商须具备林业调查规划设计资质丙级及以上资质；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拟派项目负责人</w:t>
            </w:r>
          </w:p>
        </w:tc>
        <w:tc>
          <w:tcPr>
            <w:tcW w:type="dxa" w:w="3322"/>
          </w:tcPr>
          <w:p>
            <w:pPr>
              <w:pStyle w:val="null3"/>
            </w:pPr>
            <w:r>
              <w:rPr>
                <w:rFonts w:ascii="仿宋_GB2312" w:hAnsi="仿宋_GB2312" w:cs="仿宋_GB2312" w:eastAsia="仿宋_GB2312"/>
              </w:rPr>
              <w:t>项目负责人具备林业相关专业中级及以上技术职称；</w:t>
            </w:r>
          </w:p>
        </w:tc>
        <w:tc>
          <w:tcPr>
            <w:tcW w:type="dxa" w:w="1661"/>
          </w:tcPr>
          <w:p>
            <w:pPr>
              <w:pStyle w:val="null3"/>
            </w:pPr>
            <w:r>
              <w:rPr>
                <w:rFonts w:ascii="仿宋_GB2312" w:hAnsi="仿宋_GB2312" w:cs="仿宋_GB2312" w:eastAsia="仿宋_GB2312"/>
              </w:rPr>
              <w:t>供应商应提交的相关资格证明材料 项目管理机构及人员简历表</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符合竞争性磋商文件的实质性要求</w:t>
            </w:r>
          </w:p>
        </w:tc>
        <w:tc>
          <w:tcPr>
            <w:tcW w:type="dxa" w:w="3322"/>
          </w:tcPr>
          <w:p>
            <w:pPr>
              <w:pStyle w:val="null3"/>
            </w:pPr>
            <w:r>
              <w:rPr>
                <w:rFonts w:ascii="仿宋_GB2312" w:hAnsi="仿宋_GB2312" w:cs="仿宋_GB2312" w:eastAsia="仿宋_GB2312"/>
              </w:rPr>
              <w:t>供应商按照采购文件的要求上传响应文件</w:t>
            </w:r>
          </w:p>
        </w:tc>
        <w:tc>
          <w:tcPr>
            <w:tcW w:type="dxa" w:w="1661"/>
          </w:tcPr>
          <w:p>
            <w:pPr>
              <w:pStyle w:val="null3"/>
            </w:pPr>
            <w:r>
              <w:rPr>
                <w:rFonts w:ascii="仿宋_GB2312" w:hAnsi="仿宋_GB2312" w:cs="仿宋_GB2312" w:eastAsia="仿宋_GB2312"/>
              </w:rPr>
              <w:t>中小企业声明函 商务应答表 服务内容及服务要求应答表 供应商应提交的相关资格证明材料 报价表 供应商业绩 响应文件封面 残疾人福利性单位声明函 服务方案 标的清单 响应函 监狱企业的证明文件 项目管理机构及人员简历表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响应文件的签字、盖章</w:t>
            </w:r>
          </w:p>
        </w:tc>
        <w:tc>
          <w:tcPr>
            <w:tcW w:type="dxa" w:w="3322"/>
          </w:tcPr>
          <w:p>
            <w:pPr>
              <w:pStyle w:val="null3"/>
            </w:pPr>
            <w:r>
              <w:rPr>
                <w:rFonts w:ascii="仿宋_GB2312" w:hAnsi="仿宋_GB2312" w:cs="仿宋_GB2312" w:eastAsia="仿宋_GB2312"/>
              </w:rPr>
              <w:t>响应文件的签字、盖章符合磋商文件要求。</w:t>
            </w:r>
          </w:p>
        </w:tc>
        <w:tc>
          <w:tcPr>
            <w:tcW w:type="dxa" w:w="1661"/>
          </w:tcPr>
          <w:p>
            <w:pPr>
              <w:pStyle w:val="null3"/>
            </w:pPr>
            <w:r>
              <w:rPr>
                <w:rFonts w:ascii="仿宋_GB2312" w:hAnsi="仿宋_GB2312" w:cs="仿宋_GB2312" w:eastAsia="仿宋_GB2312"/>
              </w:rPr>
              <w:t>中小企业声明函 商务应答表 服务内容及服务要求应答表 供应商应提交的相关资格证明材料 报价表 供应商业绩 响应文件封面 残疾人福利性单位声明函 服务方案 标的清单 响应函 监狱企业的证明文件 项目管理机构及人员简历表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响应有效期满足磋商文件要求</w:t>
            </w:r>
          </w:p>
        </w:tc>
        <w:tc>
          <w:tcPr>
            <w:tcW w:type="dxa" w:w="1661"/>
          </w:tcPr>
          <w:p>
            <w:pPr>
              <w:pStyle w:val="null3"/>
            </w:pPr>
            <w:r>
              <w:rPr>
                <w:rFonts w:ascii="仿宋_GB2312" w:hAnsi="仿宋_GB2312" w:cs="仿宋_GB2312" w:eastAsia="仿宋_GB2312"/>
              </w:rPr>
              <w:t>响应文件封面 供应商应提交的相关资格证明材料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技术及商务要求</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商务应答表 服务方案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符合法律、法规和磋商文件中规定的其他实质性要求</w:t>
            </w:r>
          </w:p>
        </w:tc>
        <w:tc>
          <w:tcPr>
            <w:tcW w:type="dxa" w:w="3322"/>
          </w:tcPr>
          <w:p>
            <w:pPr>
              <w:pStyle w:val="null3"/>
            </w:pPr>
            <w:r>
              <w:rPr>
                <w:rFonts w:ascii="仿宋_GB2312" w:hAnsi="仿宋_GB2312" w:cs="仿宋_GB2312" w:eastAsia="仿宋_GB2312"/>
              </w:rPr>
              <w:t>响应文件是否符合法律、法规和磋商文件中规定的其他实质性要求</w:t>
            </w:r>
          </w:p>
        </w:tc>
        <w:tc>
          <w:tcPr>
            <w:tcW w:type="dxa" w:w="1661"/>
          </w:tcPr>
          <w:p>
            <w:pPr>
              <w:pStyle w:val="null3"/>
            </w:pPr>
            <w:r>
              <w:rPr>
                <w:rFonts w:ascii="仿宋_GB2312" w:hAnsi="仿宋_GB2312" w:cs="仿宋_GB2312" w:eastAsia="仿宋_GB2312"/>
              </w:rPr>
              <w:t>中小企业声明函 商务应答表 服务内容及服务要求应答表 供应商应提交的相关资格证明材料 报价表 供应商业绩 响应文件封面 残疾人福利性单位声明函 服务方案 标的清单 响应函 监狱企业的证明文件 项目管理机构及人员简历表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企业类似项目业绩</w:t>
            </w:r>
          </w:p>
        </w:tc>
        <w:tc>
          <w:tcPr>
            <w:tcW w:type="dxa" w:w="2492"/>
          </w:tcPr>
          <w:p>
            <w:pPr>
              <w:pStyle w:val="null3"/>
            </w:pPr>
            <w:r>
              <w:rPr>
                <w:rFonts w:ascii="仿宋_GB2312" w:hAnsi="仿宋_GB2312" w:cs="仿宋_GB2312" w:eastAsia="仿宋_GB2312"/>
              </w:rPr>
              <w:t>供应商近3年承担过类似业绩每个业绩得2.5分，本项最高得5分。业绩材料：提供合同复印件加盖公章，时间以合同签订时间为准（合同须体现合同金额、合同内容、签字盖章页、合同签订日期）。</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供应商业绩</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具有林业相关专业高级及以上职称的得5分。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项目管理机构及人员简历表</w:t>
            </w:r>
          </w:p>
        </w:tc>
      </w:tr>
      <w:tr>
        <w:tc>
          <w:tcPr>
            <w:tcW w:type="dxa" w:w="831"/>
            <w:vMerge/>
          </w:tcPr>
          <w:p/>
        </w:tc>
        <w:tc>
          <w:tcPr>
            <w:tcW w:type="dxa" w:w="1661"/>
          </w:tcPr>
          <w:p>
            <w:pPr>
              <w:pStyle w:val="null3"/>
            </w:pPr>
            <w:r>
              <w:rPr>
                <w:rFonts w:ascii="仿宋_GB2312" w:hAnsi="仿宋_GB2312" w:cs="仿宋_GB2312" w:eastAsia="仿宋_GB2312"/>
              </w:rPr>
              <w:t>其他主要人员资历</w:t>
            </w:r>
          </w:p>
        </w:tc>
        <w:tc>
          <w:tcPr>
            <w:tcW w:type="dxa" w:w="2492"/>
          </w:tcPr>
          <w:p>
            <w:pPr>
              <w:pStyle w:val="null3"/>
            </w:pPr>
            <w:r>
              <w:rPr>
                <w:rFonts w:ascii="仿宋_GB2312" w:hAnsi="仿宋_GB2312" w:cs="仿宋_GB2312" w:eastAsia="仿宋_GB2312"/>
              </w:rPr>
              <w:t>①针对本项目的提供科学合理的团队，人员结构合理、职责明确。人员配备充足，配置合理全面，能全面高效地完成本项目，提供团队人员（项目负责人除外）人数5人以下得3分；满足5人的得5分。每多增加1个人加1分，本项最多得8分。 ②供应商拟投入本项目的团队人员(项目负责人除外)，每具有1名林业相关专业中级职称的，得2分；每具有1名林业相关专业高级职称得4分。本项最高得16分。 证明材料：须提供拟派人员身份证及职称证，未提供的不得分。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项目管理机构及人员简历表</w:t>
            </w:r>
          </w:p>
        </w:tc>
      </w:tr>
      <w:tr>
        <w:tc>
          <w:tcPr>
            <w:tcW w:type="dxa" w:w="831"/>
            <w:vMerge/>
          </w:tcPr>
          <w:p/>
        </w:tc>
        <w:tc>
          <w:tcPr>
            <w:tcW w:type="dxa" w:w="1661"/>
          </w:tcPr>
          <w:p>
            <w:pPr>
              <w:pStyle w:val="null3"/>
            </w:pPr>
            <w:r>
              <w:rPr>
                <w:rFonts w:ascii="仿宋_GB2312" w:hAnsi="仿宋_GB2312" w:cs="仿宋_GB2312" w:eastAsia="仿宋_GB2312"/>
              </w:rPr>
              <w:t>专业林业软硬件设备配置</w:t>
            </w:r>
          </w:p>
        </w:tc>
        <w:tc>
          <w:tcPr>
            <w:tcW w:type="dxa" w:w="2492"/>
          </w:tcPr>
          <w:p>
            <w:pPr>
              <w:pStyle w:val="null3"/>
            </w:pPr>
            <w:r>
              <w:rPr>
                <w:rFonts w:ascii="仿宋_GB2312" w:hAnsi="仿宋_GB2312" w:cs="仿宋_GB2312" w:eastAsia="仿宋_GB2312"/>
              </w:rPr>
              <w:t>具备无人机测绘设备、林地勘测仪器，具备编制小班矢量数据库、现状图、设计图条件及能力。 能提供购置发票或租赁协议，齐全得6分，部分具备得3分，无得 0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供应商应提交的相关资格证明材料</w:t>
            </w:r>
          </w:p>
        </w:tc>
      </w:tr>
      <w:tr>
        <w:tc>
          <w:tcPr>
            <w:tcW w:type="dxa" w:w="831"/>
            <w:vMerge/>
          </w:tcPr>
          <w:p/>
        </w:tc>
        <w:tc>
          <w:tcPr>
            <w:tcW w:type="dxa" w:w="1661"/>
          </w:tcPr>
          <w:p>
            <w:pPr>
              <w:pStyle w:val="null3"/>
            </w:pPr>
            <w:r>
              <w:rPr>
                <w:rFonts w:ascii="仿宋_GB2312" w:hAnsi="仿宋_GB2312" w:cs="仿宋_GB2312" w:eastAsia="仿宋_GB2312"/>
              </w:rPr>
              <w:t>方案总体内容</w:t>
            </w:r>
          </w:p>
        </w:tc>
        <w:tc>
          <w:tcPr>
            <w:tcW w:type="dxa" w:w="2492"/>
          </w:tcPr>
          <w:p>
            <w:pPr>
              <w:pStyle w:val="null3"/>
            </w:pPr>
            <w:r>
              <w:rPr>
                <w:rFonts w:ascii="仿宋_GB2312" w:hAnsi="仿宋_GB2312" w:cs="仿宋_GB2312" w:eastAsia="仿宋_GB2312"/>
              </w:rPr>
              <w:t>完整结合本区域林地现状、生态基底、经营规划、政策要求、匹配对应整体实施策略、统筹思路，内容详实贴合本项目实际。 （1）评审内容 结合本区域林业现状①项目理解；②工作思路；③合理化建议。 （2）评分标准 ①完整性：总体要求必须全面，对评审内容中的各项要求有详细描述； ②可实施性：切合本项目实际情况，提出切实可行、合理的方案； ③针对性：方案能够紧扣项目实际情况，内容科学合理。 （3）赋分标准(满分9分) ①项目理解：每完全满足一个评审标准得1分，满分3分； ②工作思路：每完全满足一个评审标准得1分，满分3分； ③合理化建议：每完全满足一个评审标准得1分，满分3分；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完整制定林地踏查、样地调查、植被核查、立地条件摸排、现状数据采集、点位复核全流程方案。 （1）评审内容 供应商针对本项目的整体服务方案，内容包含：①服务目标； ②服务实施步骤计划(流程)；③工作重点与难点分析及对应措施。 （2）评分标准 ①完整性：方案必须全面，对评审内容中的各项要求有详细描述； ②可实施性：切合本项目实际情况，提出切实可行、合理的方案； ③针对性：方案能够紧扣项目实际情况，内容科学合理。 （3）赋分标准(满分9分) ①服务目标：每完全满足一个评审标准得 1分，满分3 分； ②服务实施步骤计划：每完全满足一个评审标准得1 分，满分3分； ③工作重点与难点分析及对应措施：每完全满足一个评审标准得 1 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（1）供应商针对本项目的服务保障措施，内容包含：①质量保障措施；②安全保障措施；③进度保障措施； （2）评分标准 ①完整性：保障措施必须全面，对评审内容中的各项要求有详细描述； ②可实施性：切合本项目实际情况，提出切实可行、合理的保障措施； ③针对性：保障措施能够紧扣项目实际情况，内容科学合理。 （3）赋分标准(满分9分) ①质量保障措施：每完全满足一个评审标准得 1 分，满分 3 分； ②安全保障措施：每完全满足一个评审标准得 1 分，满分 3 分； ③进度保障措施：每完全满足一个评审标准得 1 分，满分 3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服务承诺及保证措施</w:t>
            </w:r>
          </w:p>
        </w:tc>
        <w:tc>
          <w:tcPr>
            <w:tcW w:type="dxa" w:w="2492"/>
          </w:tcPr>
          <w:p>
            <w:pPr>
              <w:pStyle w:val="null3"/>
            </w:pPr>
            <w:r>
              <w:rPr>
                <w:rFonts w:ascii="仿宋_GB2312" w:hAnsi="仿宋_GB2312" w:cs="仿宋_GB2312" w:eastAsia="仿宋_GB2312"/>
              </w:rPr>
              <w:t>（1）针对本项目具有明确的服务承诺及保证措施：包含①服务承诺及保障；②成果报审修编；③后续配合服务措施。 （2）评分标准 ①完整性：总体要求必须全面，对评审内容中的各项要求有详细描述； ②可实施性：切合本项目实际情况，提出切实可行、合理的方案； ③针对性：方案能够紧扣项目实际情况，内容科学合理。 （3）赋分标准(满分9分) ①服务承诺及保证措施：每完全满足一个评审标准得 1 分，满分 3 分； ②成果报审修编：每完全满足一个评审标准得 1 分，满分 3 分； ③后续配合服务措施：每完全满足一个评审标准得 1 分，满分 3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项目风险预判与应急保障预案</w:t>
            </w:r>
          </w:p>
        </w:tc>
        <w:tc>
          <w:tcPr>
            <w:tcW w:type="dxa" w:w="2492"/>
          </w:tcPr>
          <w:p>
            <w:pPr>
              <w:pStyle w:val="null3"/>
            </w:pPr>
            <w:r>
              <w:rPr>
                <w:rFonts w:ascii="仿宋_GB2312" w:hAnsi="仿宋_GB2312" w:cs="仿宋_GB2312" w:eastAsia="仿宋_GB2312"/>
              </w:rPr>
              <w:t>（1）针对林地现场作业风险、气候天气影响、数据偏差、政策审核变动、工期延误等核心风险，全面预判并制定对应防控、应急处置、补救保障措施，预案针对性、实操性强，得4分； （2）可识别主要项目风险，具备基础应急措施，但防控细节不完善，得3分； （3）仅简单罗列风险类型，无对应处置预案，得2-1分； （4）未提供风险应急方案，本项不得分。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采用低价优先法计算，即满足磋商文件要求且价格最低的磋商报价为磋商基准价，其价格分为满分； 磋商报价得分＝（磋商基准价/最终磋商报价）×价格权值×100； 注：磋商小组认为供应商的报价明显低于其他通过符合性审查供应商的报价，有可能影响服务质量或者不能诚信履约的，应当要求其在磋商现场合理的时间内提供书面说明，必要时提交相关证明材料；供应商不能证明其报价合理性的，磋商小组应当将其作为废标处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详见附件：项目管理机构及人员简历表</w:t>
      </w:r>
    </w:p>
    <w:p>
      <w:pPr>
        <w:pStyle w:val="null3"/>
        <w:ind w:firstLine="960"/>
      </w:pPr>
      <w:r>
        <w:rPr>
          <w:rFonts w:ascii="仿宋_GB2312" w:hAnsi="仿宋_GB2312" w:cs="仿宋_GB2312" w:eastAsia="仿宋_GB2312"/>
        </w:rPr>
        <w:t>详见附件：供应商业绩</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详见附件：合同条款及合同文件格式.docx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