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w:t>
      </w:r>
      <w:r>
        <w:rPr>
          <w:rFonts w:hint="eastAsia" w:ascii="仿宋" w:hAnsi="仿宋" w:eastAsia="仿宋" w:cs="仿宋"/>
          <w:color w:val="auto"/>
          <w:highlight w:val="none"/>
          <w:lang w:val="en-US" w:eastAsia="zh-CN"/>
        </w:rPr>
        <w:t>、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w:t>
      </w:r>
      <w:r>
        <w:rPr>
          <w:rFonts w:hint="eastAsia" w:ascii="仿宋" w:hAnsi="仿宋" w:eastAsia="仿宋" w:cs="仿宋"/>
          <w:lang w:val="en-US" w:eastAsia="zh-CN"/>
        </w:rPr>
        <w:t>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F809240">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仿宋" w:hAnsi="仿宋" w:eastAsia="仿宋" w:cs="仿宋"/>
          <w:lang w:val="en-US" w:eastAsia="zh-CN"/>
        </w:rPr>
      </w:pPr>
      <w:r>
        <w:rPr>
          <w:rFonts w:hint="eastAsia" w:ascii="仿宋" w:hAnsi="仿宋" w:eastAsia="仿宋" w:cs="仿宋"/>
          <w:lang w:val="en-US" w:eastAsia="zh-CN"/>
        </w:rPr>
        <w:t>3.供应商资质：供应商应具有卫生行政部门颁发的《医疗机构执业许可证》及《放射诊疗许可证》。</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2"/>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2"/>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AC25151">
      <w:pPr>
        <w:rPr>
          <w:rFonts w:hint="eastAsia" w:ascii="仿宋" w:hAnsi="仿宋" w:eastAsia="仿宋" w:cs="仿宋"/>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2"/>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2D974187">
      <w:pPr>
        <w:keepNext w:val="0"/>
        <w:keepLines w:val="0"/>
        <w:widowControl/>
        <w:suppressLineNumbers w:val="0"/>
        <w:jc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b/>
          <w:bCs/>
          <w:sz w:val="28"/>
          <w:szCs w:val="28"/>
          <w:highlight w:val="none"/>
          <w:lang w:val="en-US" w:eastAsia="zh-CN"/>
        </w:rPr>
        <w:t>书面声明</w:t>
      </w:r>
      <w:bookmarkStart w:id="25" w:name="_GoBack"/>
      <w:bookmarkEnd w:id="25"/>
    </w:p>
    <w:p w14:paraId="59C3BA55">
      <w:pPr>
        <w:pStyle w:val="2"/>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3"/>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3"/>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3"/>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5CAC80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73E2C3F5">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C16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2026-08-20T08:38:08Z</dcterms:created>
  <dc:creator>PC</dc:creator>
  <cp:lastModifiedBy>doit</cp:lastModifiedBy>
  <dcterms:modified xsi:type="dcterms:W3CDTF">2026-08-20T08:38:25Z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C513EC7955174C3A90DB687B37F8B119_12</vt:lpwstr>
  </property>
</Properties>
</file>