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99364B">
      <w:pPr>
        <w:widowControl/>
        <w:jc w:val="center"/>
        <w:rPr>
          <w:rFonts w:hint="eastAsia" w:ascii="仿宋" w:hAnsi="仿宋" w:eastAsia="仿宋"/>
          <w:b/>
          <w:sz w:val="32"/>
          <w:szCs w:val="32"/>
          <w:lang w:val="en-US" w:eastAsia="zh-CN"/>
        </w:rPr>
      </w:pPr>
      <w:r>
        <w:rPr>
          <w:rFonts w:hint="eastAsia" w:ascii="仿宋" w:hAnsi="仿宋" w:eastAsia="仿宋"/>
          <w:b/>
          <w:sz w:val="32"/>
          <w:szCs w:val="32"/>
          <w:lang w:val="en-US" w:eastAsia="zh-CN"/>
        </w:rPr>
        <w:t>2026年阎良区残疾人职业技能和实用技术培训项目</w:t>
      </w:r>
    </w:p>
    <w:p w14:paraId="3CB3CF8F">
      <w:pPr>
        <w:widowControl/>
        <w:jc w:val="center"/>
      </w:pPr>
      <w:r>
        <w:rPr>
          <w:rFonts w:hint="eastAsia" w:ascii="仿宋" w:hAnsi="仿宋" w:eastAsia="仿宋"/>
          <w:b/>
          <w:sz w:val="32"/>
          <w:szCs w:val="32"/>
        </w:rPr>
        <w:t>需求书（服务类）</w:t>
      </w:r>
    </w:p>
    <w:tbl>
      <w:tblPr>
        <w:tblStyle w:val="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9"/>
        <w:gridCol w:w="1556"/>
        <w:gridCol w:w="7067"/>
      </w:tblGrid>
      <w:tr w14:paraId="1300D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6CE6A499">
            <w:pPr>
              <w:snapToGrid w:val="0"/>
              <w:jc w:val="center"/>
              <w:rPr>
                <w:rFonts w:ascii="宋体" w:hAnsi="宋体"/>
                <w:b/>
                <w:sz w:val="24"/>
              </w:rPr>
            </w:pPr>
            <w:r>
              <w:rPr>
                <w:rFonts w:hint="eastAsia" w:ascii="宋体" w:hAnsi="宋体"/>
                <w:b/>
                <w:sz w:val="28"/>
                <w:szCs w:val="28"/>
                <w:lang w:val="zh-CN"/>
              </w:rPr>
              <w:t>序号</w:t>
            </w:r>
          </w:p>
        </w:tc>
        <w:tc>
          <w:tcPr>
            <w:tcW w:w="1556" w:type="dxa"/>
            <w:vAlign w:val="center"/>
          </w:tcPr>
          <w:p w14:paraId="173722FB">
            <w:pPr>
              <w:pStyle w:val="31"/>
              <w:ind w:left="38"/>
              <w:jc w:val="center"/>
              <w:rPr>
                <w:b/>
                <w:kern w:val="2"/>
                <w:lang w:val="zh-CN"/>
              </w:rPr>
            </w:pPr>
            <w:r>
              <w:rPr>
                <w:rFonts w:hint="eastAsia"/>
                <w:b/>
                <w:kern w:val="2"/>
                <w:sz w:val="28"/>
                <w:szCs w:val="28"/>
                <w:lang w:val="zh-CN"/>
              </w:rPr>
              <w:t>关键事项</w:t>
            </w:r>
          </w:p>
        </w:tc>
        <w:tc>
          <w:tcPr>
            <w:tcW w:w="7067" w:type="dxa"/>
            <w:vAlign w:val="center"/>
          </w:tcPr>
          <w:p w14:paraId="283F01C6">
            <w:pPr>
              <w:pStyle w:val="31"/>
              <w:jc w:val="center"/>
              <w:rPr>
                <w:b/>
                <w:kern w:val="2"/>
                <w:lang w:val="zh-CN"/>
              </w:rPr>
            </w:pPr>
            <w:r>
              <w:rPr>
                <w:rFonts w:hint="eastAsia"/>
                <w:b/>
                <w:kern w:val="2"/>
                <w:sz w:val="28"/>
                <w:szCs w:val="28"/>
                <w:lang w:val="zh-CN"/>
              </w:rPr>
              <w:t>说明和要求</w:t>
            </w:r>
          </w:p>
        </w:tc>
      </w:tr>
      <w:tr w14:paraId="238E5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5A1C71A1">
            <w:pPr>
              <w:snapToGrid w:val="0"/>
              <w:spacing w:after="200"/>
              <w:jc w:val="center"/>
              <w:rPr>
                <w:rFonts w:ascii="宋体" w:hAnsi="宋体"/>
                <w:sz w:val="28"/>
                <w:szCs w:val="28"/>
                <w:lang w:val="zh-CN"/>
              </w:rPr>
            </w:pPr>
            <w:r>
              <w:rPr>
                <w:rFonts w:ascii="宋体" w:hAnsi="宋体"/>
                <w:sz w:val="28"/>
                <w:szCs w:val="28"/>
                <w:lang w:val="zh-CN"/>
              </w:rPr>
              <w:t>1</w:t>
            </w:r>
          </w:p>
        </w:tc>
        <w:tc>
          <w:tcPr>
            <w:tcW w:w="1556" w:type="dxa"/>
            <w:vAlign w:val="center"/>
          </w:tcPr>
          <w:p w14:paraId="792B41A6">
            <w:pPr>
              <w:pStyle w:val="31"/>
              <w:ind w:left="38"/>
              <w:jc w:val="center"/>
              <w:rPr>
                <w:kern w:val="2"/>
                <w:lang w:val="zh-CN"/>
              </w:rPr>
            </w:pPr>
            <w:r>
              <w:rPr>
                <w:rFonts w:hint="eastAsia"/>
                <w:kern w:val="2"/>
                <w:lang w:val="zh-CN"/>
              </w:rPr>
              <w:t>采购预算</w:t>
            </w:r>
          </w:p>
        </w:tc>
        <w:tc>
          <w:tcPr>
            <w:tcW w:w="7067" w:type="dxa"/>
            <w:vAlign w:val="center"/>
          </w:tcPr>
          <w:p w14:paraId="7D4A4843">
            <w:pPr>
              <w:pStyle w:val="31"/>
              <w:keepNext w:val="0"/>
              <w:keepLines w:val="0"/>
              <w:pageBreakBefore w:val="0"/>
              <w:widowControl w:val="0"/>
              <w:kinsoku/>
              <w:wordWrap/>
              <w:overflowPunct/>
              <w:topLinePunct w:val="0"/>
              <w:autoSpaceDE w:val="0"/>
              <w:autoSpaceDN w:val="0"/>
              <w:bidi w:val="0"/>
              <w:adjustRightInd w:val="0"/>
              <w:snapToGrid/>
              <w:spacing w:line="400" w:lineRule="exact"/>
              <w:jc w:val="both"/>
              <w:textAlignment w:val="auto"/>
              <w:rPr>
                <w:b/>
                <w:kern w:val="2"/>
                <w:lang w:val="zh-CN"/>
              </w:rPr>
            </w:pPr>
            <w:r>
              <w:rPr>
                <w:rFonts w:hint="eastAsia"/>
                <w:b/>
                <w:kern w:val="2"/>
                <w:lang w:val="zh-CN"/>
              </w:rPr>
              <w:t>人民币</w:t>
            </w:r>
            <w:r>
              <w:rPr>
                <w:rFonts w:hint="eastAsia"/>
                <w:b/>
                <w:kern w:val="2"/>
                <w:u w:val="single"/>
                <w:lang w:val="en-US" w:eastAsia="zh-CN"/>
              </w:rPr>
              <w:t>450000.00</w:t>
            </w:r>
            <w:r>
              <w:rPr>
                <w:rFonts w:hint="eastAsia"/>
                <w:b/>
                <w:kern w:val="2"/>
                <w:lang w:val="zh-CN"/>
              </w:rPr>
              <w:t>元</w:t>
            </w:r>
          </w:p>
          <w:p w14:paraId="678FEC41">
            <w:pPr>
              <w:pStyle w:val="31"/>
              <w:keepNext w:val="0"/>
              <w:keepLines w:val="0"/>
              <w:pageBreakBefore w:val="0"/>
              <w:widowControl w:val="0"/>
              <w:kinsoku/>
              <w:wordWrap/>
              <w:overflowPunct/>
              <w:topLinePunct w:val="0"/>
              <w:autoSpaceDE w:val="0"/>
              <w:autoSpaceDN w:val="0"/>
              <w:bidi w:val="0"/>
              <w:adjustRightInd w:val="0"/>
              <w:snapToGrid/>
              <w:spacing w:line="400" w:lineRule="exact"/>
              <w:jc w:val="both"/>
              <w:textAlignment w:val="auto"/>
              <w:rPr>
                <w:b/>
                <w:kern w:val="2"/>
                <w:lang w:val="zh-CN"/>
              </w:rPr>
            </w:pPr>
            <w:r>
              <w:rPr>
                <w:rFonts w:hint="eastAsia"/>
                <w:kern w:val="2"/>
                <w:sz w:val="21"/>
                <w:szCs w:val="21"/>
                <w:lang w:val="zh-CN"/>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2C2C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89" w:hRule="atLeast"/>
          <w:jc w:val="center"/>
        </w:trPr>
        <w:tc>
          <w:tcPr>
            <w:tcW w:w="689" w:type="dxa"/>
            <w:vAlign w:val="center"/>
          </w:tcPr>
          <w:p w14:paraId="3776777C">
            <w:pPr>
              <w:snapToGrid w:val="0"/>
              <w:spacing w:after="200"/>
              <w:jc w:val="center"/>
              <w:rPr>
                <w:rFonts w:ascii="宋体" w:hAnsi="宋体"/>
                <w:sz w:val="28"/>
                <w:szCs w:val="28"/>
                <w:lang w:val="zh-CN"/>
              </w:rPr>
            </w:pPr>
            <w:r>
              <w:rPr>
                <w:rFonts w:ascii="宋体" w:hAnsi="宋体"/>
                <w:sz w:val="28"/>
                <w:szCs w:val="28"/>
                <w:lang w:val="zh-CN"/>
              </w:rPr>
              <w:t>2</w:t>
            </w:r>
          </w:p>
        </w:tc>
        <w:tc>
          <w:tcPr>
            <w:tcW w:w="1556" w:type="dxa"/>
            <w:vAlign w:val="center"/>
          </w:tcPr>
          <w:p w14:paraId="6D4909E5">
            <w:pPr>
              <w:pStyle w:val="31"/>
              <w:ind w:left="38"/>
              <w:jc w:val="center"/>
              <w:rPr>
                <w:kern w:val="2"/>
                <w:lang w:val="zh-CN"/>
              </w:rPr>
            </w:pPr>
            <w:r>
              <w:rPr>
                <w:rFonts w:hint="eastAsia"/>
                <w:kern w:val="2"/>
                <w:lang w:val="zh-CN"/>
              </w:rPr>
              <w:t>最高限价</w:t>
            </w:r>
          </w:p>
        </w:tc>
        <w:tc>
          <w:tcPr>
            <w:tcW w:w="7067" w:type="dxa"/>
            <w:vAlign w:val="center"/>
          </w:tcPr>
          <w:p w14:paraId="6AFFF30F">
            <w:pPr>
              <w:pStyle w:val="31"/>
              <w:keepNext w:val="0"/>
              <w:keepLines w:val="0"/>
              <w:pageBreakBefore w:val="0"/>
              <w:widowControl w:val="0"/>
              <w:kinsoku/>
              <w:wordWrap/>
              <w:overflowPunct/>
              <w:topLinePunct w:val="0"/>
              <w:autoSpaceDE w:val="0"/>
              <w:autoSpaceDN w:val="0"/>
              <w:bidi w:val="0"/>
              <w:adjustRightInd w:val="0"/>
              <w:snapToGrid/>
              <w:spacing w:line="400" w:lineRule="exact"/>
              <w:jc w:val="both"/>
              <w:textAlignment w:val="auto"/>
              <w:rPr>
                <w:b/>
                <w:kern w:val="2"/>
                <w:lang w:val="zh-CN"/>
              </w:rPr>
            </w:pPr>
            <w:r>
              <w:rPr>
                <w:rFonts w:hint="eastAsia"/>
                <w:b/>
                <w:kern w:val="2"/>
                <w:lang w:val="zh-CN"/>
              </w:rPr>
              <w:t>人民币</w:t>
            </w:r>
            <w:r>
              <w:rPr>
                <w:rFonts w:hint="eastAsia"/>
                <w:b/>
                <w:kern w:val="2"/>
                <w:u w:val="single"/>
                <w:lang w:val="en-US" w:eastAsia="zh-CN"/>
              </w:rPr>
              <w:t xml:space="preserve">450000.00 </w:t>
            </w:r>
            <w:r>
              <w:rPr>
                <w:rFonts w:hint="eastAsia"/>
                <w:b/>
                <w:kern w:val="2"/>
                <w:lang w:val="zh-CN"/>
              </w:rPr>
              <w:t>元</w:t>
            </w:r>
          </w:p>
          <w:p w14:paraId="1845E158">
            <w:pPr>
              <w:pStyle w:val="31"/>
              <w:keepNext w:val="0"/>
              <w:keepLines w:val="0"/>
              <w:pageBreakBefore w:val="0"/>
              <w:widowControl w:val="0"/>
              <w:kinsoku/>
              <w:wordWrap/>
              <w:overflowPunct/>
              <w:topLinePunct w:val="0"/>
              <w:autoSpaceDE w:val="0"/>
              <w:autoSpaceDN w:val="0"/>
              <w:bidi w:val="0"/>
              <w:adjustRightInd w:val="0"/>
              <w:snapToGrid/>
              <w:spacing w:line="400" w:lineRule="exact"/>
              <w:ind w:left="38"/>
              <w:jc w:val="both"/>
              <w:textAlignment w:val="auto"/>
              <w:rPr>
                <w:b/>
                <w:kern w:val="2"/>
                <w:lang w:val="zh-CN"/>
              </w:rPr>
            </w:pPr>
            <w:r>
              <w:rPr>
                <w:rFonts w:hint="eastAsia"/>
                <w:kern w:val="2"/>
                <w:sz w:val="21"/>
                <w:szCs w:val="21"/>
                <w:lang w:val="zh-CN"/>
              </w:rPr>
              <w:t>供应商投标报价高于最高限价的则其投标文件将按无效投标文件处理。</w:t>
            </w:r>
          </w:p>
        </w:tc>
      </w:tr>
      <w:tr w14:paraId="36768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2EA1E913">
            <w:pPr>
              <w:snapToGrid w:val="0"/>
              <w:spacing w:after="200"/>
              <w:jc w:val="center"/>
              <w:rPr>
                <w:rFonts w:ascii="宋体" w:hAnsi="宋体"/>
                <w:sz w:val="28"/>
                <w:szCs w:val="28"/>
                <w:lang w:val="zh-CN"/>
              </w:rPr>
            </w:pPr>
            <w:r>
              <w:rPr>
                <w:rFonts w:ascii="宋体" w:hAnsi="宋体"/>
                <w:sz w:val="28"/>
                <w:szCs w:val="28"/>
                <w:lang w:val="zh-CN"/>
              </w:rPr>
              <w:t>3</w:t>
            </w:r>
          </w:p>
        </w:tc>
        <w:tc>
          <w:tcPr>
            <w:tcW w:w="1556" w:type="dxa"/>
            <w:vMerge w:val="restart"/>
            <w:vAlign w:val="center"/>
          </w:tcPr>
          <w:p w14:paraId="02B17A9B">
            <w:pPr>
              <w:pStyle w:val="31"/>
              <w:ind w:left="38"/>
              <w:jc w:val="center"/>
              <w:rPr>
                <w:kern w:val="2"/>
                <w:lang w:val="zh-CN"/>
              </w:rPr>
            </w:pPr>
            <w:r>
              <w:rPr>
                <w:rFonts w:hint="eastAsia"/>
                <w:kern w:val="2"/>
                <w:lang w:val="zh-CN"/>
              </w:rPr>
              <w:t>项目性质</w:t>
            </w:r>
          </w:p>
        </w:tc>
        <w:tc>
          <w:tcPr>
            <w:tcW w:w="7067" w:type="dxa"/>
            <w:vAlign w:val="center"/>
          </w:tcPr>
          <w:p w14:paraId="3EDD37FA">
            <w:pPr>
              <w:pStyle w:val="31"/>
              <w:keepNext w:val="0"/>
              <w:keepLines w:val="0"/>
              <w:pageBreakBefore w:val="0"/>
              <w:widowControl w:val="0"/>
              <w:kinsoku/>
              <w:wordWrap/>
              <w:overflowPunct/>
              <w:topLinePunct w:val="0"/>
              <w:autoSpaceDE w:val="0"/>
              <w:autoSpaceDN w:val="0"/>
              <w:bidi w:val="0"/>
              <w:adjustRightInd w:val="0"/>
              <w:snapToGrid/>
              <w:spacing w:line="400" w:lineRule="exact"/>
              <w:jc w:val="both"/>
              <w:textAlignment w:val="auto"/>
              <w:rPr>
                <w:b/>
                <w:kern w:val="2"/>
                <w:lang w:val="zh-CN"/>
              </w:rPr>
            </w:pPr>
            <w:r>
              <w:rPr>
                <w:rFonts w:hint="eastAsia" w:ascii="宋体" w:hAnsi="宋体" w:eastAsia="宋体" w:cs="宋体"/>
                <w:b/>
                <w:kern w:val="2"/>
                <w:sz w:val="24"/>
                <w:szCs w:val="24"/>
                <w:lang w:val="zh-CN" w:eastAsia="zh-CN" w:bidi="ar-SA"/>
              </w:rPr>
              <w:t>○</w:t>
            </w:r>
            <w:r>
              <w:rPr>
                <w:rFonts w:hint="eastAsia" w:ascii="Arial" w:hAnsi="Arial" w:cs="Arial"/>
                <w:b/>
                <w:bCs/>
                <w:kern w:val="2"/>
                <w:sz w:val="21"/>
                <w:szCs w:val="21"/>
                <w:lang w:val="en-US" w:eastAsia="zh-CN"/>
              </w:rPr>
              <w:t xml:space="preserve"> </w:t>
            </w:r>
            <w:r>
              <w:rPr>
                <w:rFonts w:hint="eastAsia"/>
                <w:b/>
                <w:kern w:val="2"/>
                <w:lang w:val="zh-CN"/>
              </w:rPr>
              <w:t>专门面向中小企业采购</w:t>
            </w:r>
          </w:p>
          <w:p w14:paraId="72F1F5D0">
            <w:pPr>
              <w:pStyle w:val="31"/>
              <w:keepNext w:val="0"/>
              <w:keepLines w:val="0"/>
              <w:pageBreakBefore w:val="0"/>
              <w:widowControl w:val="0"/>
              <w:kinsoku/>
              <w:wordWrap/>
              <w:overflowPunct/>
              <w:topLinePunct w:val="0"/>
              <w:autoSpaceDE w:val="0"/>
              <w:autoSpaceDN w:val="0"/>
              <w:bidi w:val="0"/>
              <w:adjustRightInd w:val="0"/>
              <w:snapToGrid/>
              <w:spacing w:line="400" w:lineRule="exact"/>
              <w:ind w:left="38"/>
              <w:jc w:val="both"/>
              <w:textAlignment w:val="auto"/>
              <w:rPr>
                <w:b/>
                <w:kern w:val="2"/>
                <w:lang w:val="zh-CN"/>
              </w:rPr>
            </w:pPr>
            <w:r>
              <w:rPr>
                <w:rFonts w:hint="eastAsia"/>
                <w:kern w:val="2"/>
                <w:sz w:val="21"/>
                <w:szCs w:val="21"/>
                <w:lang w:val="zh-CN"/>
              </w:rPr>
              <w:t>仅允许中小企业或小型、微型企业参与投标。</w:t>
            </w:r>
          </w:p>
        </w:tc>
      </w:tr>
      <w:tr w14:paraId="243D0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33736FA7">
            <w:pPr>
              <w:snapToGrid w:val="0"/>
              <w:spacing w:after="200"/>
              <w:ind w:left="142"/>
              <w:jc w:val="center"/>
              <w:rPr>
                <w:rFonts w:ascii="宋体" w:hAnsi="宋体"/>
                <w:b/>
                <w:sz w:val="28"/>
                <w:szCs w:val="28"/>
                <w:lang w:val="zh-CN"/>
              </w:rPr>
            </w:pPr>
          </w:p>
        </w:tc>
        <w:tc>
          <w:tcPr>
            <w:tcW w:w="1556" w:type="dxa"/>
            <w:vMerge w:val="continue"/>
            <w:vAlign w:val="center"/>
          </w:tcPr>
          <w:p w14:paraId="7450D71C">
            <w:pPr>
              <w:pStyle w:val="31"/>
              <w:ind w:left="96"/>
              <w:jc w:val="center"/>
              <w:rPr>
                <w:kern w:val="2"/>
                <w:lang w:val="zh-CN"/>
              </w:rPr>
            </w:pPr>
          </w:p>
        </w:tc>
        <w:tc>
          <w:tcPr>
            <w:tcW w:w="7067" w:type="dxa"/>
            <w:vAlign w:val="center"/>
          </w:tcPr>
          <w:p w14:paraId="2747558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kern w:val="2"/>
                <w:sz w:val="24"/>
                <w:szCs w:val="24"/>
                <w:lang w:val="zh-CN" w:eastAsia="zh-CN" w:bidi="ar-SA"/>
              </w:rPr>
            </w:pPr>
            <w:r>
              <w:rPr>
                <w:rFonts w:hint="eastAsia" w:ascii="黑体" w:hAnsi="黑体" w:eastAsia="黑体" w:cs="黑体"/>
                <w:b/>
                <w:bCs/>
                <w:kern w:val="2"/>
                <w:sz w:val="21"/>
                <w:szCs w:val="21"/>
                <w:lang w:val="zh-CN"/>
              </w:rPr>
              <w:t>√</w:t>
            </w:r>
            <w:r>
              <w:rPr>
                <w:rFonts w:hint="eastAsia" w:ascii="宋体" w:hAnsi="宋体" w:eastAsia="宋体" w:cs="宋体"/>
                <w:b/>
                <w:kern w:val="2"/>
                <w:sz w:val="24"/>
                <w:szCs w:val="24"/>
                <w:lang w:val="zh-CN" w:eastAsia="zh-CN" w:bidi="ar-SA"/>
              </w:rPr>
              <w:t>非专门面向中小企业采购</w:t>
            </w:r>
          </w:p>
          <w:p w14:paraId="6053441A">
            <w:pPr>
              <w:keepNext w:val="0"/>
              <w:keepLines w:val="0"/>
              <w:pageBreakBefore w:val="0"/>
              <w:widowControl w:val="0"/>
              <w:kinsoku/>
              <w:wordWrap/>
              <w:overflowPunct/>
              <w:topLinePunct w:val="0"/>
              <w:autoSpaceDE/>
              <w:autoSpaceDN/>
              <w:bidi w:val="0"/>
              <w:adjustRightInd/>
              <w:snapToGrid/>
              <w:spacing w:line="400" w:lineRule="exact"/>
              <w:ind w:right="94" w:rightChars="45"/>
              <w:textAlignment w:val="auto"/>
              <w:rPr>
                <w:rFonts w:ascii="宋体" w:hAnsi="宋体"/>
                <w:b/>
                <w:szCs w:val="21"/>
              </w:rPr>
            </w:pPr>
            <w:r>
              <w:rPr>
                <w:rFonts w:hint="eastAsia" w:ascii="宋体" w:hAnsi="宋体" w:eastAsia="宋体" w:cs="宋体"/>
                <w:kern w:val="2"/>
                <w:sz w:val="21"/>
                <w:szCs w:val="21"/>
                <w:lang w:val="zh-CN" w:eastAsia="zh-CN" w:bidi="ar-SA"/>
              </w:rPr>
              <w:t>对符合《财政部关于进一步加大政府采购支持中小企业力度的通知》（财库〔2022〕19号）规定的小微企业（监狱企业视同小型、微型企业）的报价给予___%（10%-20%）的扣除，用扣除后的价格参加评审。</w:t>
            </w:r>
          </w:p>
        </w:tc>
      </w:tr>
      <w:tr w14:paraId="596EF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025E2577">
            <w:pPr>
              <w:snapToGrid w:val="0"/>
              <w:spacing w:after="200"/>
              <w:jc w:val="center"/>
              <w:rPr>
                <w:rFonts w:ascii="宋体" w:hAnsi="宋体"/>
                <w:sz w:val="24"/>
              </w:rPr>
            </w:pPr>
            <w:r>
              <w:rPr>
                <w:rFonts w:ascii="宋体" w:hAnsi="宋体"/>
                <w:sz w:val="24"/>
              </w:rPr>
              <w:t>4</w:t>
            </w:r>
          </w:p>
        </w:tc>
        <w:tc>
          <w:tcPr>
            <w:tcW w:w="1556" w:type="dxa"/>
            <w:vAlign w:val="center"/>
          </w:tcPr>
          <w:p w14:paraId="20CCD4F2">
            <w:pPr>
              <w:pStyle w:val="31"/>
              <w:ind w:left="96"/>
              <w:jc w:val="center"/>
              <w:rPr>
                <w:kern w:val="2"/>
                <w:lang w:val="zh-CN"/>
              </w:rPr>
            </w:pPr>
            <w:r>
              <w:rPr>
                <w:kern w:val="2"/>
                <w:lang w:val="zh-CN"/>
              </w:rPr>
              <w:t>对供应商的</w:t>
            </w:r>
            <w:r>
              <w:rPr>
                <w:kern w:val="2"/>
                <w:lang w:val="zh-CN"/>
              </w:rPr>
              <w:br w:type="textWrapping"/>
            </w:r>
            <w:r>
              <w:rPr>
                <w:kern w:val="2"/>
                <w:lang w:val="zh-CN"/>
              </w:rPr>
              <w:t>资格要求</w:t>
            </w:r>
          </w:p>
        </w:tc>
        <w:tc>
          <w:tcPr>
            <w:tcW w:w="7067" w:type="dxa"/>
            <w:vAlign w:val="center"/>
          </w:tcPr>
          <w:p w14:paraId="548973ED">
            <w:pPr>
              <w:pStyle w:val="31"/>
              <w:jc w:val="both"/>
              <w:rPr>
                <w:rFonts w:hint="eastAsia" w:ascii="宋体" w:hAnsi="宋体" w:eastAsia="宋体" w:cs="宋体"/>
                <w:kern w:val="2"/>
                <w:sz w:val="21"/>
                <w:szCs w:val="21"/>
                <w:lang w:val="zh-CN" w:eastAsia="zh-CN"/>
              </w:rPr>
            </w:pPr>
            <w:r>
              <w:rPr>
                <w:rFonts w:hint="eastAsia" w:ascii="宋体" w:hAnsi="宋体" w:eastAsia="宋体" w:cs="宋体"/>
                <w:kern w:val="2"/>
                <w:sz w:val="21"/>
                <w:szCs w:val="21"/>
                <w:lang w:val="zh-CN" w:eastAsia="zh-CN"/>
              </w:rPr>
              <w:t>1、供应商须具有独立承担民事责任能力的法人、其他组织或自然人，提供营业执照/事业单位法人证书/非企业专业服务机构执业许可证/自然人身份证；</w:t>
            </w:r>
          </w:p>
          <w:p w14:paraId="6395B55E">
            <w:pPr>
              <w:pStyle w:val="31"/>
              <w:jc w:val="both"/>
              <w:rPr>
                <w:rFonts w:hint="eastAsia" w:ascii="宋体" w:hAnsi="宋体" w:eastAsia="宋体" w:cs="宋体"/>
                <w:kern w:val="2"/>
                <w:sz w:val="21"/>
                <w:szCs w:val="21"/>
                <w:lang w:val="zh-CN" w:eastAsia="zh-CN"/>
              </w:rPr>
            </w:pPr>
            <w:r>
              <w:rPr>
                <w:rFonts w:hint="eastAsia" w:ascii="宋体" w:hAnsi="宋体" w:eastAsia="宋体" w:cs="宋体"/>
                <w:kern w:val="2"/>
                <w:sz w:val="21"/>
                <w:szCs w:val="21"/>
                <w:lang w:val="zh-CN" w:eastAsia="zh-CN"/>
              </w:rPr>
              <w:t>2、供应商应授权合法的人员参加</w:t>
            </w:r>
            <w:r>
              <w:rPr>
                <w:rFonts w:hint="eastAsia" w:cs="宋体"/>
                <w:kern w:val="2"/>
                <w:sz w:val="21"/>
                <w:szCs w:val="21"/>
                <w:lang w:val="en-US" w:eastAsia="zh-CN"/>
              </w:rPr>
              <w:t>磋商</w:t>
            </w:r>
            <w:r>
              <w:rPr>
                <w:rFonts w:hint="eastAsia" w:ascii="宋体" w:hAnsi="宋体" w:eastAsia="宋体" w:cs="宋体"/>
                <w:kern w:val="2"/>
                <w:sz w:val="21"/>
                <w:szCs w:val="21"/>
                <w:lang w:val="zh-CN" w:eastAsia="zh-CN"/>
              </w:rPr>
              <w:t>全过程，其中法定代表人直接参加</w:t>
            </w:r>
            <w:r>
              <w:rPr>
                <w:rFonts w:hint="eastAsia" w:cs="宋体"/>
                <w:kern w:val="2"/>
                <w:sz w:val="21"/>
                <w:szCs w:val="21"/>
                <w:lang w:val="en-US" w:eastAsia="zh-CN"/>
              </w:rPr>
              <w:t>磋商</w:t>
            </w:r>
            <w:r>
              <w:rPr>
                <w:rFonts w:hint="eastAsia" w:ascii="宋体" w:hAnsi="宋体" w:eastAsia="宋体" w:cs="宋体"/>
                <w:kern w:val="2"/>
                <w:sz w:val="21"/>
                <w:szCs w:val="21"/>
                <w:lang w:val="zh-CN" w:eastAsia="zh-CN"/>
              </w:rPr>
              <w:t>的，须出具法人身份证复印件，并与营业执照上信息一致。法定代表人授权代表参加</w:t>
            </w:r>
            <w:r>
              <w:rPr>
                <w:rFonts w:hint="eastAsia" w:cs="宋体"/>
                <w:kern w:val="2"/>
                <w:sz w:val="21"/>
                <w:szCs w:val="21"/>
                <w:lang w:val="en-US" w:eastAsia="zh-CN"/>
              </w:rPr>
              <w:t>磋商</w:t>
            </w:r>
            <w:r>
              <w:rPr>
                <w:rFonts w:hint="eastAsia" w:ascii="宋体" w:hAnsi="宋体" w:eastAsia="宋体" w:cs="宋体"/>
                <w:kern w:val="2"/>
                <w:sz w:val="21"/>
                <w:szCs w:val="21"/>
                <w:lang w:val="zh-CN" w:eastAsia="zh-CN"/>
              </w:rPr>
              <w:t>的，须出具法定代表人授权书（授权代表需提供响应文件截止时间前近三个月内任意一个月本单位社会保险缴纳证明）；</w:t>
            </w:r>
          </w:p>
          <w:p w14:paraId="55449FE1">
            <w:pPr>
              <w:pStyle w:val="31"/>
              <w:jc w:val="both"/>
              <w:rPr>
                <w:rFonts w:hint="eastAsia" w:ascii="宋体" w:hAnsi="宋体" w:eastAsia="宋体" w:cs="宋体"/>
                <w:kern w:val="2"/>
                <w:sz w:val="21"/>
                <w:szCs w:val="21"/>
                <w:lang w:val="zh-CN" w:eastAsia="zh-CN"/>
              </w:rPr>
            </w:pPr>
            <w:r>
              <w:rPr>
                <w:rFonts w:hint="eastAsia" w:ascii="宋体" w:hAnsi="宋体" w:eastAsia="宋体" w:cs="宋体"/>
                <w:kern w:val="2"/>
                <w:sz w:val="21"/>
                <w:szCs w:val="21"/>
                <w:lang w:val="zh-CN" w:eastAsia="zh-CN"/>
              </w:rPr>
              <w:t>3、供应商须提供2025年度经审计的财务报告（包括报告正文、资产负债表、现金流量表、利润表、附注和会计师事务所营业执照，报告正文应当有会计师事务所公章和2名注册会计师的签字及盖章，且审计报告应当经过注册会计师行业统一监管平台备案赋码，成立时间至提交响应文件截止时间不足一年的可提供成立后任意时段的资产负债表）或提交响应文件截止时间三个月内其基本账户开户银行出具的资信证明（附基本存款账户信息）；</w:t>
            </w:r>
          </w:p>
          <w:p w14:paraId="7871A9A4">
            <w:pPr>
              <w:pStyle w:val="31"/>
              <w:jc w:val="both"/>
              <w:rPr>
                <w:rFonts w:hint="eastAsia" w:ascii="宋体" w:hAnsi="宋体" w:eastAsia="宋体" w:cs="宋体"/>
                <w:kern w:val="2"/>
                <w:sz w:val="21"/>
                <w:szCs w:val="21"/>
                <w:lang w:val="zh-CN" w:eastAsia="zh-CN"/>
              </w:rPr>
            </w:pPr>
            <w:r>
              <w:rPr>
                <w:rFonts w:hint="eastAsia" w:ascii="宋体" w:hAnsi="宋体" w:eastAsia="宋体" w:cs="宋体"/>
                <w:kern w:val="2"/>
                <w:sz w:val="21"/>
                <w:szCs w:val="21"/>
                <w:lang w:val="zh-CN" w:eastAsia="zh-CN"/>
              </w:rPr>
              <w:t>4</w:t>
            </w:r>
            <w:r>
              <w:rPr>
                <w:rFonts w:hint="eastAsia" w:cs="宋体"/>
                <w:kern w:val="2"/>
                <w:sz w:val="21"/>
                <w:szCs w:val="21"/>
                <w:lang w:val="zh-CN" w:eastAsia="zh-CN"/>
              </w:rPr>
              <w:t>、</w:t>
            </w:r>
            <w:r>
              <w:rPr>
                <w:rFonts w:hint="eastAsia" w:ascii="宋体" w:hAnsi="宋体" w:eastAsia="宋体" w:cs="宋体"/>
                <w:kern w:val="2"/>
                <w:sz w:val="21"/>
                <w:szCs w:val="21"/>
                <w:lang w:val="zh-CN" w:eastAsia="zh-CN"/>
              </w:rPr>
              <w:t>供应商提交响应文件截止时间前一年内至少一个月的纳税证明或完税证明，纳税证明或完税证明上应有代收机构或税务机关的公章或业务专用章。（依法免税的供应商应提供相应文件证明）；</w:t>
            </w:r>
          </w:p>
          <w:p w14:paraId="64932F79">
            <w:pPr>
              <w:pStyle w:val="31"/>
              <w:jc w:val="both"/>
              <w:rPr>
                <w:rFonts w:hint="eastAsia" w:ascii="宋体" w:hAnsi="宋体" w:eastAsia="宋体" w:cs="宋体"/>
                <w:kern w:val="2"/>
                <w:sz w:val="21"/>
                <w:szCs w:val="21"/>
                <w:lang w:val="zh-CN" w:eastAsia="zh-CN"/>
              </w:rPr>
            </w:pPr>
            <w:r>
              <w:rPr>
                <w:rFonts w:hint="eastAsia" w:ascii="宋体" w:hAnsi="宋体" w:eastAsia="宋体" w:cs="宋体"/>
                <w:kern w:val="2"/>
                <w:sz w:val="21"/>
                <w:szCs w:val="21"/>
                <w:lang w:val="zh-CN" w:eastAsia="zh-CN"/>
              </w:rPr>
              <w:t>5、供应商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14:paraId="41AE3589">
            <w:pPr>
              <w:pStyle w:val="31"/>
              <w:jc w:val="both"/>
              <w:rPr>
                <w:rFonts w:hint="eastAsia" w:ascii="宋体" w:hAnsi="宋体" w:eastAsia="宋体" w:cs="宋体"/>
                <w:kern w:val="2"/>
                <w:sz w:val="21"/>
                <w:szCs w:val="21"/>
                <w:lang w:val="zh-CN" w:eastAsia="zh-CN" w:bidi="ar-SA"/>
              </w:rPr>
            </w:pPr>
            <w:r>
              <w:rPr>
                <w:rFonts w:hint="eastAsia" w:cs="宋体"/>
                <w:kern w:val="2"/>
                <w:sz w:val="21"/>
                <w:szCs w:val="21"/>
                <w:lang w:val="en-US" w:eastAsia="zh-CN" w:bidi="ar-SA"/>
              </w:rPr>
              <w:t>6</w:t>
            </w:r>
            <w:r>
              <w:rPr>
                <w:rFonts w:hint="eastAsia" w:ascii="宋体" w:hAnsi="宋体" w:eastAsia="宋体" w:cs="宋体"/>
                <w:kern w:val="2"/>
                <w:sz w:val="21"/>
                <w:szCs w:val="21"/>
                <w:lang w:val="zh-CN" w:eastAsia="zh-CN" w:bidi="ar-SA"/>
              </w:rPr>
              <w:t>、供应商提供具有履行本合同所必需的设备和专业技术能力的承诺函；</w:t>
            </w:r>
          </w:p>
          <w:p w14:paraId="737FBFB4">
            <w:pPr>
              <w:pStyle w:val="31"/>
              <w:jc w:val="both"/>
              <w:rPr>
                <w:rFonts w:hint="eastAsia" w:ascii="宋体" w:hAnsi="宋体" w:eastAsia="宋体" w:cs="宋体"/>
                <w:kern w:val="2"/>
                <w:sz w:val="21"/>
                <w:szCs w:val="21"/>
                <w:lang w:val="zh-CN" w:eastAsia="zh-CN" w:bidi="ar-SA"/>
              </w:rPr>
            </w:pPr>
            <w:r>
              <w:rPr>
                <w:rFonts w:hint="eastAsia" w:cs="宋体"/>
                <w:kern w:val="2"/>
                <w:sz w:val="21"/>
                <w:szCs w:val="21"/>
                <w:lang w:val="en-US" w:eastAsia="zh-CN" w:bidi="ar-SA"/>
              </w:rPr>
              <w:t>7</w:t>
            </w:r>
            <w:r>
              <w:rPr>
                <w:rFonts w:hint="eastAsia" w:ascii="宋体" w:hAnsi="宋体" w:eastAsia="宋体" w:cs="宋体"/>
                <w:kern w:val="2"/>
                <w:sz w:val="21"/>
                <w:szCs w:val="21"/>
                <w:lang w:val="zh-CN" w:eastAsia="zh-CN" w:bidi="ar-SA"/>
              </w:rPr>
              <w:t>、供应商提供参加政府采购活动前3年内在经营活动中没有重大违法记录的书面声明；</w:t>
            </w:r>
          </w:p>
          <w:p w14:paraId="2A3674CC">
            <w:pPr>
              <w:pStyle w:val="31"/>
              <w:jc w:val="both"/>
              <w:rPr>
                <w:rFonts w:hint="eastAsia" w:ascii="宋体" w:hAnsi="宋体" w:eastAsia="宋体" w:cs="宋体"/>
                <w:kern w:val="2"/>
                <w:sz w:val="21"/>
                <w:szCs w:val="21"/>
                <w:lang w:val="zh-CN" w:eastAsia="zh-CN"/>
              </w:rPr>
            </w:pPr>
            <w:r>
              <w:rPr>
                <w:rFonts w:hint="eastAsia" w:cs="宋体"/>
                <w:kern w:val="2"/>
                <w:sz w:val="21"/>
                <w:szCs w:val="21"/>
                <w:lang w:val="en-US" w:eastAsia="zh-CN"/>
              </w:rPr>
              <w:t>8</w:t>
            </w:r>
            <w:r>
              <w:rPr>
                <w:rFonts w:hint="eastAsia" w:ascii="宋体" w:hAnsi="宋体" w:eastAsia="宋体" w:cs="宋体"/>
                <w:kern w:val="2"/>
                <w:sz w:val="21"/>
                <w:szCs w:val="21"/>
                <w:lang w:val="zh-CN" w:eastAsia="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689A45EA">
            <w:pPr>
              <w:pStyle w:val="31"/>
              <w:keepNext w:val="0"/>
              <w:keepLines w:val="0"/>
              <w:pageBreakBefore w:val="0"/>
              <w:widowControl w:val="0"/>
              <w:kinsoku/>
              <w:wordWrap/>
              <w:overflowPunct/>
              <w:topLinePunct w:val="0"/>
              <w:autoSpaceDE w:val="0"/>
              <w:autoSpaceDN w:val="0"/>
              <w:bidi w:val="0"/>
              <w:adjustRightInd w:val="0"/>
              <w:snapToGrid/>
              <w:spacing w:line="400" w:lineRule="exact"/>
              <w:jc w:val="both"/>
              <w:textAlignment w:val="auto"/>
              <w:rPr>
                <w:rFonts w:hint="eastAsia" w:ascii="宋体" w:hAnsi="宋体" w:eastAsia="宋体" w:cs="宋体"/>
                <w:kern w:val="2"/>
                <w:sz w:val="21"/>
                <w:szCs w:val="21"/>
                <w:lang w:val="zh-CN" w:eastAsia="zh-CN"/>
              </w:rPr>
            </w:pPr>
            <w:r>
              <w:rPr>
                <w:rFonts w:hint="eastAsia" w:cs="宋体"/>
                <w:kern w:val="2"/>
                <w:sz w:val="21"/>
                <w:szCs w:val="21"/>
                <w:lang w:val="en-US" w:eastAsia="zh-CN"/>
              </w:rPr>
              <w:t>9</w:t>
            </w:r>
            <w:r>
              <w:rPr>
                <w:rFonts w:hint="eastAsia" w:ascii="宋体" w:hAnsi="宋体" w:eastAsia="宋体" w:cs="宋体"/>
                <w:kern w:val="2"/>
                <w:sz w:val="21"/>
                <w:szCs w:val="21"/>
                <w:lang w:val="zh-CN" w:eastAsia="zh-CN"/>
              </w:rPr>
              <w:t>、本项目不接受联合体</w:t>
            </w:r>
            <w:r>
              <w:rPr>
                <w:rFonts w:hint="eastAsia" w:cs="宋体"/>
                <w:kern w:val="2"/>
                <w:sz w:val="21"/>
                <w:szCs w:val="21"/>
                <w:lang w:val="en-US" w:eastAsia="zh-CN"/>
              </w:rPr>
              <w:t>磋商</w:t>
            </w:r>
            <w:r>
              <w:rPr>
                <w:rFonts w:hint="eastAsia" w:ascii="宋体" w:hAnsi="宋体" w:eastAsia="宋体" w:cs="宋体"/>
                <w:kern w:val="2"/>
                <w:sz w:val="21"/>
                <w:szCs w:val="21"/>
                <w:lang w:val="zh-CN" w:eastAsia="zh-CN"/>
              </w:rPr>
              <w:t>，单位负责人为同一人或者存在直接控股、管理关系的不同供应商不得参加同一合同项下的政府采购活动。</w:t>
            </w:r>
          </w:p>
          <w:p w14:paraId="761B33D0">
            <w:pPr>
              <w:pStyle w:val="31"/>
              <w:keepNext w:val="0"/>
              <w:keepLines w:val="0"/>
              <w:pageBreakBefore w:val="0"/>
              <w:widowControl w:val="0"/>
              <w:kinsoku/>
              <w:wordWrap/>
              <w:overflowPunct/>
              <w:topLinePunct w:val="0"/>
              <w:autoSpaceDE w:val="0"/>
              <w:autoSpaceDN w:val="0"/>
              <w:bidi w:val="0"/>
              <w:adjustRightInd w:val="0"/>
              <w:snapToGrid/>
              <w:spacing w:line="400" w:lineRule="exact"/>
              <w:jc w:val="both"/>
              <w:textAlignment w:val="auto"/>
              <w:rPr>
                <w:kern w:val="2"/>
                <w:lang w:val="zh-CN"/>
              </w:rPr>
            </w:pPr>
            <w:r>
              <w:rPr>
                <w:rFonts w:hint="eastAsia"/>
                <w:kern w:val="2"/>
                <w:sz w:val="21"/>
                <w:szCs w:val="21"/>
                <w:lang w:val="zh-CN"/>
              </w:rPr>
              <w:t>根据《政府采购促进中小企业发展管理办法》（财库〔2020〕46号）的规定,不得以企业注册资本、资产总额、营业收入、从业人员、利润、纳税额等规模条件和财务指标作为供应商的资格要求或者评审因素，不得在企业股权结构、经营年限等方面对中小企业实行差别待遇或者歧视待遇。</w:t>
            </w:r>
          </w:p>
        </w:tc>
      </w:tr>
      <w:tr w14:paraId="4F9B6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0A6FA99F">
            <w:pPr>
              <w:snapToGrid w:val="0"/>
              <w:spacing w:after="200"/>
              <w:jc w:val="center"/>
              <w:rPr>
                <w:rFonts w:ascii="宋体" w:hAnsi="宋体"/>
                <w:sz w:val="24"/>
              </w:rPr>
            </w:pPr>
            <w:r>
              <w:rPr>
                <w:rFonts w:ascii="宋体" w:hAnsi="宋体"/>
                <w:sz w:val="24"/>
              </w:rPr>
              <w:t>5</w:t>
            </w:r>
          </w:p>
        </w:tc>
        <w:tc>
          <w:tcPr>
            <w:tcW w:w="1556" w:type="dxa"/>
            <w:vMerge w:val="restart"/>
            <w:vAlign w:val="center"/>
          </w:tcPr>
          <w:p w14:paraId="1C5D4E73">
            <w:pPr>
              <w:pStyle w:val="31"/>
              <w:ind w:left="96"/>
              <w:jc w:val="center"/>
              <w:rPr>
                <w:kern w:val="2"/>
                <w:lang w:val="zh-CN"/>
              </w:rPr>
            </w:pPr>
            <w:r>
              <w:rPr>
                <w:kern w:val="2"/>
                <w:lang w:val="zh-CN"/>
              </w:rPr>
              <w:t>是否</w:t>
            </w:r>
            <w:r>
              <w:rPr>
                <w:rFonts w:hint="eastAsia"/>
                <w:kern w:val="2"/>
                <w:lang w:val="zh-CN"/>
              </w:rPr>
              <w:t>接受</w:t>
            </w:r>
            <w:r>
              <w:rPr>
                <w:kern w:val="2"/>
                <w:lang w:val="zh-CN"/>
              </w:rPr>
              <w:br w:type="textWrapping"/>
            </w:r>
            <w:r>
              <w:rPr>
                <w:kern w:val="2"/>
                <w:lang w:val="zh-CN"/>
              </w:rPr>
              <w:t>联合体投标</w:t>
            </w:r>
          </w:p>
        </w:tc>
        <w:tc>
          <w:tcPr>
            <w:tcW w:w="7067" w:type="dxa"/>
            <w:vAlign w:val="center"/>
          </w:tcPr>
          <w:p w14:paraId="7B3EC616">
            <w:pPr>
              <w:pStyle w:val="31"/>
              <w:keepNext w:val="0"/>
              <w:keepLines w:val="0"/>
              <w:pageBreakBefore w:val="0"/>
              <w:widowControl w:val="0"/>
              <w:kinsoku/>
              <w:wordWrap/>
              <w:overflowPunct/>
              <w:topLinePunct w:val="0"/>
              <w:autoSpaceDE w:val="0"/>
              <w:autoSpaceDN w:val="0"/>
              <w:bidi w:val="0"/>
              <w:adjustRightInd w:val="0"/>
              <w:snapToGrid/>
              <w:spacing w:line="400" w:lineRule="exact"/>
              <w:jc w:val="both"/>
              <w:textAlignment w:val="auto"/>
              <w:rPr>
                <w:rFonts w:hint="eastAsia"/>
                <w:b/>
                <w:kern w:val="2"/>
                <w:lang w:val="zh-CN"/>
              </w:rPr>
            </w:pPr>
            <w:r>
              <w:rPr>
                <w:rFonts w:hint="eastAsia"/>
                <w:b/>
                <w:kern w:val="2"/>
                <w:lang w:val="zh-CN"/>
              </w:rPr>
              <w:t>○接受</w:t>
            </w:r>
          </w:p>
          <w:p w14:paraId="13048E98">
            <w:pPr>
              <w:pStyle w:val="31"/>
              <w:keepNext w:val="0"/>
              <w:keepLines w:val="0"/>
              <w:pageBreakBefore w:val="0"/>
              <w:widowControl w:val="0"/>
              <w:kinsoku/>
              <w:wordWrap/>
              <w:overflowPunct/>
              <w:topLinePunct w:val="0"/>
              <w:autoSpaceDE w:val="0"/>
              <w:autoSpaceDN w:val="0"/>
              <w:bidi w:val="0"/>
              <w:adjustRightInd w:val="0"/>
              <w:snapToGrid/>
              <w:spacing w:line="400" w:lineRule="exact"/>
              <w:jc w:val="both"/>
              <w:textAlignment w:val="auto"/>
              <w:rPr>
                <w:b/>
                <w:kern w:val="2"/>
                <w:lang w:val="zh-CN"/>
              </w:rPr>
            </w:pPr>
            <w:r>
              <w:rPr>
                <w:rFonts w:hint="eastAsia"/>
                <w:kern w:val="2"/>
                <w:sz w:val="21"/>
                <w:szCs w:val="21"/>
                <w:lang w:val="zh-CN"/>
              </w:rPr>
              <w:t>对于联合体协议或者分包意向协议约定小微企业的合同份额占到合同总金额30%以上的，对联合体或者大中型企业的报价给予_</w:t>
            </w:r>
            <w:r>
              <w:rPr>
                <w:rFonts w:hint="eastAsia"/>
                <w:kern w:val="2"/>
                <w:sz w:val="21"/>
                <w:szCs w:val="21"/>
                <w:lang w:val="en-US" w:eastAsia="zh-CN"/>
              </w:rPr>
              <w:t>/</w:t>
            </w:r>
            <w:r>
              <w:rPr>
                <w:rFonts w:hint="eastAsia"/>
                <w:kern w:val="2"/>
                <w:sz w:val="21"/>
                <w:szCs w:val="21"/>
                <w:lang w:val="zh-CN"/>
              </w:rPr>
              <w:t>__%（4%—6%）的扣除，用扣除后的报价参加评审。</w:t>
            </w:r>
          </w:p>
        </w:tc>
      </w:tr>
      <w:tr w14:paraId="1A32F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00" w:hRule="atLeast"/>
          <w:jc w:val="center"/>
        </w:trPr>
        <w:tc>
          <w:tcPr>
            <w:tcW w:w="689" w:type="dxa"/>
            <w:vMerge w:val="continue"/>
            <w:vAlign w:val="center"/>
          </w:tcPr>
          <w:p w14:paraId="26872D5E">
            <w:pPr>
              <w:snapToGrid w:val="0"/>
              <w:spacing w:after="200"/>
              <w:ind w:left="142"/>
              <w:jc w:val="center"/>
              <w:rPr>
                <w:rFonts w:ascii="宋体" w:hAnsi="宋体"/>
                <w:sz w:val="24"/>
              </w:rPr>
            </w:pPr>
          </w:p>
        </w:tc>
        <w:tc>
          <w:tcPr>
            <w:tcW w:w="1556" w:type="dxa"/>
            <w:vMerge w:val="continue"/>
            <w:vAlign w:val="center"/>
          </w:tcPr>
          <w:p w14:paraId="41C84256">
            <w:pPr>
              <w:pStyle w:val="31"/>
              <w:ind w:left="96"/>
              <w:jc w:val="center"/>
              <w:rPr>
                <w:kern w:val="2"/>
                <w:lang w:val="zh-CN"/>
              </w:rPr>
            </w:pPr>
          </w:p>
        </w:tc>
        <w:tc>
          <w:tcPr>
            <w:tcW w:w="7067" w:type="dxa"/>
            <w:vAlign w:val="center"/>
          </w:tcPr>
          <w:p w14:paraId="0A166F98">
            <w:pPr>
              <w:pStyle w:val="31"/>
              <w:jc w:val="both"/>
              <w:rPr>
                <w:b/>
                <w:kern w:val="2"/>
                <w:lang w:val="zh-CN"/>
              </w:rPr>
            </w:pPr>
            <w:r>
              <w:rPr>
                <w:rFonts w:hint="eastAsia" w:ascii="黑体" w:hAnsi="黑体" w:eastAsia="黑体" w:cs="黑体"/>
                <w:b/>
                <w:bCs/>
                <w:kern w:val="2"/>
                <w:sz w:val="21"/>
                <w:szCs w:val="21"/>
                <w:lang w:val="zh-CN"/>
              </w:rPr>
              <w:t>√</w:t>
            </w:r>
            <w:r>
              <w:rPr>
                <w:rFonts w:hint="eastAsia" w:ascii="Arial" w:hAnsi="Arial" w:cs="Arial"/>
                <w:b/>
                <w:bCs/>
                <w:kern w:val="2"/>
                <w:sz w:val="21"/>
                <w:szCs w:val="21"/>
                <w:lang w:val="en-US" w:eastAsia="zh-CN"/>
              </w:rPr>
              <w:t xml:space="preserve"> </w:t>
            </w:r>
            <w:r>
              <w:rPr>
                <w:rFonts w:hint="eastAsia"/>
                <w:b/>
                <w:kern w:val="2"/>
                <w:lang w:val="zh-CN"/>
              </w:rPr>
              <w:t>不接受</w:t>
            </w:r>
          </w:p>
        </w:tc>
      </w:tr>
      <w:tr w14:paraId="19018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2E851451">
            <w:pPr>
              <w:snapToGrid w:val="0"/>
              <w:spacing w:after="200"/>
              <w:jc w:val="center"/>
              <w:rPr>
                <w:rFonts w:ascii="宋体" w:hAnsi="宋体"/>
                <w:sz w:val="24"/>
              </w:rPr>
            </w:pPr>
            <w:r>
              <w:rPr>
                <w:rFonts w:ascii="宋体" w:hAnsi="宋体"/>
                <w:sz w:val="24"/>
              </w:rPr>
              <w:t>6</w:t>
            </w:r>
          </w:p>
        </w:tc>
        <w:tc>
          <w:tcPr>
            <w:tcW w:w="1556" w:type="dxa"/>
            <w:vMerge w:val="restart"/>
            <w:vAlign w:val="center"/>
          </w:tcPr>
          <w:p w14:paraId="7388DA1E">
            <w:pPr>
              <w:pStyle w:val="31"/>
              <w:ind w:left="96"/>
              <w:jc w:val="center"/>
              <w:rPr>
                <w:kern w:val="2"/>
                <w:lang w:val="zh-CN"/>
              </w:rPr>
            </w:pPr>
            <w:r>
              <w:rPr>
                <w:kern w:val="2"/>
                <w:lang w:val="zh-CN"/>
              </w:rPr>
              <w:t>履约保证金</w:t>
            </w:r>
          </w:p>
        </w:tc>
        <w:tc>
          <w:tcPr>
            <w:tcW w:w="7067" w:type="dxa"/>
            <w:vAlign w:val="center"/>
          </w:tcPr>
          <w:p w14:paraId="268FAD9F">
            <w:pPr>
              <w:keepNext w:val="0"/>
              <w:keepLines w:val="0"/>
              <w:pageBreakBefore w:val="0"/>
              <w:widowControl w:val="0"/>
              <w:kinsoku/>
              <w:wordWrap/>
              <w:overflowPunct/>
              <w:topLinePunct w:val="0"/>
              <w:autoSpaceDE/>
              <w:autoSpaceDN/>
              <w:bidi w:val="0"/>
              <w:adjustRightInd/>
              <w:snapToGrid/>
              <w:spacing w:line="400" w:lineRule="exact"/>
              <w:ind w:right="94" w:rightChars="45"/>
              <w:textAlignment w:val="auto"/>
              <w:rPr>
                <w:rFonts w:hint="eastAsia" w:ascii="宋体" w:hAnsi="宋体" w:eastAsia="宋体" w:cs="宋体"/>
                <w:b/>
                <w:kern w:val="2"/>
                <w:sz w:val="24"/>
                <w:szCs w:val="24"/>
                <w:lang w:val="zh-CN" w:eastAsia="zh-CN" w:bidi="ar-SA"/>
              </w:rPr>
            </w:pPr>
            <w:r>
              <w:rPr>
                <w:rFonts w:ascii="宋体" w:hAnsi="宋体"/>
                <w:b/>
                <w:sz w:val="24"/>
              </w:rPr>
              <w:t>占</w:t>
            </w:r>
            <w:r>
              <w:rPr>
                <w:rFonts w:hint="eastAsia" w:ascii="宋体" w:hAnsi="宋体" w:eastAsia="宋体" w:cs="宋体"/>
                <w:b/>
                <w:kern w:val="2"/>
                <w:sz w:val="24"/>
                <w:szCs w:val="24"/>
                <w:lang w:val="zh-CN" w:eastAsia="zh-CN" w:bidi="ar-SA"/>
              </w:rPr>
              <w:t>政府采购合同金额的</w:t>
            </w:r>
            <w:r>
              <w:rPr>
                <w:rFonts w:hint="eastAsia" w:ascii="宋体" w:hAnsi="宋体" w:cs="宋体"/>
                <w:b/>
                <w:kern w:val="2"/>
                <w:sz w:val="24"/>
                <w:szCs w:val="24"/>
                <w:u w:val="single"/>
                <w:lang w:val="en-US" w:eastAsia="zh-CN" w:bidi="ar-SA"/>
              </w:rPr>
              <w:t xml:space="preserve">    /   </w:t>
            </w:r>
            <w:r>
              <w:rPr>
                <w:rFonts w:hint="eastAsia" w:ascii="宋体" w:hAnsi="宋体" w:eastAsia="宋体" w:cs="宋体"/>
                <w:b/>
                <w:kern w:val="2"/>
                <w:sz w:val="24"/>
                <w:szCs w:val="24"/>
                <w:lang w:val="zh-CN" w:eastAsia="zh-CN" w:bidi="ar-SA"/>
              </w:rPr>
              <w:t>%</w:t>
            </w:r>
          </w:p>
          <w:p w14:paraId="07604497">
            <w:pPr>
              <w:keepNext w:val="0"/>
              <w:keepLines w:val="0"/>
              <w:pageBreakBefore w:val="0"/>
              <w:widowControl w:val="0"/>
              <w:kinsoku/>
              <w:wordWrap/>
              <w:overflowPunct/>
              <w:topLinePunct w:val="0"/>
              <w:autoSpaceDE/>
              <w:autoSpaceDN/>
              <w:bidi w:val="0"/>
              <w:adjustRightInd/>
              <w:snapToGrid/>
              <w:spacing w:line="400" w:lineRule="exact"/>
              <w:ind w:right="94" w:rightChars="45"/>
              <w:textAlignment w:val="auto"/>
              <w:rPr>
                <w:rFonts w:ascii="宋体" w:hAnsi="宋体"/>
                <w:szCs w:val="21"/>
              </w:rPr>
            </w:pPr>
            <w:r>
              <w:rPr>
                <w:rFonts w:hint="eastAsia" w:ascii="宋体" w:hAnsi="宋体" w:eastAsia="宋体" w:cs="宋体"/>
                <w:kern w:val="2"/>
                <w:sz w:val="21"/>
                <w:szCs w:val="21"/>
                <w:lang w:val="zh-CN" w:eastAsia="zh-CN" w:bidi="ar-SA"/>
              </w:rPr>
              <w:t>履约保证金的数额不得超过政府采购合同金额的5%；对于单价合同，其数额不得超过采购预算的5%。</w:t>
            </w:r>
          </w:p>
        </w:tc>
      </w:tr>
      <w:tr w14:paraId="46FCC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2E7861DF">
            <w:pPr>
              <w:snapToGrid w:val="0"/>
              <w:spacing w:after="200"/>
              <w:ind w:left="142"/>
              <w:jc w:val="center"/>
              <w:rPr>
                <w:rFonts w:ascii="宋体" w:hAnsi="宋体"/>
                <w:sz w:val="24"/>
              </w:rPr>
            </w:pPr>
          </w:p>
        </w:tc>
        <w:tc>
          <w:tcPr>
            <w:tcW w:w="1556" w:type="dxa"/>
            <w:vMerge w:val="continue"/>
            <w:vAlign w:val="center"/>
          </w:tcPr>
          <w:p w14:paraId="3A40FF60">
            <w:pPr>
              <w:pStyle w:val="31"/>
              <w:ind w:left="96"/>
              <w:jc w:val="center"/>
              <w:rPr>
                <w:kern w:val="2"/>
                <w:lang w:val="zh-CN"/>
              </w:rPr>
            </w:pPr>
          </w:p>
        </w:tc>
        <w:tc>
          <w:tcPr>
            <w:tcW w:w="7067" w:type="dxa"/>
            <w:vAlign w:val="center"/>
          </w:tcPr>
          <w:p w14:paraId="3DCF60D2">
            <w:pPr>
              <w:keepNext w:val="0"/>
              <w:keepLines w:val="0"/>
              <w:pageBreakBefore w:val="0"/>
              <w:widowControl w:val="0"/>
              <w:kinsoku/>
              <w:wordWrap/>
              <w:overflowPunct/>
              <w:topLinePunct w:val="0"/>
              <w:bidi w:val="0"/>
              <w:adjustRightInd/>
              <w:snapToGrid/>
              <w:spacing w:line="400" w:lineRule="exact"/>
              <w:ind w:right="94" w:rightChars="45"/>
              <w:textAlignment w:val="auto"/>
              <w:rPr>
                <w:rFonts w:ascii="宋体" w:hAnsi="宋体"/>
                <w:b/>
                <w:sz w:val="24"/>
              </w:rPr>
            </w:pPr>
            <w:r>
              <w:rPr>
                <w:rFonts w:ascii="宋体" w:hAnsi="宋体"/>
                <w:b/>
                <w:sz w:val="24"/>
              </w:rPr>
              <w:t>○由采购单位自行收退</w:t>
            </w:r>
          </w:p>
          <w:p w14:paraId="2CBEDEB3">
            <w:pPr>
              <w:keepNext w:val="0"/>
              <w:keepLines w:val="0"/>
              <w:pageBreakBefore w:val="0"/>
              <w:widowControl w:val="0"/>
              <w:kinsoku/>
              <w:wordWrap/>
              <w:overflowPunct/>
              <w:topLinePunct w:val="0"/>
              <w:bidi w:val="0"/>
              <w:adjustRightInd/>
              <w:snapToGrid/>
              <w:spacing w:line="400" w:lineRule="exact"/>
              <w:ind w:right="94" w:rightChars="45"/>
              <w:textAlignment w:val="auto"/>
              <w:rPr>
                <w:rFonts w:ascii="宋体" w:hAnsi="宋体"/>
                <w:b/>
                <w:sz w:val="24"/>
              </w:rPr>
            </w:pPr>
            <w:r>
              <w:rPr>
                <w:rFonts w:ascii="宋体" w:hAnsi="宋体"/>
                <w:b/>
                <w:sz w:val="24"/>
              </w:rPr>
              <w:t>○由代理机构负责收退</w:t>
            </w:r>
          </w:p>
        </w:tc>
      </w:tr>
      <w:tr w14:paraId="5F993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055BE74">
            <w:pPr>
              <w:snapToGrid w:val="0"/>
              <w:spacing w:after="200"/>
              <w:jc w:val="center"/>
              <w:rPr>
                <w:rFonts w:ascii="宋体" w:hAnsi="宋体"/>
                <w:sz w:val="24"/>
              </w:rPr>
            </w:pPr>
            <w:r>
              <w:rPr>
                <w:rFonts w:ascii="宋体" w:hAnsi="宋体"/>
                <w:sz w:val="24"/>
              </w:rPr>
              <w:t>7</w:t>
            </w:r>
          </w:p>
        </w:tc>
        <w:tc>
          <w:tcPr>
            <w:tcW w:w="1556" w:type="dxa"/>
            <w:vAlign w:val="center"/>
          </w:tcPr>
          <w:p w14:paraId="3E632F90">
            <w:pPr>
              <w:pStyle w:val="31"/>
              <w:ind w:left="96"/>
              <w:jc w:val="center"/>
              <w:rPr>
                <w:kern w:val="2"/>
                <w:lang w:val="zh-CN"/>
              </w:rPr>
            </w:pPr>
            <w:r>
              <w:rPr>
                <w:kern w:val="2"/>
                <w:lang w:val="zh-CN"/>
              </w:rPr>
              <w:t>集中答疑</w:t>
            </w:r>
          </w:p>
        </w:tc>
        <w:tc>
          <w:tcPr>
            <w:tcW w:w="7067" w:type="dxa"/>
            <w:vAlign w:val="center"/>
          </w:tcPr>
          <w:p w14:paraId="7EC7BE45">
            <w:pPr>
              <w:keepNext w:val="0"/>
              <w:keepLines w:val="0"/>
              <w:pageBreakBefore w:val="0"/>
              <w:widowControl w:val="0"/>
              <w:kinsoku/>
              <w:wordWrap/>
              <w:overflowPunct/>
              <w:topLinePunct w:val="0"/>
              <w:bidi w:val="0"/>
              <w:adjustRightInd/>
              <w:snapToGrid/>
              <w:spacing w:line="400" w:lineRule="exact"/>
              <w:ind w:right="94" w:rightChars="45"/>
              <w:textAlignment w:val="auto"/>
              <w:rPr>
                <w:rFonts w:hint="default" w:ascii="宋体" w:hAnsi="宋体" w:eastAsia="宋体"/>
                <w:b/>
                <w:sz w:val="24"/>
                <w:u w:val="single"/>
                <w:lang w:val="en-US" w:eastAsia="zh-CN"/>
              </w:rPr>
            </w:pPr>
            <w:r>
              <w:rPr>
                <w:rFonts w:ascii="宋体" w:hAnsi="宋体"/>
                <w:b/>
                <w:sz w:val="24"/>
              </w:rPr>
              <w:t>○组织，答疑地点为：</w:t>
            </w:r>
            <w:r>
              <w:rPr>
                <w:rFonts w:hint="eastAsia" w:ascii="宋体" w:hAnsi="宋体"/>
                <w:b/>
                <w:sz w:val="24"/>
                <w:u w:val="single"/>
                <w:lang w:val="en-US" w:eastAsia="zh-CN"/>
              </w:rPr>
              <w:t xml:space="preserve">      </w:t>
            </w:r>
          </w:p>
          <w:p w14:paraId="0B2CEA0E">
            <w:pPr>
              <w:keepNext w:val="0"/>
              <w:keepLines w:val="0"/>
              <w:pageBreakBefore w:val="0"/>
              <w:widowControl w:val="0"/>
              <w:kinsoku/>
              <w:wordWrap/>
              <w:overflowPunct/>
              <w:topLinePunct w:val="0"/>
              <w:bidi w:val="0"/>
              <w:adjustRightInd/>
              <w:snapToGrid/>
              <w:spacing w:line="400" w:lineRule="exact"/>
              <w:ind w:right="94" w:rightChars="45"/>
              <w:textAlignment w:val="auto"/>
              <w:rPr>
                <w:rFonts w:ascii="宋体" w:hAnsi="宋体"/>
                <w:b/>
                <w:sz w:val="24"/>
              </w:rPr>
            </w:pPr>
            <w:r>
              <w:rPr>
                <w:rFonts w:hint="eastAsia" w:ascii="黑体" w:hAnsi="黑体" w:eastAsia="黑体" w:cs="黑体"/>
                <w:b/>
                <w:bCs/>
                <w:kern w:val="2"/>
                <w:sz w:val="21"/>
                <w:szCs w:val="21"/>
                <w:lang w:val="zh-CN"/>
              </w:rPr>
              <w:t>√</w:t>
            </w:r>
            <w:r>
              <w:rPr>
                <w:rFonts w:hint="eastAsia" w:ascii="黑体" w:hAnsi="黑体" w:eastAsia="黑体" w:cs="黑体"/>
                <w:b/>
                <w:bCs/>
                <w:kern w:val="2"/>
                <w:sz w:val="21"/>
                <w:szCs w:val="21"/>
                <w:lang w:val="en-US" w:eastAsia="zh-CN"/>
              </w:rPr>
              <w:t xml:space="preserve"> </w:t>
            </w:r>
            <w:r>
              <w:rPr>
                <w:rFonts w:ascii="宋体" w:hAnsi="宋体"/>
                <w:b/>
                <w:sz w:val="24"/>
              </w:rPr>
              <w:t>○不组织</w:t>
            </w:r>
          </w:p>
        </w:tc>
      </w:tr>
      <w:tr w14:paraId="290B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06FE662C">
            <w:pPr>
              <w:snapToGrid w:val="0"/>
              <w:spacing w:after="200"/>
              <w:jc w:val="center"/>
              <w:rPr>
                <w:rFonts w:ascii="宋体" w:hAnsi="宋体"/>
                <w:sz w:val="24"/>
              </w:rPr>
            </w:pPr>
            <w:r>
              <w:rPr>
                <w:rFonts w:ascii="宋体" w:hAnsi="宋体"/>
                <w:sz w:val="24"/>
              </w:rPr>
              <w:t>8</w:t>
            </w:r>
          </w:p>
        </w:tc>
        <w:tc>
          <w:tcPr>
            <w:tcW w:w="1556" w:type="dxa"/>
            <w:vAlign w:val="center"/>
          </w:tcPr>
          <w:p w14:paraId="1F0F01B3">
            <w:pPr>
              <w:pStyle w:val="31"/>
              <w:ind w:left="96"/>
              <w:jc w:val="center"/>
              <w:rPr>
                <w:kern w:val="2"/>
                <w:lang w:val="zh-CN"/>
              </w:rPr>
            </w:pPr>
            <w:r>
              <w:rPr>
                <w:kern w:val="2"/>
                <w:lang w:val="zh-CN"/>
              </w:rPr>
              <w:t>价格分比重</w:t>
            </w:r>
          </w:p>
        </w:tc>
        <w:tc>
          <w:tcPr>
            <w:tcW w:w="7067" w:type="dxa"/>
            <w:vAlign w:val="center"/>
          </w:tcPr>
          <w:p w14:paraId="3453B485">
            <w:pPr>
              <w:keepNext w:val="0"/>
              <w:keepLines w:val="0"/>
              <w:pageBreakBefore w:val="0"/>
              <w:widowControl/>
              <w:kinsoku/>
              <w:wordWrap/>
              <w:overflowPunct/>
              <w:topLinePunct w:val="0"/>
              <w:bidi w:val="0"/>
              <w:adjustRightInd/>
              <w:spacing w:line="400" w:lineRule="exact"/>
              <w:textAlignment w:val="auto"/>
              <w:rPr>
                <w:rFonts w:ascii="宋体" w:hAnsi="宋体" w:cs="宋体"/>
                <w:b/>
                <w:kern w:val="0"/>
                <w:sz w:val="24"/>
                <w:szCs w:val="24"/>
                <w:lang w:val="zh-CN"/>
              </w:rPr>
            </w:pPr>
            <w:r>
              <w:rPr>
                <w:rFonts w:ascii="宋体" w:hAnsi="宋体" w:cs="宋体"/>
                <w:b/>
                <w:kern w:val="0"/>
                <w:sz w:val="24"/>
                <w:szCs w:val="24"/>
                <w:lang w:val="zh-CN"/>
              </w:rPr>
              <w:t>占总分值的</w:t>
            </w:r>
            <w:r>
              <w:rPr>
                <w:rFonts w:hint="eastAsia" w:ascii="宋体" w:hAnsi="宋体" w:cs="宋体"/>
                <w:b/>
                <w:kern w:val="2"/>
                <w:sz w:val="24"/>
                <w:szCs w:val="24"/>
                <w:u w:val="single"/>
                <w:lang w:val="en-US" w:eastAsia="zh-CN" w:bidi="ar-SA"/>
              </w:rPr>
              <w:t xml:space="preserve">   15    </w:t>
            </w:r>
            <w:r>
              <w:rPr>
                <w:rFonts w:hint="eastAsia" w:ascii="宋体" w:hAnsi="宋体" w:cs="宋体"/>
                <w:b/>
                <w:kern w:val="0"/>
                <w:sz w:val="24"/>
                <w:szCs w:val="24"/>
                <w:lang w:val="zh-CN"/>
              </w:rPr>
              <w:t>%</w:t>
            </w:r>
          </w:p>
          <w:p w14:paraId="3D123948">
            <w:pPr>
              <w:keepNext w:val="0"/>
              <w:keepLines w:val="0"/>
              <w:pageBreakBefore w:val="0"/>
              <w:widowControl/>
              <w:kinsoku/>
              <w:wordWrap/>
              <w:overflowPunct/>
              <w:topLinePunct w:val="0"/>
              <w:bidi w:val="0"/>
              <w:adjustRightInd/>
              <w:spacing w:line="400" w:lineRule="exact"/>
              <w:textAlignment w:val="auto"/>
              <w:rPr>
                <w:rFonts w:ascii="宋体" w:hAnsi="宋体" w:cs="宋体"/>
                <w:kern w:val="0"/>
                <w:szCs w:val="21"/>
                <w:lang w:val="zh-CN"/>
              </w:rPr>
            </w:pPr>
            <w:r>
              <w:rPr>
                <w:rFonts w:hint="eastAsia" w:ascii="宋体" w:hAnsi="宋体" w:cs="宋体"/>
                <w:kern w:val="0"/>
                <w:szCs w:val="21"/>
                <w:lang w:val="zh-CN"/>
              </w:rPr>
              <w:t>[招标]根据《政府采购货物和服务招标投标管理办法》（财政部87号令）的规定，综合</w:t>
            </w:r>
            <w:r>
              <w:rPr>
                <w:rFonts w:ascii="宋体" w:hAnsi="宋体" w:cs="宋体"/>
                <w:kern w:val="0"/>
                <w:szCs w:val="21"/>
                <w:lang w:val="zh-CN"/>
              </w:rPr>
              <w:t>评分法服务</w:t>
            </w:r>
            <w:r>
              <w:rPr>
                <w:rFonts w:hint="eastAsia" w:ascii="宋体" w:hAnsi="宋体" w:cs="宋体"/>
                <w:kern w:val="0"/>
                <w:szCs w:val="21"/>
                <w:lang w:val="zh-CN"/>
              </w:rPr>
              <w:t>项目的价格分值占总分值的比重不得低于</w:t>
            </w:r>
            <w:r>
              <w:rPr>
                <w:rFonts w:ascii="宋体" w:hAnsi="宋体" w:cs="宋体"/>
                <w:kern w:val="0"/>
                <w:szCs w:val="21"/>
                <w:lang w:val="zh-CN"/>
              </w:rPr>
              <w:t>1</w:t>
            </w:r>
            <w:r>
              <w:rPr>
                <w:rFonts w:hint="eastAsia" w:ascii="宋体" w:hAnsi="宋体" w:cs="宋体"/>
                <w:kern w:val="0"/>
                <w:szCs w:val="21"/>
                <w:lang w:val="zh-CN"/>
              </w:rPr>
              <w:t>0%。执行国家统一定价标准和采用固定价格采购的项目，其价格不列为评审因素。</w:t>
            </w:r>
          </w:p>
          <w:p w14:paraId="51BAF4C4">
            <w:pPr>
              <w:keepNext w:val="0"/>
              <w:keepLines w:val="0"/>
              <w:pageBreakBefore w:val="0"/>
              <w:widowControl/>
              <w:kinsoku/>
              <w:wordWrap/>
              <w:overflowPunct/>
              <w:topLinePunct w:val="0"/>
              <w:bidi w:val="0"/>
              <w:adjustRightInd/>
              <w:spacing w:line="400" w:lineRule="exact"/>
              <w:textAlignment w:val="auto"/>
              <w:rPr>
                <w:rFonts w:ascii="宋体" w:hAnsi="宋体" w:cs="宋体"/>
                <w:kern w:val="0"/>
                <w:szCs w:val="21"/>
                <w:lang w:val="zh-CN"/>
              </w:rPr>
            </w:pPr>
            <w:r>
              <w:rPr>
                <w:rFonts w:ascii="宋体" w:hAnsi="宋体" w:cs="宋体"/>
                <w:kern w:val="0"/>
                <w:szCs w:val="21"/>
                <w:lang w:val="zh-CN"/>
              </w:rPr>
              <w:t>[磋商</w:t>
            </w:r>
            <w:r>
              <w:rPr>
                <w:rFonts w:hint="eastAsia" w:ascii="宋体" w:hAnsi="宋体" w:cs="宋体"/>
                <w:kern w:val="0"/>
                <w:szCs w:val="21"/>
                <w:lang w:val="zh-CN"/>
              </w:rPr>
              <w:t>]根据《政府采购竞争性磋商采购方式管理暂行办法》（财库〔2014〕214号）的规定，服务项目的价格分值占总分值的比重(即权值)为</w:t>
            </w:r>
            <w:r>
              <w:rPr>
                <w:rFonts w:ascii="宋体" w:hAnsi="宋体" w:cs="宋体"/>
                <w:kern w:val="0"/>
                <w:szCs w:val="21"/>
                <w:lang w:val="zh-CN"/>
              </w:rPr>
              <w:t>1</w:t>
            </w:r>
            <w:r>
              <w:rPr>
                <w:rFonts w:hint="eastAsia" w:ascii="宋体" w:hAnsi="宋体" w:cs="宋体"/>
                <w:kern w:val="0"/>
                <w:szCs w:val="21"/>
                <w:lang w:val="zh-CN"/>
              </w:rPr>
              <w:t>0%-</w:t>
            </w:r>
            <w:r>
              <w:rPr>
                <w:rFonts w:ascii="宋体" w:hAnsi="宋体" w:cs="宋体"/>
                <w:kern w:val="0"/>
                <w:szCs w:val="21"/>
                <w:lang w:val="zh-CN"/>
              </w:rPr>
              <w:t>3</w:t>
            </w:r>
            <w:r>
              <w:rPr>
                <w:rFonts w:hint="eastAsia" w:ascii="宋体" w:hAnsi="宋体" w:cs="宋体"/>
                <w:kern w:val="0"/>
                <w:szCs w:val="21"/>
                <w:lang w:val="zh-CN"/>
              </w:rPr>
              <w:t>0%。</w:t>
            </w:r>
          </w:p>
          <w:p w14:paraId="785C9394">
            <w:pPr>
              <w:keepNext w:val="0"/>
              <w:keepLines w:val="0"/>
              <w:pageBreakBefore w:val="0"/>
              <w:widowControl/>
              <w:kinsoku/>
              <w:wordWrap/>
              <w:overflowPunct/>
              <w:topLinePunct w:val="0"/>
              <w:bidi w:val="0"/>
              <w:adjustRightInd/>
              <w:spacing w:line="400" w:lineRule="exact"/>
              <w:textAlignment w:val="auto"/>
              <w:rPr>
                <w:rFonts w:ascii="宋体" w:hAnsi="宋体" w:cs="宋体"/>
                <w:kern w:val="0"/>
                <w:szCs w:val="21"/>
                <w:lang w:val="zh-CN"/>
              </w:rPr>
            </w:pPr>
            <w:r>
              <w:rPr>
                <w:rFonts w:hint="eastAsia" w:ascii="宋体" w:hAnsi="宋体" w:cs="宋体"/>
                <w:kern w:val="0"/>
                <w:szCs w:val="21"/>
                <w:lang w:val="zh-CN"/>
              </w:rPr>
              <w:t>[其他采购方式]无须设置。</w:t>
            </w:r>
          </w:p>
        </w:tc>
      </w:tr>
      <w:tr w14:paraId="672A1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41A5C7A">
            <w:pPr>
              <w:snapToGrid w:val="0"/>
              <w:spacing w:after="200"/>
              <w:jc w:val="center"/>
              <w:rPr>
                <w:rFonts w:ascii="宋体" w:hAnsi="宋体"/>
                <w:sz w:val="24"/>
              </w:rPr>
            </w:pPr>
            <w:r>
              <w:rPr>
                <w:rFonts w:ascii="宋体" w:hAnsi="宋体"/>
                <w:sz w:val="24"/>
              </w:rPr>
              <w:t>9</w:t>
            </w:r>
          </w:p>
        </w:tc>
        <w:tc>
          <w:tcPr>
            <w:tcW w:w="1556" w:type="dxa"/>
            <w:vAlign w:val="center"/>
          </w:tcPr>
          <w:p w14:paraId="710AD4F2">
            <w:pPr>
              <w:pStyle w:val="31"/>
              <w:ind w:left="96"/>
              <w:jc w:val="center"/>
              <w:rPr>
                <w:kern w:val="2"/>
                <w:lang w:val="zh-CN"/>
              </w:rPr>
            </w:pPr>
            <w:r>
              <w:rPr>
                <w:kern w:val="2"/>
                <w:lang w:val="zh-CN"/>
              </w:rPr>
              <w:t>合同类型</w:t>
            </w:r>
          </w:p>
        </w:tc>
        <w:tc>
          <w:tcPr>
            <w:tcW w:w="7067" w:type="dxa"/>
            <w:vAlign w:val="center"/>
          </w:tcPr>
          <w:p w14:paraId="687D1A0B">
            <w:pPr>
              <w:keepNext w:val="0"/>
              <w:keepLines w:val="0"/>
              <w:pageBreakBefore w:val="0"/>
              <w:kinsoku/>
              <w:wordWrap/>
              <w:overflowPunct/>
              <w:topLinePunct w:val="0"/>
              <w:bidi w:val="0"/>
              <w:adjustRightInd/>
              <w:spacing w:line="400" w:lineRule="exact"/>
              <w:textAlignment w:val="auto"/>
              <w:rPr>
                <w:rFonts w:ascii="宋体" w:hAnsi="宋体"/>
                <w:b/>
                <w:sz w:val="24"/>
                <w:lang w:val="zh-CN"/>
              </w:rPr>
            </w:pPr>
            <w:r>
              <w:rPr>
                <w:rFonts w:hint="eastAsia" w:ascii="黑体" w:hAnsi="黑体" w:eastAsia="黑体" w:cs="黑体"/>
                <w:b/>
                <w:bCs/>
                <w:kern w:val="2"/>
                <w:sz w:val="21"/>
                <w:szCs w:val="21"/>
                <w:lang w:val="zh-CN"/>
              </w:rPr>
              <w:t>√</w:t>
            </w:r>
            <w:r>
              <w:rPr>
                <w:rFonts w:hint="eastAsia" w:ascii="Arial" w:hAnsi="Arial" w:cs="Arial"/>
                <w:b/>
                <w:bCs/>
                <w:kern w:val="2"/>
                <w:sz w:val="21"/>
                <w:szCs w:val="21"/>
                <w:lang w:val="en-US" w:eastAsia="zh-CN"/>
              </w:rPr>
              <w:t xml:space="preserve"> </w:t>
            </w:r>
            <w:r>
              <w:rPr>
                <w:rFonts w:ascii="宋体" w:hAnsi="宋体"/>
                <w:b/>
                <w:sz w:val="24"/>
                <w:lang w:val="zh-CN"/>
              </w:rPr>
              <w:t>固定总价</w:t>
            </w:r>
          </w:p>
          <w:p w14:paraId="227801DF">
            <w:pPr>
              <w:keepNext w:val="0"/>
              <w:keepLines w:val="0"/>
              <w:pageBreakBefore w:val="0"/>
              <w:kinsoku/>
              <w:wordWrap/>
              <w:overflowPunct/>
              <w:topLinePunct w:val="0"/>
              <w:bidi w:val="0"/>
              <w:adjustRightInd/>
              <w:spacing w:line="400" w:lineRule="exact"/>
              <w:textAlignment w:val="auto"/>
              <w:rPr>
                <w:rFonts w:ascii="宋体" w:hAnsi="宋体"/>
                <w:b/>
                <w:sz w:val="24"/>
                <w:lang w:val="zh-CN"/>
              </w:rPr>
            </w:pPr>
            <w:r>
              <w:rPr>
                <w:rFonts w:ascii="宋体" w:hAnsi="宋体"/>
                <w:b/>
                <w:sz w:val="24"/>
                <w:lang w:val="zh-CN"/>
              </w:rPr>
              <w:t>○固定单价（适用于采购数量不定的情形）</w:t>
            </w:r>
          </w:p>
          <w:p w14:paraId="6334336B">
            <w:pPr>
              <w:keepNext w:val="0"/>
              <w:keepLines w:val="0"/>
              <w:pageBreakBefore w:val="0"/>
              <w:kinsoku/>
              <w:wordWrap/>
              <w:overflowPunct/>
              <w:topLinePunct w:val="0"/>
              <w:bidi w:val="0"/>
              <w:adjustRightInd/>
              <w:spacing w:line="400" w:lineRule="exact"/>
              <w:textAlignment w:val="auto"/>
              <w:rPr>
                <w:rFonts w:ascii="宋体" w:hAnsi="宋体"/>
                <w:sz w:val="24"/>
                <w:lang w:val="zh-CN"/>
              </w:rPr>
            </w:pPr>
            <w:r>
              <w:rPr>
                <w:rFonts w:ascii="宋体" w:hAnsi="宋体"/>
                <w:b/>
                <w:sz w:val="24"/>
                <w:lang w:val="zh-CN"/>
              </w:rPr>
              <w:t>○其他</w:t>
            </w:r>
            <w:r>
              <w:rPr>
                <w:rFonts w:hint="eastAsia" w:ascii="宋体" w:hAnsi="宋体"/>
                <w:b/>
                <w:sz w:val="24"/>
                <w:lang w:val="zh-CN"/>
              </w:rPr>
              <w:t>：_____________________________</w:t>
            </w:r>
          </w:p>
        </w:tc>
      </w:tr>
      <w:tr w14:paraId="165EE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01F27D90">
            <w:pPr>
              <w:snapToGrid w:val="0"/>
              <w:spacing w:after="200"/>
              <w:jc w:val="center"/>
              <w:rPr>
                <w:rFonts w:ascii="宋体" w:hAnsi="宋体"/>
                <w:sz w:val="24"/>
              </w:rPr>
            </w:pPr>
            <w:r>
              <w:rPr>
                <w:rFonts w:ascii="宋体" w:hAnsi="宋体"/>
                <w:sz w:val="24"/>
              </w:rPr>
              <w:t>10</w:t>
            </w:r>
          </w:p>
        </w:tc>
        <w:tc>
          <w:tcPr>
            <w:tcW w:w="1556" w:type="dxa"/>
            <w:vAlign w:val="center"/>
          </w:tcPr>
          <w:p w14:paraId="23951076">
            <w:pPr>
              <w:tabs>
                <w:tab w:val="left" w:pos="7665"/>
              </w:tabs>
              <w:snapToGrid w:val="0"/>
              <w:jc w:val="center"/>
              <w:rPr>
                <w:rFonts w:ascii="宋体" w:hAnsi="宋体"/>
                <w:sz w:val="24"/>
              </w:rPr>
            </w:pPr>
            <w:r>
              <w:rPr>
                <w:rFonts w:ascii="宋体" w:hAnsi="宋体"/>
                <w:sz w:val="24"/>
              </w:rPr>
              <w:t>争议解决途径</w:t>
            </w:r>
          </w:p>
        </w:tc>
        <w:tc>
          <w:tcPr>
            <w:tcW w:w="7067" w:type="dxa"/>
            <w:vAlign w:val="center"/>
          </w:tcPr>
          <w:p w14:paraId="1D554E26">
            <w:pPr>
              <w:keepNext w:val="0"/>
              <w:keepLines w:val="0"/>
              <w:pageBreakBefore w:val="0"/>
              <w:tabs>
                <w:tab w:val="left" w:pos="7665"/>
              </w:tabs>
              <w:kinsoku/>
              <w:wordWrap/>
              <w:overflowPunct/>
              <w:topLinePunct w:val="0"/>
              <w:bidi w:val="0"/>
              <w:adjustRightInd/>
              <w:snapToGrid w:val="0"/>
              <w:spacing w:line="400" w:lineRule="exact"/>
              <w:textAlignment w:val="auto"/>
              <w:rPr>
                <w:rFonts w:ascii="宋体" w:hAnsi="宋体"/>
                <w:b/>
                <w:sz w:val="24"/>
              </w:rPr>
            </w:pPr>
            <w:r>
              <w:rPr>
                <w:rFonts w:hint="eastAsia" w:ascii="黑体" w:hAnsi="黑体" w:eastAsia="黑体" w:cs="黑体"/>
                <w:b/>
                <w:bCs/>
                <w:kern w:val="2"/>
                <w:sz w:val="21"/>
                <w:szCs w:val="21"/>
                <w:lang w:val="zh-CN"/>
              </w:rPr>
              <w:t>√</w:t>
            </w:r>
            <w:r>
              <w:rPr>
                <w:rFonts w:hint="eastAsia" w:ascii="Arial" w:hAnsi="Arial" w:cs="Arial"/>
                <w:b/>
                <w:bCs/>
                <w:kern w:val="2"/>
                <w:sz w:val="21"/>
                <w:szCs w:val="21"/>
                <w:lang w:val="en-US" w:eastAsia="zh-CN"/>
              </w:rPr>
              <w:t xml:space="preserve"> </w:t>
            </w:r>
            <w:r>
              <w:rPr>
                <w:rFonts w:ascii="宋体" w:hAnsi="宋体"/>
                <w:b/>
                <w:sz w:val="24"/>
              </w:rPr>
              <w:t>向有管辖权的人民法院提起诉讼</w:t>
            </w:r>
          </w:p>
          <w:p w14:paraId="47660E8A">
            <w:pPr>
              <w:keepNext w:val="0"/>
              <w:keepLines w:val="0"/>
              <w:pageBreakBefore w:val="0"/>
              <w:tabs>
                <w:tab w:val="left" w:pos="7665"/>
              </w:tabs>
              <w:kinsoku/>
              <w:wordWrap/>
              <w:overflowPunct/>
              <w:topLinePunct w:val="0"/>
              <w:bidi w:val="0"/>
              <w:adjustRightInd/>
              <w:snapToGrid w:val="0"/>
              <w:spacing w:line="400" w:lineRule="exact"/>
              <w:textAlignment w:val="auto"/>
              <w:rPr>
                <w:rFonts w:ascii="宋体" w:hAnsi="宋体"/>
                <w:b/>
                <w:sz w:val="24"/>
              </w:rPr>
            </w:pPr>
            <w:r>
              <w:rPr>
                <w:rFonts w:ascii="宋体" w:hAnsi="宋体"/>
                <w:b/>
                <w:sz w:val="24"/>
              </w:rPr>
              <w:t>○向西安仲裁委员会提请仲裁</w:t>
            </w:r>
          </w:p>
          <w:p w14:paraId="53E38812">
            <w:pPr>
              <w:keepNext w:val="0"/>
              <w:keepLines w:val="0"/>
              <w:pageBreakBefore w:val="0"/>
              <w:tabs>
                <w:tab w:val="left" w:pos="7665"/>
              </w:tabs>
              <w:kinsoku/>
              <w:wordWrap/>
              <w:overflowPunct/>
              <w:topLinePunct w:val="0"/>
              <w:bidi w:val="0"/>
              <w:adjustRightInd/>
              <w:snapToGrid w:val="0"/>
              <w:spacing w:line="400" w:lineRule="exact"/>
              <w:textAlignment w:val="auto"/>
              <w:rPr>
                <w:rFonts w:ascii="宋体" w:hAnsi="宋体"/>
                <w:sz w:val="24"/>
              </w:rPr>
            </w:pPr>
            <w:r>
              <w:rPr>
                <w:rFonts w:ascii="宋体" w:hAnsi="宋体"/>
                <w:b/>
                <w:sz w:val="24"/>
              </w:rPr>
              <w:t>○由供应商做出选择</w:t>
            </w:r>
          </w:p>
        </w:tc>
      </w:tr>
      <w:tr w14:paraId="615AB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81CF3E6">
            <w:pPr>
              <w:snapToGrid w:val="0"/>
              <w:spacing w:after="200"/>
              <w:jc w:val="center"/>
              <w:rPr>
                <w:rFonts w:ascii="宋体" w:hAnsi="宋体"/>
                <w:sz w:val="24"/>
              </w:rPr>
            </w:pPr>
            <w:r>
              <w:rPr>
                <w:rFonts w:ascii="宋体" w:hAnsi="宋体"/>
                <w:sz w:val="24"/>
              </w:rPr>
              <w:t>11</w:t>
            </w:r>
          </w:p>
        </w:tc>
        <w:tc>
          <w:tcPr>
            <w:tcW w:w="1556" w:type="dxa"/>
            <w:vAlign w:val="center"/>
          </w:tcPr>
          <w:p w14:paraId="011F14CF">
            <w:pPr>
              <w:snapToGrid w:val="0"/>
              <w:jc w:val="center"/>
              <w:rPr>
                <w:rFonts w:ascii="宋体" w:hAnsi="宋体"/>
                <w:sz w:val="24"/>
              </w:rPr>
            </w:pPr>
            <w:r>
              <w:rPr>
                <w:rFonts w:hint="eastAsia" w:ascii="宋体" w:hAnsi="宋体"/>
                <w:sz w:val="24"/>
              </w:rPr>
              <w:t>联系方式</w:t>
            </w:r>
          </w:p>
        </w:tc>
        <w:tc>
          <w:tcPr>
            <w:tcW w:w="7067" w:type="dxa"/>
            <w:vAlign w:val="center"/>
          </w:tcPr>
          <w:p w14:paraId="7AA50B4C">
            <w:pPr>
              <w:keepNext w:val="0"/>
              <w:keepLines w:val="0"/>
              <w:pageBreakBefore w:val="0"/>
              <w:tabs>
                <w:tab w:val="left" w:pos="7665"/>
              </w:tabs>
              <w:kinsoku/>
              <w:wordWrap/>
              <w:overflowPunct/>
              <w:topLinePunct w:val="0"/>
              <w:bidi w:val="0"/>
              <w:adjustRightInd/>
              <w:snapToGrid w:val="0"/>
              <w:spacing w:line="400" w:lineRule="exact"/>
              <w:textAlignment w:val="auto"/>
              <w:rPr>
                <w:rFonts w:hint="eastAsia" w:ascii="宋体" w:hAnsi="宋体"/>
                <w:b/>
                <w:bCs/>
                <w:sz w:val="24"/>
                <w:lang w:val="en-US" w:eastAsia="zh-CN"/>
              </w:rPr>
            </w:pPr>
            <w:r>
              <w:rPr>
                <w:rFonts w:hint="eastAsia" w:ascii="宋体" w:hAnsi="宋体"/>
                <w:b/>
                <w:bCs/>
                <w:sz w:val="24"/>
              </w:rPr>
              <w:t>项目对接人：</w:t>
            </w:r>
            <w:r>
              <w:rPr>
                <w:rFonts w:hint="eastAsia" w:ascii="宋体" w:hAnsi="宋体"/>
                <w:b/>
                <w:bCs/>
                <w:sz w:val="24"/>
                <w:u w:val="single"/>
                <w:lang w:val="en-US" w:eastAsia="zh-CN"/>
              </w:rPr>
              <w:t xml:space="preserve">   李鑫    </w:t>
            </w:r>
            <w:r>
              <w:rPr>
                <w:rFonts w:hint="eastAsia" w:ascii="宋体" w:hAnsi="宋体"/>
                <w:b/>
                <w:bCs/>
                <w:sz w:val="24"/>
                <w:lang w:val="en-US" w:eastAsia="zh-CN"/>
              </w:rPr>
              <w:t xml:space="preserve"> </w:t>
            </w:r>
          </w:p>
          <w:p w14:paraId="2E005F3E">
            <w:pPr>
              <w:keepNext w:val="0"/>
              <w:keepLines w:val="0"/>
              <w:pageBreakBefore w:val="0"/>
              <w:tabs>
                <w:tab w:val="left" w:pos="7665"/>
              </w:tabs>
              <w:kinsoku/>
              <w:wordWrap/>
              <w:overflowPunct/>
              <w:topLinePunct w:val="0"/>
              <w:bidi w:val="0"/>
              <w:adjustRightInd/>
              <w:snapToGrid w:val="0"/>
              <w:spacing w:line="400" w:lineRule="exact"/>
              <w:textAlignment w:val="auto"/>
              <w:rPr>
                <w:rFonts w:hint="default" w:ascii="宋体" w:hAnsi="宋体" w:eastAsia="宋体"/>
                <w:b/>
                <w:bCs/>
                <w:sz w:val="24"/>
                <w:u w:val="single"/>
                <w:lang w:val="en-US" w:eastAsia="zh-CN"/>
              </w:rPr>
            </w:pPr>
            <w:r>
              <w:rPr>
                <w:rFonts w:ascii="宋体" w:hAnsi="宋体"/>
                <w:b/>
                <w:bCs/>
                <w:sz w:val="24"/>
              </w:rPr>
              <w:t>联系电话：</w:t>
            </w:r>
            <w:r>
              <w:rPr>
                <w:rFonts w:hint="eastAsia" w:ascii="宋体" w:hAnsi="宋体"/>
                <w:b/>
                <w:bCs/>
                <w:sz w:val="24"/>
                <w:u w:val="single"/>
                <w:lang w:val="en-US" w:eastAsia="zh-CN"/>
              </w:rPr>
              <w:t xml:space="preserve">   86866336  </w:t>
            </w:r>
          </w:p>
          <w:p w14:paraId="3E116259">
            <w:pPr>
              <w:keepNext w:val="0"/>
              <w:keepLines w:val="0"/>
              <w:pageBreakBefore w:val="0"/>
              <w:tabs>
                <w:tab w:val="left" w:pos="7665"/>
              </w:tabs>
              <w:kinsoku/>
              <w:wordWrap/>
              <w:overflowPunct/>
              <w:topLinePunct w:val="0"/>
              <w:bidi w:val="0"/>
              <w:adjustRightInd/>
              <w:snapToGrid w:val="0"/>
              <w:spacing w:line="400" w:lineRule="exact"/>
              <w:textAlignment w:val="auto"/>
              <w:rPr>
                <w:rFonts w:ascii="宋体" w:hAnsi="宋体"/>
                <w:sz w:val="24"/>
              </w:rPr>
            </w:pPr>
            <w:r>
              <w:rPr>
                <w:rFonts w:ascii="宋体" w:hAnsi="宋体"/>
                <w:b/>
                <w:bCs/>
                <w:sz w:val="24"/>
              </w:rPr>
              <w:t>电子邮箱：</w:t>
            </w:r>
            <w:r>
              <w:rPr>
                <w:rFonts w:hint="eastAsia" w:ascii="宋体" w:hAnsi="宋体"/>
                <w:b/>
                <w:bCs/>
                <w:sz w:val="24"/>
              </w:rPr>
              <w:t>_______</w:t>
            </w:r>
            <w:r>
              <w:rPr>
                <w:rFonts w:hint="eastAsia" w:ascii="宋体" w:hAnsi="宋体"/>
                <w:b/>
                <w:bCs/>
                <w:sz w:val="24"/>
                <w:lang w:val="en-US" w:eastAsia="zh-CN"/>
              </w:rPr>
              <w:t>/</w:t>
            </w:r>
            <w:r>
              <w:rPr>
                <w:rFonts w:hint="eastAsia" w:ascii="宋体" w:hAnsi="宋体"/>
                <w:b/>
                <w:bCs/>
                <w:sz w:val="24"/>
              </w:rPr>
              <w:t>______</w:t>
            </w:r>
          </w:p>
        </w:tc>
      </w:tr>
    </w:tbl>
    <w:p w14:paraId="61917073">
      <w:pPr>
        <w:widowControl/>
        <w:jc w:val="center"/>
        <w:rPr>
          <w:rFonts w:ascii="仿宋" w:hAnsi="仿宋" w:eastAsia="仿宋"/>
          <w:b/>
          <w:sz w:val="32"/>
          <w:szCs w:val="32"/>
        </w:rPr>
      </w:pPr>
    </w:p>
    <w:p w14:paraId="08FCBB4D">
      <w:pPr>
        <w:widowControl/>
        <w:jc w:val="center"/>
        <w:rPr>
          <w:rFonts w:ascii="仿宋" w:hAnsi="仿宋" w:eastAsia="仿宋"/>
          <w:b/>
          <w:sz w:val="32"/>
          <w:szCs w:val="32"/>
        </w:rPr>
      </w:pPr>
    </w:p>
    <w:p w14:paraId="3D94134F">
      <w:pPr>
        <w:widowControl/>
        <w:jc w:val="center"/>
        <w:rPr>
          <w:rFonts w:ascii="仿宋" w:hAnsi="仿宋" w:eastAsia="仿宋"/>
          <w:b/>
          <w:sz w:val="32"/>
          <w:szCs w:val="32"/>
        </w:rPr>
      </w:pPr>
    </w:p>
    <w:p w14:paraId="3C0DDD67">
      <w:pPr>
        <w:widowControl/>
        <w:jc w:val="center"/>
        <w:rPr>
          <w:rFonts w:ascii="仿宋" w:hAnsi="仿宋" w:eastAsia="仿宋"/>
          <w:b/>
          <w:sz w:val="32"/>
          <w:szCs w:val="32"/>
        </w:rPr>
      </w:pPr>
    </w:p>
    <w:p w14:paraId="7BCD6E53">
      <w:pPr>
        <w:widowControl/>
        <w:jc w:val="center"/>
        <w:rPr>
          <w:rFonts w:ascii="仿宋" w:hAnsi="仿宋" w:eastAsia="仿宋"/>
          <w:b/>
          <w:sz w:val="32"/>
          <w:szCs w:val="32"/>
        </w:rPr>
      </w:pPr>
    </w:p>
    <w:p w14:paraId="1E81250B">
      <w:pPr>
        <w:widowControl/>
        <w:jc w:val="center"/>
        <w:rPr>
          <w:rFonts w:ascii="仿宋" w:hAnsi="仿宋" w:eastAsia="仿宋"/>
          <w:b/>
          <w:sz w:val="32"/>
          <w:szCs w:val="32"/>
        </w:rPr>
      </w:pPr>
    </w:p>
    <w:p w14:paraId="5299AA20">
      <w:pPr>
        <w:widowControl/>
        <w:jc w:val="center"/>
        <w:rPr>
          <w:rFonts w:ascii="仿宋" w:hAnsi="仿宋" w:eastAsia="仿宋"/>
          <w:b/>
          <w:sz w:val="32"/>
          <w:szCs w:val="32"/>
        </w:rPr>
      </w:pPr>
    </w:p>
    <w:p w14:paraId="61B3EF78">
      <w:pPr>
        <w:widowControl/>
        <w:jc w:val="center"/>
        <w:rPr>
          <w:rFonts w:ascii="仿宋" w:hAnsi="仿宋" w:eastAsia="仿宋"/>
          <w:b/>
          <w:sz w:val="32"/>
          <w:szCs w:val="32"/>
        </w:rPr>
      </w:pPr>
    </w:p>
    <w:p w14:paraId="612F7144">
      <w:pPr>
        <w:widowControl/>
        <w:jc w:val="center"/>
        <w:rPr>
          <w:rFonts w:ascii="仿宋" w:hAnsi="仿宋" w:eastAsia="仿宋"/>
          <w:b/>
          <w:sz w:val="32"/>
          <w:szCs w:val="32"/>
        </w:rPr>
      </w:pPr>
    </w:p>
    <w:p w14:paraId="45C07ECA">
      <w:pPr>
        <w:widowControl/>
        <w:jc w:val="center"/>
        <w:rPr>
          <w:rFonts w:ascii="仿宋" w:hAnsi="仿宋" w:eastAsia="仿宋"/>
          <w:b/>
          <w:sz w:val="32"/>
          <w:szCs w:val="32"/>
        </w:rPr>
      </w:pPr>
    </w:p>
    <w:p w14:paraId="575C65DA">
      <w:pPr>
        <w:widowControl/>
        <w:jc w:val="center"/>
        <w:rPr>
          <w:rFonts w:ascii="仿宋" w:hAnsi="仿宋" w:eastAsia="仿宋"/>
          <w:b/>
          <w:sz w:val="32"/>
          <w:szCs w:val="32"/>
        </w:rPr>
      </w:pPr>
    </w:p>
    <w:p w14:paraId="564B94A3">
      <w:pPr>
        <w:widowControl/>
        <w:jc w:val="center"/>
        <w:rPr>
          <w:rFonts w:ascii="仿宋" w:hAnsi="仿宋" w:eastAsia="仿宋"/>
          <w:b/>
          <w:sz w:val="32"/>
          <w:szCs w:val="32"/>
        </w:rPr>
      </w:pPr>
    </w:p>
    <w:p w14:paraId="118884DD">
      <w:pPr>
        <w:widowControl/>
        <w:jc w:val="center"/>
        <w:rPr>
          <w:rFonts w:ascii="仿宋" w:hAnsi="仿宋" w:eastAsia="仿宋"/>
          <w:b/>
          <w:sz w:val="32"/>
          <w:szCs w:val="32"/>
        </w:rPr>
      </w:pPr>
    </w:p>
    <w:p w14:paraId="52D95C2D">
      <w:pPr>
        <w:widowControl/>
        <w:jc w:val="center"/>
        <w:rPr>
          <w:rFonts w:ascii="仿宋" w:hAnsi="仿宋" w:eastAsia="仿宋"/>
          <w:b/>
          <w:sz w:val="32"/>
          <w:szCs w:val="32"/>
        </w:rPr>
      </w:pPr>
    </w:p>
    <w:p w14:paraId="5AA8A2C4">
      <w:pPr>
        <w:widowControl/>
        <w:jc w:val="center"/>
        <w:rPr>
          <w:rFonts w:ascii="仿宋" w:hAnsi="仿宋" w:eastAsia="仿宋"/>
          <w:b/>
          <w:sz w:val="32"/>
          <w:szCs w:val="32"/>
        </w:rPr>
      </w:pPr>
    </w:p>
    <w:p w14:paraId="00193CB3">
      <w:pPr>
        <w:widowControl/>
        <w:jc w:val="center"/>
        <w:rPr>
          <w:rFonts w:ascii="仿宋" w:hAnsi="仿宋" w:eastAsia="仿宋"/>
          <w:b/>
          <w:sz w:val="32"/>
          <w:szCs w:val="32"/>
        </w:rPr>
      </w:pPr>
    </w:p>
    <w:p w14:paraId="0AD6876C">
      <w:pPr>
        <w:widowControl/>
        <w:jc w:val="center"/>
        <w:rPr>
          <w:rFonts w:ascii="仿宋" w:hAnsi="仿宋" w:eastAsia="仿宋"/>
          <w:b/>
          <w:sz w:val="32"/>
          <w:szCs w:val="32"/>
        </w:rPr>
      </w:pPr>
    </w:p>
    <w:p w14:paraId="3AC318E0">
      <w:pPr>
        <w:widowControl/>
        <w:jc w:val="both"/>
        <w:rPr>
          <w:rFonts w:ascii="仿宋" w:hAnsi="仿宋" w:eastAsia="仿宋"/>
          <w:b/>
          <w:sz w:val="32"/>
          <w:szCs w:val="32"/>
        </w:rPr>
      </w:pPr>
    </w:p>
    <w:p w14:paraId="45025E95">
      <w:pPr>
        <w:widowControl/>
        <w:jc w:val="center"/>
        <w:rPr>
          <w:rFonts w:hint="eastAsia" w:ascii="仿宋" w:hAnsi="仿宋" w:eastAsia="仿宋"/>
          <w:b/>
          <w:sz w:val="32"/>
          <w:szCs w:val="32"/>
          <w:lang w:val="en-US" w:eastAsia="zh-CN"/>
        </w:rPr>
      </w:pPr>
      <w:r>
        <w:rPr>
          <w:rFonts w:hint="eastAsia" w:ascii="仿宋" w:hAnsi="仿宋" w:eastAsia="仿宋"/>
          <w:b/>
          <w:sz w:val="32"/>
          <w:szCs w:val="32"/>
          <w:lang w:val="en-US" w:eastAsia="zh-CN"/>
        </w:rPr>
        <w:t>2026年阎良区残疾人职业技能和实用技术培训项目</w:t>
      </w:r>
    </w:p>
    <w:p w14:paraId="52D073B5">
      <w:pPr>
        <w:widowControl/>
        <w:jc w:val="center"/>
        <w:rPr>
          <w:rFonts w:ascii="仿宋" w:hAnsi="仿宋" w:eastAsia="仿宋"/>
          <w:b/>
          <w:sz w:val="32"/>
          <w:szCs w:val="32"/>
        </w:rPr>
      </w:pPr>
      <w:r>
        <w:rPr>
          <w:rFonts w:ascii="仿宋" w:hAnsi="仿宋" w:eastAsia="仿宋"/>
          <w:b/>
          <w:sz w:val="32"/>
          <w:szCs w:val="32"/>
        </w:rPr>
        <w:t>需求框架</w:t>
      </w:r>
      <w:r>
        <w:rPr>
          <w:rFonts w:hint="eastAsia" w:ascii="仿宋" w:hAnsi="仿宋" w:eastAsia="仿宋"/>
          <w:b/>
          <w:sz w:val="32"/>
          <w:szCs w:val="32"/>
        </w:rPr>
        <w:t>（服务类</w:t>
      </w:r>
      <w:r>
        <w:rPr>
          <w:rFonts w:ascii="仿宋" w:hAnsi="仿宋" w:eastAsia="仿宋"/>
          <w:b/>
          <w:sz w:val="32"/>
          <w:szCs w:val="32"/>
        </w:rPr>
        <w:t>）</w:t>
      </w:r>
    </w:p>
    <w:p w14:paraId="34382751">
      <w:pPr>
        <w:keepNext w:val="0"/>
        <w:keepLines w:val="0"/>
        <w:pageBreakBefore w:val="0"/>
        <w:widowControl w:val="0"/>
        <w:pBdr>
          <w:bottom w:val="single" w:color="auto" w:sz="4" w:space="1"/>
        </w:pBdr>
        <w:kinsoku/>
        <w:wordWrap/>
        <w:overflowPunct/>
        <w:topLinePunct w:val="0"/>
        <w:autoSpaceDE/>
        <w:autoSpaceDN/>
        <w:bidi w:val="0"/>
        <w:adjustRightInd/>
        <w:snapToGrid/>
        <w:spacing w:beforeLines="100" w:line="600" w:lineRule="exact"/>
        <w:ind w:left="420" w:hanging="420"/>
        <w:textAlignment w:val="auto"/>
        <w:rPr>
          <w:rFonts w:ascii="仿宋" w:hAnsi="仿宋" w:eastAsia="仿宋"/>
          <w:b/>
          <w:sz w:val="28"/>
          <w:szCs w:val="28"/>
        </w:rPr>
      </w:pPr>
      <w:r>
        <w:rPr>
          <w:rFonts w:ascii="仿宋" w:hAnsi="仿宋" w:eastAsia="仿宋"/>
          <w:b/>
          <w:sz w:val="28"/>
          <w:szCs w:val="28"/>
        </w:rPr>
        <w:t>一、项目</w:t>
      </w:r>
      <w:r>
        <w:rPr>
          <w:rFonts w:hint="eastAsia" w:ascii="仿宋" w:hAnsi="仿宋" w:eastAsia="仿宋"/>
          <w:b/>
          <w:sz w:val="28"/>
          <w:szCs w:val="28"/>
        </w:rPr>
        <w:t>概况</w:t>
      </w:r>
    </w:p>
    <w:p w14:paraId="67A7EC9F">
      <w:pPr>
        <w:keepNext w:val="0"/>
        <w:keepLines w:val="0"/>
        <w:pageBreakBefore w:val="0"/>
        <w:widowControl w:val="0"/>
        <w:kinsoku/>
        <w:wordWrap/>
        <w:overflowPunct/>
        <w:topLinePunct w:val="0"/>
        <w:autoSpaceDE/>
        <w:autoSpaceDN/>
        <w:bidi w:val="0"/>
        <w:adjustRightInd/>
        <w:snapToGrid/>
        <w:spacing w:line="600" w:lineRule="exact"/>
        <w:ind w:firstLine="524" w:firstLineChars="200"/>
        <w:textAlignment w:val="auto"/>
        <w:rPr>
          <w:rFonts w:hint="eastAsia" w:ascii="仿宋" w:hAnsi="仿宋" w:eastAsia="仿宋"/>
          <w:sz w:val="28"/>
          <w:szCs w:val="28"/>
        </w:rPr>
      </w:pPr>
      <w:r>
        <w:rPr>
          <w:rFonts w:hint="eastAsia" w:ascii="仿宋_GB2312" w:hAnsi="仿宋_GB2312" w:eastAsia="仿宋_GB2312" w:cs="仿宋_GB2312"/>
          <w:spacing w:val="-9"/>
          <w:sz w:val="28"/>
          <w:szCs w:val="28"/>
        </w:rPr>
        <w:t>为落实《陕西省“十四五”残疾人保障和发展规划》</w:t>
      </w:r>
      <w:r>
        <w:rPr>
          <w:rFonts w:hint="eastAsia" w:ascii="仿宋_GB2312" w:hAnsi="仿宋_GB2312" w:eastAsia="仿宋_GB2312" w:cs="仿宋_GB2312"/>
          <w:spacing w:val="-10"/>
          <w:sz w:val="28"/>
          <w:szCs w:val="28"/>
        </w:rPr>
        <w:t>和《陕</w:t>
      </w:r>
      <w:r>
        <w:rPr>
          <w:rFonts w:hint="eastAsia" w:ascii="仿宋_GB2312" w:hAnsi="仿宋_GB2312" w:eastAsia="仿宋_GB2312" w:cs="仿宋_GB2312"/>
          <w:spacing w:val="-6"/>
          <w:sz w:val="28"/>
          <w:szCs w:val="28"/>
        </w:rPr>
        <w:t>西省“十四五”残疾人职业技能提升计划实施方案》有关要求，</w:t>
      </w:r>
      <w:r>
        <w:rPr>
          <w:rFonts w:hint="eastAsia" w:ascii="仿宋_GB2312" w:hAnsi="仿宋_GB2312" w:eastAsia="仿宋_GB2312" w:cs="仿宋_GB2312"/>
          <w:spacing w:val="-8"/>
          <w:sz w:val="28"/>
          <w:szCs w:val="28"/>
        </w:rPr>
        <w:t>进一步提高残疾人技能水平，促进残疾人就业创业</w:t>
      </w:r>
      <w:r>
        <w:rPr>
          <w:rFonts w:hint="eastAsia" w:ascii="仿宋_GB2312" w:hAnsi="仿宋_GB2312" w:eastAsia="仿宋_GB2312" w:cs="仿宋_GB2312"/>
          <w:spacing w:val="-8"/>
          <w:sz w:val="28"/>
          <w:szCs w:val="28"/>
          <w:lang w:eastAsia="zh-CN"/>
        </w:rPr>
        <w:t>。</w:t>
      </w:r>
    </w:p>
    <w:p w14:paraId="56218E0C">
      <w:pPr>
        <w:keepNext w:val="0"/>
        <w:keepLines w:val="0"/>
        <w:pageBreakBefore w:val="0"/>
        <w:widowControl w:val="0"/>
        <w:pBdr>
          <w:bottom w:val="single" w:color="auto" w:sz="4" w:space="1"/>
        </w:pBdr>
        <w:kinsoku/>
        <w:wordWrap/>
        <w:overflowPunct/>
        <w:topLinePunct w:val="0"/>
        <w:autoSpaceDE/>
        <w:autoSpaceDN/>
        <w:bidi w:val="0"/>
        <w:adjustRightInd/>
        <w:snapToGrid/>
        <w:spacing w:beforeLines="100" w:line="600" w:lineRule="exact"/>
        <w:textAlignment w:val="auto"/>
        <w:rPr>
          <w:rFonts w:hint="eastAsia" w:ascii="仿宋_GB2312" w:hAnsi="仿宋_GB2312" w:eastAsia="仿宋_GB2312" w:cs="仿宋_GB2312"/>
          <w:spacing w:val="-6"/>
          <w:sz w:val="28"/>
          <w:szCs w:val="28"/>
        </w:rPr>
      </w:pPr>
      <w:r>
        <w:rPr>
          <w:rFonts w:hint="eastAsia" w:ascii="仿宋" w:hAnsi="仿宋" w:eastAsia="仿宋"/>
          <w:b/>
          <w:sz w:val="28"/>
          <w:szCs w:val="28"/>
        </w:rPr>
        <w:t>二、服务内容（包括工作区域、工作内容等）</w:t>
      </w:r>
    </w:p>
    <w:p w14:paraId="17622B08">
      <w:pPr>
        <w:keepNext w:val="0"/>
        <w:keepLines w:val="0"/>
        <w:pageBreakBefore w:val="0"/>
        <w:widowControl w:val="0"/>
        <w:kinsoku/>
        <w:wordWrap/>
        <w:overflowPunct/>
        <w:topLinePunct w:val="0"/>
        <w:autoSpaceDE/>
        <w:autoSpaceDN/>
        <w:bidi w:val="0"/>
        <w:adjustRightInd/>
        <w:snapToGrid/>
        <w:spacing w:line="600" w:lineRule="exact"/>
        <w:ind w:firstLine="536" w:firstLineChars="200"/>
        <w:textAlignment w:val="auto"/>
        <w:rPr>
          <w:rFonts w:hint="eastAsia" w:ascii="仿宋_GB2312" w:hAnsi="仿宋_GB2312" w:eastAsia="仿宋_GB2312" w:cs="仿宋_GB2312"/>
          <w:spacing w:val="-6"/>
          <w:sz w:val="28"/>
          <w:szCs w:val="28"/>
          <w:lang w:val="en-US" w:eastAsia="zh-CN"/>
        </w:rPr>
      </w:pPr>
      <w:r>
        <w:rPr>
          <w:rFonts w:hint="eastAsia" w:ascii="仿宋_GB2312" w:hAnsi="仿宋_GB2312" w:eastAsia="仿宋_GB2312" w:cs="仿宋_GB2312"/>
          <w:spacing w:val="-6"/>
          <w:sz w:val="28"/>
          <w:szCs w:val="28"/>
          <w:lang w:val="en-US" w:eastAsia="zh-CN"/>
        </w:rPr>
        <w:t>工作区域：服务地点为西安市阎良区。</w:t>
      </w:r>
    </w:p>
    <w:p w14:paraId="1144CDFE">
      <w:pPr>
        <w:keepNext w:val="0"/>
        <w:keepLines w:val="0"/>
        <w:pageBreakBefore w:val="0"/>
        <w:widowControl w:val="0"/>
        <w:kinsoku/>
        <w:wordWrap/>
        <w:overflowPunct/>
        <w:topLinePunct w:val="0"/>
        <w:autoSpaceDE/>
        <w:autoSpaceDN/>
        <w:bidi w:val="0"/>
        <w:adjustRightInd/>
        <w:snapToGrid/>
        <w:spacing w:line="600" w:lineRule="exact"/>
        <w:ind w:firstLine="536" w:firstLineChars="200"/>
        <w:textAlignment w:val="auto"/>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lang w:val="en-US" w:eastAsia="zh-CN"/>
        </w:rPr>
        <w:t>工作目标：</w:t>
      </w:r>
      <w:r>
        <w:rPr>
          <w:rFonts w:hint="eastAsia" w:ascii="仿宋_GB2312" w:hAnsi="仿宋_GB2312" w:eastAsia="仿宋_GB2312" w:cs="仿宋_GB2312"/>
          <w:spacing w:val="-6"/>
          <w:sz w:val="28"/>
          <w:szCs w:val="28"/>
        </w:rPr>
        <w:t>帮助残疾人掌握1门以上职业技能或实用技术，提高就业</w:t>
      </w:r>
      <w:r>
        <w:rPr>
          <w:rFonts w:hint="eastAsia" w:ascii="仿宋_GB2312" w:hAnsi="仿宋_GB2312" w:eastAsia="仿宋_GB2312" w:cs="仿宋_GB2312"/>
          <w:spacing w:val="-6"/>
          <w:sz w:val="28"/>
          <w:szCs w:val="28"/>
          <w:lang w:val="en-US" w:eastAsia="zh-CN"/>
        </w:rPr>
        <w:t>技</w:t>
      </w:r>
      <w:r>
        <w:rPr>
          <w:rFonts w:hint="eastAsia" w:ascii="仿宋_GB2312" w:hAnsi="仿宋_GB2312" w:eastAsia="仿宋_GB2312" w:cs="仿宋_GB2312"/>
          <w:spacing w:val="-6"/>
          <w:sz w:val="28"/>
          <w:szCs w:val="28"/>
        </w:rPr>
        <w:t>能，促进就业创业。</w:t>
      </w:r>
    </w:p>
    <w:p w14:paraId="510741BE">
      <w:pPr>
        <w:keepNext w:val="0"/>
        <w:keepLines w:val="0"/>
        <w:pageBreakBefore w:val="0"/>
        <w:widowControl w:val="0"/>
        <w:kinsoku/>
        <w:wordWrap/>
        <w:overflowPunct/>
        <w:topLinePunct w:val="0"/>
        <w:autoSpaceDE/>
        <w:autoSpaceDN/>
        <w:bidi w:val="0"/>
        <w:adjustRightInd/>
        <w:snapToGrid/>
        <w:spacing w:line="600" w:lineRule="exact"/>
        <w:ind w:firstLine="536" w:firstLineChars="200"/>
        <w:textAlignment w:val="auto"/>
        <w:rPr>
          <w:rFonts w:hint="default" w:ascii="仿宋_GB2312" w:hAnsi="仿宋_GB2312" w:eastAsia="仿宋_GB2312" w:cs="仿宋_GB2312"/>
          <w:spacing w:val="-6"/>
          <w:sz w:val="28"/>
          <w:szCs w:val="28"/>
          <w:lang w:val="en-US" w:eastAsia="zh-CN"/>
        </w:rPr>
      </w:pPr>
      <w:r>
        <w:rPr>
          <w:rFonts w:hint="eastAsia" w:ascii="仿宋_GB2312" w:hAnsi="仿宋_GB2312" w:eastAsia="仿宋_GB2312" w:cs="仿宋_GB2312"/>
          <w:spacing w:val="-6"/>
          <w:sz w:val="28"/>
          <w:szCs w:val="28"/>
          <w:lang w:val="en-US" w:eastAsia="zh-CN"/>
        </w:rPr>
        <w:t>培训对象：具有阎良区户籍并持有二代残疾人证；处于就业年龄段（男16-59周岁、女16-54周岁）；有劳动能力和就业意愿；具备接受培训的条件和能力。具备以上条件的重度残疾人家庭直系亲属亦可作为实施对象。</w:t>
      </w:r>
    </w:p>
    <w:p w14:paraId="2FC9570E">
      <w:pPr>
        <w:keepNext w:val="0"/>
        <w:keepLines w:val="0"/>
        <w:pageBreakBefore w:val="0"/>
        <w:widowControl w:val="0"/>
        <w:kinsoku/>
        <w:wordWrap/>
        <w:overflowPunct/>
        <w:topLinePunct w:val="0"/>
        <w:autoSpaceDE/>
        <w:autoSpaceDN/>
        <w:bidi w:val="0"/>
        <w:adjustRightInd/>
        <w:snapToGrid/>
        <w:spacing w:line="600" w:lineRule="exact"/>
        <w:ind w:firstLine="536" w:firstLineChars="200"/>
        <w:textAlignment w:val="auto"/>
        <w:rPr>
          <w:rFonts w:hint="default" w:ascii="仿宋_GB2312" w:hAnsi="仿宋_GB2312" w:eastAsia="仿宋_GB2312" w:cs="仿宋_GB2312"/>
          <w:spacing w:val="-6"/>
          <w:sz w:val="28"/>
          <w:szCs w:val="28"/>
          <w:lang w:val="en-US" w:eastAsia="zh-CN"/>
        </w:rPr>
      </w:pPr>
      <w:r>
        <w:rPr>
          <w:rFonts w:hint="eastAsia" w:ascii="仿宋_GB2312" w:hAnsi="仿宋_GB2312" w:eastAsia="仿宋_GB2312" w:cs="仿宋_GB2312"/>
          <w:spacing w:val="-6"/>
          <w:sz w:val="28"/>
          <w:szCs w:val="28"/>
          <w:lang w:val="en-US" w:eastAsia="zh-CN"/>
        </w:rPr>
        <w:t>培训人数：残疾人职业技能和实用技术培训，共培训300人。</w:t>
      </w:r>
    </w:p>
    <w:p w14:paraId="493F4F5B">
      <w:pPr>
        <w:keepNext w:val="0"/>
        <w:keepLines w:val="0"/>
        <w:pageBreakBefore w:val="0"/>
        <w:widowControl w:val="0"/>
        <w:pBdr>
          <w:bottom w:val="single" w:color="auto" w:sz="4" w:space="1"/>
        </w:pBdr>
        <w:kinsoku/>
        <w:wordWrap/>
        <w:overflowPunct/>
        <w:topLinePunct w:val="0"/>
        <w:autoSpaceDE/>
        <w:autoSpaceDN/>
        <w:bidi w:val="0"/>
        <w:adjustRightInd/>
        <w:snapToGrid/>
        <w:spacing w:beforeLines="100" w:line="600" w:lineRule="exact"/>
        <w:ind w:left="420" w:hanging="420"/>
        <w:textAlignment w:val="auto"/>
        <w:rPr>
          <w:rFonts w:ascii="仿宋" w:hAnsi="仿宋" w:eastAsia="仿宋"/>
          <w:b/>
          <w:sz w:val="28"/>
          <w:szCs w:val="28"/>
        </w:rPr>
      </w:pPr>
      <w:r>
        <w:rPr>
          <w:rFonts w:hint="eastAsia" w:ascii="仿宋" w:hAnsi="仿宋" w:eastAsia="仿宋"/>
          <w:b/>
          <w:sz w:val="28"/>
          <w:szCs w:val="28"/>
        </w:rPr>
        <w:t>三、技术要求（如有，一般适合于技术服务项目）</w:t>
      </w:r>
    </w:p>
    <w:p w14:paraId="78C44EC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1.符合残疾人培训的要求，具有一定培训规模，培训质量高，针对性强，培训合格率不低于80％，培训后就业率不低于70％。</w:t>
      </w:r>
    </w:p>
    <w:p w14:paraId="5E35A126">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lang w:val="en-US" w:eastAsia="zh-CN"/>
        </w:rPr>
        <w:t>2.开设的培训科目适合残疾人身心特点，符合本地区经济发展和企业生产要求且常设培训科目不少于3个;教学计划、培训方案完备，年度培训电子档案和书面档案健全；具有完善的安全管理和安全责任制度，保证残疾学员日常生活、学习和实习安全；配备有与培训规模、培训科目相适应的专兼职教师、管理人员以及教学辅助人员；教学场地、设施设备、工具图书资料等教学条件能够满足残疾人的无障碍要求。</w:t>
      </w:r>
    </w:p>
    <w:p w14:paraId="31FBD33D">
      <w:pPr>
        <w:keepNext w:val="0"/>
        <w:keepLines w:val="0"/>
        <w:pageBreakBefore w:val="0"/>
        <w:widowControl w:val="0"/>
        <w:pBdr>
          <w:bottom w:val="single" w:color="auto" w:sz="4" w:space="1"/>
        </w:pBdr>
        <w:kinsoku/>
        <w:wordWrap/>
        <w:overflowPunct/>
        <w:topLinePunct w:val="0"/>
        <w:autoSpaceDE/>
        <w:autoSpaceDN/>
        <w:bidi w:val="0"/>
        <w:adjustRightInd/>
        <w:snapToGrid/>
        <w:spacing w:beforeLines="100" w:line="600" w:lineRule="exact"/>
        <w:ind w:left="420" w:hanging="420"/>
        <w:textAlignment w:val="auto"/>
        <w:rPr>
          <w:rFonts w:ascii="仿宋" w:hAnsi="仿宋" w:eastAsia="仿宋"/>
          <w:b/>
          <w:sz w:val="28"/>
          <w:szCs w:val="28"/>
        </w:rPr>
      </w:pPr>
      <w:r>
        <w:rPr>
          <w:rFonts w:hint="eastAsia" w:ascii="仿宋" w:hAnsi="仿宋" w:eastAsia="仿宋"/>
          <w:b/>
          <w:sz w:val="28"/>
          <w:szCs w:val="28"/>
        </w:rPr>
        <w:t>四、服务要求（如对人员配置、专业设备、服务标准等）</w:t>
      </w:r>
    </w:p>
    <w:p w14:paraId="1E09D75F">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spacing w:val="-6"/>
          <w:sz w:val="28"/>
          <w:szCs w:val="28"/>
          <w:lang w:val="en-US" w:eastAsia="zh-CN"/>
        </w:rPr>
      </w:pPr>
      <w:r>
        <w:rPr>
          <w:rFonts w:hint="eastAsia" w:ascii="仿宋_GB2312" w:hAnsi="仿宋_GB2312" w:eastAsia="仿宋_GB2312" w:cs="仿宋_GB2312"/>
          <w:sz w:val="28"/>
          <w:szCs w:val="28"/>
          <w:lang w:val="en-US" w:eastAsia="zh-CN"/>
        </w:rPr>
        <w:t>培训机构</w:t>
      </w:r>
      <w:r>
        <w:rPr>
          <w:rFonts w:hint="eastAsia" w:ascii="仿宋_GB2312" w:hAnsi="仿宋_GB2312" w:eastAsia="仿宋_GB2312" w:cs="仿宋_GB2312"/>
          <w:sz w:val="28"/>
          <w:szCs w:val="28"/>
        </w:rPr>
        <w:t>按照协议确定的原创和</w:t>
      </w:r>
      <w:r>
        <w:rPr>
          <w:rFonts w:hint="eastAsia" w:ascii="仿宋_GB2312" w:hAnsi="仿宋_GB2312" w:eastAsia="仿宋_GB2312" w:cs="仿宋_GB2312"/>
          <w:sz w:val="28"/>
          <w:szCs w:val="28"/>
          <w:lang w:val="en-US" w:eastAsia="zh-CN"/>
        </w:rPr>
        <w:t>采购方</w:t>
      </w:r>
      <w:r>
        <w:rPr>
          <w:rFonts w:hint="eastAsia" w:ascii="仿宋_GB2312" w:hAnsi="仿宋_GB2312" w:eastAsia="仿宋_GB2312" w:cs="仿宋_GB2312"/>
          <w:sz w:val="28"/>
          <w:szCs w:val="28"/>
        </w:rPr>
        <w:t>的要求，做好培训学员的培训、实操、考核等工作。在培训协议签署后，负责相关培训资料的收集及整理工作，并按照要求在培训结束后</w:t>
      </w:r>
      <w:r>
        <w:rPr>
          <w:rFonts w:hint="eastAsia" w:ascii="仿宋_GB2312" w:hAnsi="仿宋_GB2312" w:eastAsia="仿宋_GB2312" w:cs="仿宋_GB2312"/>
          <w:sz w:val="28"/>
          <w:szCs w:val="28"/>
          <w:lang w:eastAsia="zh-CN"/>
        </w:rPr>
        <w:t>交予</w:t>
      </w:r>
      <w:r>
        <w:rPr>
          <w:rFonts w:hint="eastAsia" w:ascii="仿宋_GB2312" w:hAnsi="仿宋_GB2312" w:eastAsia="仿宋_GB2312" w:cs="仿宋_GB2312"/>
          <w:sz w:val="28"/>
          <w:szCs w:val="28"/>
          <w:lang w:val="en-US" w:eastAsia="zh-CN"/>
        </w:rPr>
        <w:t>采购方。</w:t>
      </w:r>
      <w:r>
        <w:rPr>
          <w:rFonts w:hint="eastAsia" w:ascii="仿宋_GB2312" w:hAnsi="仿宋_GB2312" w:eastAsia="仿宋_GB2312" w:cs="仿宋_GB2312"/>
          <w:spacing w:val="-6"/>
          <w:sz w:val="28"/>
          <w:szCs w:val="28"/>
          <w:lang w:val="en-US" w:eastAsia="zh-CN"/>
        </w:rPr>
        <w:t>接受培训残疾人合格率达80%以上。</w:t>
      </w:r>
    </w:p>
    <w:p w14:paraId="1D8EE262">
      <w:pPr>
        <w:keepNext w:val="0"/>
        <w:keepLines w:val="0"/>
        <w:pageBreakBefore w:val="0"/>
        <w:widowControl w:val="0"/>
        <w:pBdr>
          <w:bottom w:val="single" w:color="auto" w:sz="4" w:space="1"/>
        </w:pBdr>
        <w:kinsoku/>
        <w:wordWrap/>
        <w:overflowPunct/>
        <w:topLinePunct w:val="0"/>
        <w:autoSpaceDE/>
        <w:autoSpaceDN/>
        <w:bidi w:val="0"/>
        <w:adjustRightInd/>
        <w:snapToGrid/>
        <w:spacing w:beforeLines="100" w:line="600" w:lineRule="exact"/>
        <w:ind w:left="420" w:hanging="420"/>
        <w:textAlignment w:val="auto"/>
        <w:rPr>
          <w:rFonts w:ascii="仿宋" w:hAnsi="仿宋" w:eastAsia="仿宋"/>
          <w:b/>
          <w:sz w:val="28"/>
          <w:szCs w:val="28"/>
        </w:rPr>
      </w:pPr>
      <w:r>
        <w:rPr>
          <w:rFonts w:hint="eastAsia" w:ascii="仿宋" w:hAnsi="仿宋" w:eastAsia="仿宋"/>
          <w:b/>
          <w:sz w:val="28"/>
          <w:szCs w:val="28"/>
        </w:rPr>
        <w:t>五、商务要求（如服务期限、款项结算等）</w:t>
      </w:r>
    </w:p>
    <w:p w14:paraId="721E3DDC">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sz w:val="28"/>
          <w:szCs w:val="28"/>
        </w:rPr>
      </w:pPr>
      <w:r>
        <w:rPr>
          <w:rFonts w:hint="eastAsia" w:ascii="仿宋" w:hAnsi="仿宋" w:eastAsia="仿宋"/>
          <w:sz w:val="28"/>
          <w:szCs w:val="28"/>
        </w:rPr>
        <w:t>（一）服务期限</w:t>
      </w:r>
    </w:p>
    <w:p w14:paraId="38CE7E30">
      <w:pPr>
        <w:keepNext w:val="0"/>
        <w:keepLines w:val="0"/>
        <w:pageBreakBefore w:val="0"/>
        <w:widowControl w:val="0"/>
        <w:kinsoku/>
        <w:wordWrap/>
        <w:overflowPunct/>
        <w:topLinePunct w:val="0"/>
        <w:autoSpaceDE/>
        <w:autoSpaceDN/>
        <w:bidi w:val="0"/>
        <w:adjustRightInd/>
        <w:snapToGrid/>
        <w:spacing w:line="600" w:lineRule="exact"/>
        <w:ind w:firstLine="536" w:firstLineChars="200"/>
        <w:textAlignment w:val="auto"/>
        <w:rPr>
          <w:rFonts w:hint="eastAsia" w:ascii="仿宋_GB2312" w:hAnsi="仿宋_GB2312" w:eastAsia="仿宋_GB2312" w:cs="仿宋_GB2312"/>
          <w:spacing w:val="-6"/>
          <w:sz w:val="28"/>
          <w:szCs w:val="28"/>
          <w:lang w:val="en-US" w:eastAsia="zh-CN"/>
        </w:rPr>
      </w:pPr>
      <w:r>
        <w:rPr>
          <w:rFonts w:hint="eastAsia" w:ascii="仿宋_GB2312" w:hAnsi="仿宋_GB2312" w:eastAsia="仿宋_GB2312" w:cs="仿宋_GB2312"/>
          <w:spacing w:val="-6"/>
          <w:sz w:val="28"/>
          <w:szCs w:val="28"/>
          <w:lang w:val="en-US" w:eastAsia="zh-CN"/>
        </w:rPr>
        <w:t>培训时间：</w:t>
      </w:r>
      <w:r>
        <w:rPr>
          <w:rFonts w:hint="eastAsia" w:ascii="仿宋" w:hAnsi="仿宋" w:eastAsia="仿宋" w:cs="Times New Roman"/>
          <w:sz w:val="28"/>
          <w:szCs w:val="28"/>
          <w:lang w:val="en-US" w:eastAsia="zh-CN"/>
        </w:rPr>
        <w:t>服务合</w:t>
      </w:r>
      <w:r>
        <w:rPr>
          <w:rFonts w:hint="eastAsia" w:ascii="仿宋_GB2312" w:hAnsi="仿宋_GB2312" w:eastAsia="仿宋_GB2312" w:cs="仿宋_GB2312"/>
          <w:spacing w:val="-6"/>
          <w:sz w:val="28"/>
          <w:szCs w:val="28"/>
          <w:lang w:val="en-US" w:eastAsia="zh-CN"/>
        </w:rPr>
        <w:t>同签订后至2026年12月31日前。</w:t>
      </w:r>
    </w:p>
    <w:p w14:paraId="1E7662D1">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sz w:val="28"/>
          <w:szCs w:val="28"/>
        </w:rPr>
      </w:pPr>
      <w:r>
        <w:rPr>
          <w:rFonts w:hint="eastAsia" w:ascii="仿宋" w:hAnsi="仿宋" w:eastAsia="仿宋"/>
          <w:sz w:val="28"/>
          <w:szCs w:val="28"/>
        </w:rPr>
        <w:t>（二）款项结算</w:t>
      </w:r>
    </w:p>
    <w:p w14:paraId="7F9EF54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培训结束，服务质量达到合同约定的标准要求后，7个工作日内支付该项目的全部费用。</w:t>
      </w:r>
    </w:p>
    <w:p w14:paraId="4D3FCB47">
      <w:pPr>
        <w:keepNext w:val="0"/>
        <w:keepLines w:val="0"/>
        <w:pageBreakBefore w:val="0"/>
        <w:widowControl w:val="0"/>
        <w:pBdr>
          <w:bottom w:val="single" w:color="auto" w:sz="4" w:space="1"/>
        </w:pBdr>
        <w:kinsoku/>
        <w:wordWrap/>
        <w:overflowPunct/>
        <w:topLinePunct w:val="0"/>
        <w:autoSpaceDE/>
        <w:autoSpaceDN/>
        <w:bidi w:val="0"/>
        <w:adjustRightInd/>
        <w:snapToGrid/>
        <w:spacing w:beforeLines="100" w:line="600" w:lineRule="exact"/>
        <w:textAlignment w:val="auto"/>
        <w:rPr>
          <w:rFonts w:ascii="仿宋" w:hAnsi="仿宋" w:eastAsia="仿宋"/>
          <w:b/>
          <w:sz w:val="28"/>
          <w:szCs w:val="28"/>
        </w:rPr>
      </w:pPr>
      <w:r>
        <w:rPr>
          <w:rFonts w:hint="eastAsia" w:ascii="仿宋" w:hAnsi="仿宋" w:eastAsia="仿宋"/>
          <w:b/>
          <w:sz w:val="28"/>
          <w:szCs w:val="28"/>
        </w:rPr>
        <w:t>六、其他（如有要求，请写明）</w:t>
      </w:r>
    </w:p>
    <w:p w14:paraId="7A27E218">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sz w:val="28"/>
          <w:szCs w:val="28"/>
        </w:rPr>
      </w:pPr>
      <w:r>
        <w:rPr>
          <w:rFonts w:hint="eastAsia" w:ascii="仿宋" w:hAnsi="仿宋" w:eastAsia="仿宋"/>
          <w:sz w:val="28"/>
          <w:szCs w:val="28"/>
        </w:rPr>
        <w:t>（一）对服务商的业绩要求</w:t>
      </w:r>
    </w:p>
    <w:p w14:paraId="7421160D">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sz w:val="28"/>
          <w:szCs w:val="28"/>
          <w:lang w:eastAsia="zh-CN"/>
        </w:rPr>
      </w:pPr>
      <w:r>
        <w:rPr>
          <w:rFonts w:hint="default" w:ascii="仿宋" w:hAnsi="仿宋" w:eastAsia="仿宋" w:cs="Times New Roman"/>
          <w:sz w:val="28"/>
          <w:szCs w:val="28"/>
          <w:lang w:val="en-US" w:eastAsia="zh-CN"/>
        </w:rPr>
        <w:t>供应商提供202</w:t>
      </w:r>
      <w:r>
        <w:rPr>
          <w:rFonts w:hint="eastAsia" w:ascii="仿宋" w:hAnsi="仿宋" w:eastAsia="仿宋" w:cs="Times New Roman"/>
          <w:sz w:val="28"/>
          <w:szCs w:val="28"/>
          <w:lang w:val="en-US" w:eastAsia="zh-CN"/>
        </w:rPr>
        <w:t>3</w:t>
      </w:r>
      <w:r>
        <w:rPr>
          <w:rFonts w:hint="default" w:ascii="仿宋" w:hAnsi="仿宋" w:eastAsia="仿宋" w:cs="Times New Roman"/>
          <w:sz w:val="28"/>
          <w:szCs w:val="28"/>
          <w:lang w:val="en-US" w:eastAsia="zh-CN"/>
        </w:rPr>
        <w:t>年1月1日起至今同类项目业绩</w:t>
      </w:r>
      <w:r>
        <w:rPr>
          <w:rFonts w:hint="eastAsia" w:ascii="仿宋" w:hAnsi="仿宋" w:eastAsia="仿宋" w:cs="Times New Roman"/>
          <w:sz w:val="28"/>
          <w:szCs w:val="28"/>
          <w:lang w:val="en-US" w:eastAsia="zh-CN"/>
        </w:rPr>
        <w:t>。</w:t>
      </w:r>
    </w:p>
    <w:p w14:paraId="2BB6AAF6">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sz w:val="28"/>
          <w:szCs w:val="28"/>
        </w:rPr>
      </w:pPr>
      <w:r>
        <w:rPr>
          <w:rFonts w:hint="eastAsia" w:ascii="仿宋" w:hAnsi="仿宋" w:eastAsia="仿宋"/>
          <w:sz w:val="28"/>
          <w:szCs w:val="28"/>
        </w:rPr>
        <w:t>（二）进度要求</w:t>
      </w:r>
    </w:p>
    <w:p w14:paraId="5B19D5D5">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default" w:ascii="宋体" w:hAnsi="宋体" w:eastAsia="宋体" w:cs="宋体"/>
          <w:sz w:val="28"/>
          <w:szCs w:val="28"/>
          <w:lang w:val="en-US" w:eastAsia="zh-CN"/>
        </w:rPr>
      </w:pPr>
      <w:r>
        <w:rPr>
          <w:rFonts w:hint="eastAsia" w:ascii="仿宋" w:hAnsi="仿宋" w:eastAsia="仿宋" w:cs="Times New Roman"/>
          <w:sz w:val="28"/>
          <w:szCs w:val="28"/>
          <w:lang w:val="en-US" w:eastAsia="zh-CN"/>
        </w:rPr>
        <w:t>培训机构</w:t>
      </w:r>
      <w:r>
        <w:rPr>
          <w:rFonts w:hint="eastAsia" w:ascii="仿宋" w:hAnsi="仿宋" w:eastAsia="仿宋" w:cs="Times New Roman"/>
          <w:sz w:val="28"/>
          <w:szCs w:val="28"/>
        </w:rPr>
        <w:t>按照协议确定的原创和</w:t>
      </w:r>
      <w:r>
        <w:rPr>
          <w:rFonts w:hint="eastAsia" w:ascii="仿宋" w:hAnsi="仿宋" w:eastAsia="仿宋" w:cs="Times New Roman"/>
          <w:sz w:val="28"/>
          <w:szCs w:val="28"/>
          <w:lang w:val="en-US" w:eastAsia="zh-CN"/>
        </w:rPr>
        <w:t>采购方</w:t>
      </w:r>
      <w:r>
        <w:rPr>
          <w:rFonts w:hint="eastAsia" w:ascii="仿宋" w:hAnsi="仿宋" w:eastAsia="仿宋" w:cs="Times New Roman"/>
          <w:sz w:val="28"/>
          <w:szCs w:val="28"/>
        </w:rPr>
        <w:t>的要求，做好培训学员的培训、实操、考核等工作。在培训协议签署后，负责相关培训资料的收集及整理工作，并按照要求在培训结束后交于</w:t>
      </w:r>
      <w:r>
        <w:rPr>
          <w:rFonts w:hint="eastAsia" w:ascii="仿宋" w:hAnsi="仿宋" w:eastAsia="仿宋" w:cs="Times New Roman"/>
          <w:sz w:val="28"/>
          <w:szCs w:val="28"/>
          <w:lang w:val="en-US" w:eastAsia="zh-CN"/>
        </w:rPr>
        <w:t>采购方。</w:t>
      </w:r>
    </w:p>
    <w:p w14:paraId="72B4E92A">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sz w:val="28"/>
          <w:szCs w:val="28"/>
        </w:rPr>
      </w:pPr>
      <w:r>
        <w:rPr>
          <w:rFonts w:hint="eastAsia" w:ascii="仿宋" w:hAnsi="仿宋" w:eastAsia="仿宋"/>
          <w:sz w:val="28"/>
          <w:szCs w:val="28"/>
        </w:rPr>
        <w:t>（三）成果交付要求</w:t>
      </w:r>
    </w:p>
    <w:p w14:paraId="5F3C6AE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lang w:val="en-US" w:eastAsia="zh-CN"/>
        </w:rPr>
        <w:t>培训机构</w:t>
      </w:r>
      <w:r>
        <w:rPr>
          <w:rFonts w:hint="eastAsia" w:ascii="仿宋" w:hAnsi="仿宋" w:eastAsia="仿宋"/>
          <w:sz w:val="28"/>
          <w:szCs w:val="28"/>
        </w:rPr>
        <w:t>在</w:t>
      </w:r>
      <w:r>
        <w:rPr>
          <w:rFonts w:hint="eastAsia" w:ascii="仿宋" w:hAnsi="仿宋" w:eastAsia="仿宋"/>
          <w:sz w:val="28"/>
          <w:szCs w:val="28"/>
          <w:lang w:val="en-US" w:eastAsia="zh-CN"/>
        </w:rPr>
        <w:t>合同</w:t>
      </w:r>
      <w:r>
        <w:rPr>
          <w:rFonts w:hint="eastAsia" w:ascii="仿宋" w:hAnsi="仿宋" w:eastAsia="仿宋"/>
          <w:sz w:val="28"/>
          <w:szCs w:val="28"/>
        </w:rPr>
        <w:t>期限内完成培训有关的全部工作，并在完成后5个工作日内，向</w:t>
      </w:r>
      <w:r>
        <w:rPr>
          <w:rFonts w:hint="eastAsia" w:ascii="仿宋" w:hAnsi="仿宋" w:eastAsia="仿宋"/>
          <w:sz w:val="28"/>
          <w:szCs w:val="28"/>
          <w:lang w:val="en-US" w:eastAsia="zh-CN"/>
        </w:rPr>
        <w:t>采购方</w:t>
      </w:r>
      <w:r>
        <w:rPr>
          <w:rFonts w:hint="eastAsia" w:ascii="仿宋" w:hAnsi="仿宋" w:eastAsia="仿宋"/>
          <w:sz w:val="28"/>
          <w:szCs w:val="28"/>
        </w:rPr>
        <w:t>提交培训的相关资料。</w:t>
      </w:r>
    </w:p>
    <w:p w14:paraId="631B8AEC">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sz w:val="28"/>
          <w:szCs w:val="28"/>
        </w:rPr>
      </w:pPr>
      <w:r>
        <w:rPr>
          <w:rFonts w:hint="eastAsia" w:ascii="仿宋" w:hAnsi="仿宋" w:eastAsia="仿宋"/>
          <w:sz w:val="28"/>
          <w:szCs w:val="28"/>
        </w:rPr>
        <w:t>（四</w:t>
      </w:r>
      <w:r>
        <w:rPr>
          <w:rFonts w:ascii="仿宋" w:hAnsi="仿宋" w:eastAsia="仿宋"/>
          <w:sz w:val="28"/>
          <w:szCs w:val="28"/>
        </w:rPr>
        <w:t>）</w:t>
      </w:r>
      <w:r>
        <w:rPr>
          <w:rFonts w:hint="eastAsia" w:ascii="仿宋" w:hAnsi="仿宋" w:eastAsia="仿宋"/>
          <w:sz w:val="28"/>
          <w:szCs w:val="28"/>
        </w:rPr>
        <w:t>质量验收标准或规范</w:t>
      </w:r>
    </w:p>
    <w:p w14:paraId="50C33B1E">
      <w:pPr>
        <w:keepNext w:val="0"/>
        <w:keepLines w:val="0"/>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eastAsia" w:ascii="仿宋" w:hAnsi="仿宋" w:eastAsia="仿宋"/>
          <w:sz w:val="28"/>
          <w:szCs w:val="28"/>
          <w:lang w:eastAsia="zh-CN"/>
        </w:rPr>
      </w:pPr>
      <w:r>
        <w:rPr>
          <w:rFonts w:hint="eastAsia" w:ascii="仿宋" w:hAnsi="仿宋" w:eastAsia="仿宋" w:cs="Times New Roman"/>
          <w:sz w:val="28"/>
          <w:szCs w:val="28"/>
          <w:lang w:val="en-US" w:eastAsia="zh-CN"/>
        </w:rPr>
        <w:t>质量要求合格，接受培训残疾人合格率达80%以上，</w:t>
      </w:r>
      <w:r>
        <w:rPr>
          <w:rFonts w:hint="default" w:ascii="仿宋" w:hAnsi="仿宋" w:eastAsia="仿宋" w:cs="Times New Roman"/>
          <w:sz w:val="28"/>
          <w:szCs w:val="28"/>
          <w:lang w:val="en-US" w:eastAsia="zh-CN"/>
        </w:rPr>
        <w:t>全</w:t>
      </w:r>
      <w:r>
        <w:rPr>
          <w:rFonts w:hint="default" w:ascii="仿宋" w:hAnsi="仿宋" w:eastAsia="仿宋"/>
          <w:sz w:val="28"/>
          <w:szCs w:val="28"/>
          <w:lang w:val="en-US" w:eastAsia="zh-CN"/>
        </w:rPr>
        <w:t>额支付服务费用；满意率每下降一个</w:t>
      </w:r>
      <w:r>
        <w:rPr>
          <w:rFonts w:hint="eastAsia" w:ascii="仿宋" w:hAnsi="仿宋" w:eastAsia="仿宋"/>
          <w:sz w:val="28"/>
          <w:szCs w:val="28"/>
          <w:lang w:val="en-US" w:eastAsia="zh-CN"/>
        </w:rPr>
        <w:t>百分</w:t>
      </w:r>
      <w:r>
        <w:rPr>
          <w:rFonts w:hint="default" w:ascii="仿宋" w:hAnsi="仿宋" w:eastAsia="仿宋"/>
          <w:sz w:val="28"/>
          <w:szCs w:val="28"/>
          <w:lang w:val="en-US" w:eastAsia="zh-CN"/>
        </w:rPr>
        <w:t>点，扣减服务费</w:t>
      </w:r>
      <w:r>
        <w:rPr>
          <w:rFonts w:hint="eastAsia" w:ascii="仿宋" w:hAnsi="仿宋" w:eastAsia="仿宋"/>
          <w:sz w:val="28"/>
          <w:szCs w:val="28"/>
          <w:lang w:val="en-US" w:eastAsia="zh-CN"/>
        </w:rPr>
        <w:t>的1%</w:t>
      </w:r>
      <w:r>
        <w:rPr>
          <w:rFonts w:hint="default" w:ascii="仿宋" w:hAnsi="仿宋" w:eastAsia="仿宋"/>
          <w:sz w:val="28"/>
          <w:szCs w:val="28"/>
          <w:lang w:val="en-US" w:eastAsia="zh-CN"/>
        </w:rPr>
        <w:t>。满意率低于7</w:t>
      </w:r>
      <w:r>
        <w:rPr>
          <w:rFonts w:hint="eastAsia" w:ascii="仿宋" w:hAnsi="仿宋" w:eastAsia="仿宋"/>
          <w:sz w:val="28"/>
          <w:szCs w:val="28"/>
          <w:lang w:val="en-US" w:eastAsia="zh-CN"/>
        </w:rPr>
        <w:t>0</w:t>
      </w:r>
      <w:r>
        <w:rPr>
          <w:rFonts w:hint="default" w:ascii="仿宋" w:hAnsi="仿宋" w:eastAsia="仿宋"/>
          <w:sz w:val="28"/>
          <w:szCs w:val="28"/>
          <w:lang w:val="en-US" w:eastAsia="zh-CN"/>
        </w:rPr>
        <w:t>%以下的，暂停支付服务费用，并责令为期两个月整改，整改后满意率达到</w:t>
      </w:r>
      <w:r>
        <w:rPr>
          <w:rFonts w:hint="eastAsia" w:ascii="仿宋" w:hAnsi="仿宋" w:eastAsia="仿宋"/>
          <w:sz w:val="28"/>
          <w:szCs w:val="28"/>
          <w:lang w:val="en-US" w:eastAsia="zh-CN"/>
        </w:rPr>
        <w:t>8</w:t>
      </w:r>
      <w:r>
        <w:rPr>
          <w:rFonts w:hint="default" w:ascii="仿宋" w:hAnsi="仿宋" w:eastAsia="仿宋"/>
          <w:sz w:val="28"/>
          <w:szCs w:val="28"/>
          <w:lang w:val="en-US" w:eastAsia="zh-CN"/>
        </w:rPr>
        <w:t>0%的，整改期间按实际满意率兑现相应服务费，若仍低于7</w:t>
      </w:r>
      <w:r>
        <w:rPr>
          <w:rFonts w:hint="eastAsia" w:ascii="仿宋" w:hAnsi="仿宋" w:eastAsia="仿宋"/>
          <w:sz w:val="28"/>
          <w:szCs w:val="28"/>
          <w:lang w:val="en-US" w:eastAsia="zh-CN"/>
        </w:rPr>
        <w:t>0</w:t>
      </w:r>
      <w:r>
        <w:rPr>
          <w:rFonts w:hint="default" w:ascii="仿宋" w:hAnsi="仿宋" w:eastAsia="仿宋"/>
          <w:sz w:val="28"/>
          <w:szCs w:val="28"/>
          <w:lang w:val="en-US" w:eastAsia="zh-CN"/>
        </w:rPr>
        <w:t>%的，甲方有权终止合同</w:t>
      </w:r>
      <w:r>
        <w:rPr>
          <w:rFonts w:hint="eastAsia" w:ascii="仿宋" w:hAnsi="仿宋" w:eastAsia="仿宋"/>
          <w:sz w:val="28"/>
          <w:szCs w:val="28"/>
          <w:lang w:val="en-US" w:eastAsia="zh-CN"/>
        </w:rPr>
        <w:t>。</w:t>
      </w:r>
    </w:p>
    <w:p w14:paraId="7CD49C15">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val="en-US" w:eastAsia="zh-CN"/>
        </w:rPr>
        <w:t>五</w:t>
      </w:r>
      <w:r>
        <w:rPr>
          <w:rFonts w:ascii="仿宋" w:hAnsi="仿宋" w:eastAsia="仿宋"/>
          <w:sz w:val="28"/>
          <w:szCs w:val="28"/>
        </w:rPr>
        <w:t>）违约责任</w:t>
      </w:r>
    </w:p>
    <w:p w14:paraId="301FE77E">
      <w:pPr>
        <w:pStyle w:val="38"/>
        <w:keepNext w:val="0"/>
        <w:keepLines w:val="0"/>
        <w:pageBreakBefore w:val="0"/>
        <w:widowControl w:val="0"/>
        <w:shd w:val="clear" w:color="auto" w:fill="auto"/>
        <w:tabs>
          <w:tab w:val="left" w:pos="832"/>
        </w:tabs>
        <w:kinsoku/>
        <w:wordWrap/>
        <w:overflowPunct/>
        <w:topLinePunct w:val="0"/>
        <w:autoSpaceDE/>
        <w:autoSpaceDN/>
        <w:bidi w:val="0"/>
        <w:adjustRightInd/>
        <w:snapToGrid/>
        <w:spacing w:before="0" w:after="0" w:line="600" w:lineRule="exact"/>
        <w:ind w:left="0" w:leftChars="0" w:right="0" w:firstLine="536" w:firstLineChars="200"/>
        <w:jc w:val="both"/>
        <w:textAlignment w:val="auto"/>
        <w:rPr>
          <w:rFonts w:hint="eastAsia" w:ascii="仿宋_GB2312" w:hAnsi="仿宋_GB2312" w:eastAsia="仿宋_GB2312" w:cs="仿宋_GB2312"/>
          <w:spacing w:val="-6"/>
          <w:kern w:val="2"/>
          <w:sz w:val="28"/>
          <w:szCs w:val="28"/>
          <w:u w:val="none"/>
          <w:shd w:val="clear"/>
          <w:lang w:val="en-US" w:eastAsia="zh-CN" w:bidi="ar-SA"/>
        </w:rPr>
      </w:pPr>
      <w:r>
        <w:rPr>
          <w:rFonts w:hint="eastAsia" w:ascii="仿宋_GB2312" w:hAnsi="仿宋_GB2312" w:eastAsia="仿宋_GB2312" w:cs="仿宋_GB2312"/>
          <w:spacing w:val="-6"/>
          <w:kern w:val="2"/>
          <w:sz w:val="28"/>
          <w:szCs w:val="28"/>
          <w:u w:val="none"/>
          <w:shd w:val="clear"/>
          <w:lang w:val="en-US" w:eastAsia="zh-CN" w:bidi="ar-SA"/>
        </w:rPr>
        <w:t>有下列情形之一的，即为</w:t>
      </w:r>
      <w:r>
        <w:rPr>
          <w:rFonts w:hint="eastAsia" w:ascii="仿宋_GB2312" w:hAnsi="仿宋_GB2312" w:eastAsia="仿宋_GB2312" w:cs="仿宋_GB2312"/>
          <w:spacing w:val="-6"/>
          <w:kern w:val="2"/>
          <w:sz w:val="28"/>
          <w:szCs w:val="28"/>
          <w:u w:val="none"/>
          <w:shd w:val="clear"/>
          <w:lang w:val="zh-CN" w:eastAsia="zh-CN" w:bidi="ar-SA"/>
        </w:rPr>
        <w:t>违约,</w:t>
      </w:r>
      <w:r>
        <w:rPr>
          <w:rFonts w:hint="eastAsia" w:ascii="仿宋_GB2312" w:hAnsi="仿宋_GB2312" w:eastAsia="仿宋_GB2312" w:cs="仿宋_GB2312"/>
          <w:spacing w:val="-6"/>
          <w:kern w:val="2"/>
          <w:sz w:val="28"/>
          <w:szCs w:val="28"/>
          <w:u w:val="none"/>
          <w:shd w:val="clear"/>
          <w:lang w:val="en-US" w:eastAsia="zh-CN" w:bidi="ar-SA"/>
        </w:rPr>
        <w:t>采购方有权单方终止合同；除按国家有关法律法规处理外，采购方有权取消其残疾人技能培训定点机构资格，并在三年内不接受其参与残疾人技能培训定点机构投标。</w:t>
      </w:r>
    </w:p>
    <w:p w14:paraId="4DF11751">
      <w:pPr>
        <w:pStyle w:val="38"/>
        <w:keepNext w:val="0"/>
        <w:keepLines w:val="0"/>
        <w:pageBreakBefore w:val="0"/>
        <w:widowControl w:val="0"/>
        <w:shd w:val="clear" w:color="auto" w:fill="auto"/>
        <w:tabs>
          <w:tab w:val="left" w:pos="832"/>
        </w:tabs>
        <w:kinsoku/>
        <w:wordWrap/>
        <w:overflowPunct/>
        <w:topLinePunct w:val="0"/>
        <w:autoSpaceDE/>
        <w:autoSpaceDN/>
        <w:bidi w:val="0"/>
        <w:adjustRightInd/>
        <w:snapToGrid/>
        <w:spacing w:before="0" w:after="0" w:line="600" w:lineRule="exact"/>
        <w:ind w:left="0" w:leftChars="0" w:right="0" w:firstLine="536" w:firstLineChars="200"/>
        <w:jc w:val="both"/>
        <w:textAlignment w:val="auto"/>
        <w:rPr>
          <w:rFonts w:hint="eastAsia" w:ascii="仿宋_GB2312" w:hAnsi="仿宋_GB2312" w:eastAsia="仿宋_GB2312" w:cs="仿宋_GB2312"/>
          <w:spacing w:val="-6"/>
          <w:kern w:val="2"/>
          <w:sz w:val="28"/>
          <w:szCs w:val="28"/>
          <w:u w:val="none"/>
          <w:shd w:val="clear"/>
          <w:lang w:val="en-US" w:eastAsia="zh-CN" w:bidi="ar-SA"/>
        </w:rPr>
      </w:pPr>
      <w:r>
        <w:rPr>
          <w:rFonts w:hint="eastAsia" w:ascii="仿宋_GB2312" w:hAnsi="仿宋_GB2312" w:eastAsia="仿宋_GB2312" w:cs="仿宋_GB2312"/>
          <w:spacing w:val="-6"/>
          <w:kern w:val="2"/>
          <w:sz w:val="28"/>
          <w:szCs w:val="28"/>
          <w:u w:val="none"/>
          <w:shd w:val="clear"/>
          <w:lang w:val="en-US" w:eastAsia="zh-CN" w:bidi="ar-SA"/>
        </w:rPr>
        <w:t>（1）无正当理由拒绝培训工作的;</w:t>
      </w:r>
    </w:p>
    <w:p w14:paraId="697A9260">
      <w:pPr>
        <w:pStyle w:val="38"/>
        <w:keepNext w:val="0"/>
        <w:keepLines w:val="0"/>
        <w:pageBreakBefore w:val="0"/>
        <w:widowControl w:val="0"/>
        <w:shd w:val="clear" w:color="auto" w:fill="auto"/>
        <w:tabs>
          <w:tab w:val="left" w:pos="832"/>
        </w:tabs>
        <w:kinsoku/>
        <w:wordWrap/>
        <w:overflowPunct/>
        <w:topLinePunct w:val="0"/>
        <w:autoSpaceDE/>
        <w:autoSpaceDN/>
        <w:bidi w:val="0"/>
        <w:adjustRightInd/>
        <w:snapToGrid/>
        <w:spacing w:before="0" w:after="0" w:line="600" w:lineRule="exact"/>
        <w:ind w:left="0" w:leftChars="0" w:right="0" w:firstLine="536" w:firstLineChars="200"/>
        <w:jc w:val="both"/>
        <w:textAlignment w:val="auto"/>
        <w:rPr>
          <w:rFonts w:hint="eastAsia" w:ascii="仿宋_GB2312" w:hAnsi="仿宋_GB2312" w:eastAsia="仿宋_GB2312" w:cs="仿宋_GB2312"/>
          <w:spacing w:val="-6"/>
          <w:kern w:val="2"/>
          <w:sz w:val="28"/>
          <w:szCs w:val="28"/>
          <w:u w:val="none"/>
          <w:shd w:val="clear"/>
          <w:lang w:val="en-US" w:eastAsia="zh-CN" w:bidi="ar-SA"/>
        </w:rPr>
      </w:pPr>
      <w:r>
        <w:rPr>
          <w:rFonts w:hint="eastAsia" w:ascii="仿宋_GB2312" w:hAnsi="仿宋_GB2312" w:eastAsia="仿宋_GB2312" w:cs="仿宋_GB2312"/>
          <w:spacing w:val="-6"/>
          <w:kern w:val="2"/>
          <w:sz w:val="28"/>
          <w:szCs w:val="28"/>
          <w:u w:val="none"/>
          <w:shd w:val="clear"/>
          <w:lang w:val="en-US" w:eastAsia="zh-CN" w:bidi="ar-SA"/>
        </w:rPr>
        <w:t>（2）伪造培训单据，虚列培训开支的;</w:t>
      </w:r>
    </w:p>
    <w:p w14:paraId="42371AFE">
      <w:pPr>
        <w:pStyle w:val="38"/>
        <w:keepNext w:val="0"/>
        <w:keepLines w:val="0"/>
        <w:pageBreakBefore w:val="0"/>
        <w:widowControl w:val="0"/>
        <w:shd w:val="clear" w:color="auto" w:fill="auto"/>
        <w:tabs>
          <w:tab w:val="left" w:pos="832"/>
        </w:tabs>
        <w:kinsoku/>
        <w:wordWrap/>
        <w:overflowPunct/>
        <w:topLinePunct w:val="0"/>
        <w:autoSpaceDE/>
        <w:autoSpaceDN/>
        <w:bidi w:val="0"/>
        <w:adjustRightInd/>
        <w:snapToGrid/>
        <w:spacing w:before="0" w:after="0" w:line="600" w:lineRule="exact"/>
        <w:ind w:left="0" w:leftChars="0" w:right="0" w:firstLine="536" w:firstLineChars="200"/>
        <w:jc w:val="both"/>
        <w:textAlignment w:val="auto"/>
        <w:rPr>
          <w:rFonts w:hint="eastAsia" w:ascii="仿宋_GB2312" w:hAnsi="仿宋_GB2312" w:eastAsia="仿宋_GB2312" w:cs="仿宋_GB2312"/>
          <w:spacing w:val="-6"/>
          <w:kern w:val="2"/>
          <w:sz w:val="28"/>
          <w:szCs w:val="28"/>
          <w:u w:val="none"/>
          <w:shd w:val="clear"/>
          <w:lang w:val="en-US" w:eastAsia="zh-CN" w:bidi="ar-SA"/>
        </w:rPr>
      </w:pPr>
      <w:r>
        <w:rPr>
          <w:rFonts w:hint="eastAsia" w:ascii="仿宋_GB2312" w:hAnsi="仿宋_GB2312" w:eastAsia="仿宋_GB2312" w:cs="仿宋_GB2312"/>
          <w:spacing w:val="-6"/>
          <w:kern w:val="2"/>
          <w:sz w:val="28"/>
          <w:szCs w:val="28"/>
          <w:u w:val="none"/>
          <w:shd w:val="clear"/>
          <w:lang w:val="en-US" w:eastAsia="zh-CN" w:bidi="ar-SA"/>
        </w:rPr>
        <w:t>（3）采用不正当手段竞争的;</w:t>
      </w:r>
    </w:p>
    <w:p w14:paraId="25BFC1B3">
      <w:pPr>
        <w:pStyle w:val="38"/>
        <w:keepNext w:val="0"/>
        <w:keepLines w:val="0"/>
        <w:pageBreakBefore w:val="0"/>
        <w:widowControl w:val="0"/>
        <w:shd w:val="clear" w:color="auto" w:fill="auto"/>
        <w:tabs>
          <w:tab w:val="left" w:pos="832"/>
        </w:tabs>
        <w:kinsoku/>
        <w:wordWrap/>
        <w:overflowPunct/>
        <w:topLinePunct w:val="0"/>
        <w:autoSpaceDE/>
        <w:autoSpaceDN/>
        <w:bidi w:val="0"/>
        <w:adjustRightInd/>
        <w:snapToGrid/>
        <w:spacing w:before="0" w:after="0" w:line="600" w:lineRule="exact"/>
        <w:ind w:left="0" w:leftChars="0" w:right="0" w:firstLine="536" w:firstLineChars="200"/>
        <w:jc w:val="both"/>
        <w:textAlignment w:val="auto"/>
        <w:rPr>
          <w:rFonts w:hint="eastAsia" w:ascii="仿宋_GB2312" w:hAnsi="仿宋_GB2312" w:eastAsia="仿宋_GB2312" w:cs="仿宋_GB2312"/>
          <w:spacing w:val="-6"/>
          <w:kern w:val="2"/>
          <w:sz w:val="28"/>
          <w:szCs w:val="28"/>
          <w:u w:val="none"/>
          <w:shd w:val="clear"/>
          <w:lang w:val="en-US" w:eastAsia="zh-CN" w:bidi="ar-SA"/>
        </w:rPr>
      </w:pPr>
      <w:r>
        <w:rPr>
          <w:rFonts w:hint="eastAsia" w:ascii="仿宋_GB2312" w:hAnsi="仿宋_GB2312" w:eastAsia="仿宋_GB2312" w:cs="仿宋_GB2312"/>
          <w:spacing w:val="-6"/>
          <w:kern w:val="2"/>
          <w:sz w:val="28"/>
          <w:szCs w:val="28"/>
          <w:u w:val="none"/>
          <w:shd w:val="clear"/>
          <w:lang w:val="en-US" w:eastAsia="zh-CN" w:bidi="ar-SA"/>
        </w:rPr>
        <w:t>（4）教学质量差，管理混乱造成恶劣影响的;</w:t>
      </w:r>
    </w:p>
    <w:p w14:paraId="568C372F">
      <w:pPr>
        <w:pStyle w:val="38"/>
        <w:keepNext w:val="0"/>
        <w:keepLines w:val="0"/>
        <w:pageBreakBefore w:val="0"/>
        <w:widowControl w:val="0"/>
        <w:shd w:val="clear" w:color="auto" w:fill="auto"/>
        <w:tabs>
          <w:tab w:val="left" w:pos="832"/>
        </w:tabs>
        <w:kinsoku/>
        <w:wordWrap/>
        <w:overflowPunct/>
        <w:topLinePunct w:val="0"/>
        <w:autoSpaceDE/>
        <w:autoSpaceDN/>
        <w:bidi w:val="0"/>
        <w:adjustRightInd/>
        <w:snapToGrid/>
        <w:spacing w:before="0" w:after="0" w:line="600" w:lineRule="exact"/>
        <w:ind w:left="0" w:leftChars="0" w:right="0" w:firstLine="536" w:firstLineChars="200"/>
        <w:jc w:val="both"/>
        <w:textAlignment w:val="auto"/>
        <w:rPr>
          <w:rFonts w:hint="eastAsia" w:ascii="仿宋_GB2312" w:hAnsi="仿宋_GB2312" w:eastAsia="仿宋_GB2312" w:cs="仿宋_GB2312"/>
          <w:spacing w:val="-6"/>
          <w:kern w:val="2"/>
          <w:sz w:val="28"/>
          <w:szCs w:val="28"/>
          <w:u w:val="none"/>
          <w:shd w:val="clear"/>
          <w:lang w:val="en-US" w:eastAsia="zh-CN" w:bidi="ar-SA"/>
        </w:rPr>
      </w:pPr>
      <w:r>
        <w:rPr>
          <w:rFonts w:hint="eastAsia" w:ascii="仿宋_GB2312" w:hAnsi="仿宋_GB2312" w:eastAsia="仿宋_GB2312" w:cs="仿宋_GB2312"/>
          <w:spacing w:val="-6"/>
          <w:kern w:val="2"/>
          <w:sz w:val="28"/>
          <w:szCs w:val="28"/>
          <w:u w:val="none"/>
          <w:shd w:val="clear"/>
          <w:lang w:val="en-US" w:eastAsia="zh-CN" w:bidi="ar-SA"/>
        </w:rPr>
        <w:t>（5）—年内被有效投诉2次以上的(确因培训机构方责任);</w:t>
      </w:r>
    </w:p>
    <w:p w14:paraId="0515E893">
      <w:pPr>
        <w:pStyle w:val="38"/>
        <w:keepNext w:val="0"/>
        <w:keepLines w:val="0"/>
        <w:pageBreakBefore w:val="0"/>
        <w:widowControl w:val="0"/>
        <w:shd w:val="clear" w:color="auto" w:fill="auto"/>
        <w:tabs>
          <w:tab w:val="left" w:pos="832"/>
        </w:tabs>
        <w:kinsoku/>
        <w:wordWrap/>
        <w:overflowPunct/>
        <w:topLinePunct w:val="0"/>
        <w:autoSpaceDE/>
        <w:autoSpaceDN/>
        <w:bidi w:val="0"/>
        <w:adjustRightInd/>
        <w:snapToGrid/>
        <w:spacing w:before="0" w:after="0" w:line="600" w:lineRule="exact"/>
        <w:ind w:left="0" w:leftChars="0" w:right="0" w:firstLine="536" w:firstLineChars="200"/>
        <w:jc w:val="both"/>
        <w:textAlignment w:val="auto"/>
        <w:rPr>
          <w:rFonts w:hint="eastAsia" w:ascii="仿宋_GB2312" w:hAnsi="仿宋_GB2312" w:eastAsia="仿宋_GB2312" w:cs="仿宋_GB2312"/>
          <w:spacing w:val="-6"/>
          <w:kern w:val="2"/>
          <w:sz w:val="28"/>
          <w:szCs w:val="28"/>
          <w:u w:val="none"/>
          <w:shd w:val="clear"/>
          <w:lang w:val="en-US" w:eastAsia="zh-CN" w:bidi="ar-SA"/>
        </w:rPr>
      </w:pPr>
      <w:r>
        <w:rPr>
          <w:rFonts w:hint="eastAsia" w:ascii="仿宋_GB2312" w:hAnsi="仿宋_GB2312" w:eastAsia="仿宋_GB2312" w:cs="仿宋_GB2312"/>
          <w:spacing w:val="-6"/>
          <w:kern w:val="2"/>
          <w:sz w:val="28"/>
          <w:szCs w:val="28"/>
          <w:u w:val="none"/>
          <w:shd w:val="clear"/>
          <w:lang w:val="en-US" w:eastAsia="zh-CN" w:bidi="ar-SA"/>
        </w:rPr>
        <w:t>（6）培训学员资格审核没有把关的;</w:t>
      </w:r>
    </w:p>
    <w:p w14:paraId="70FB1DC1">
      <w:pPr>
        <w:pStyle w:val="38"/>
        <w:keepNext w:val="0"/>
        <w:keepLines w:val="0"/>
        <w:pageBreakBefore w:val="0"/>
        <w:widowControl w:val="0"/>
        <w:shd w:val="clear" w:color="auto" w:fill="auto"/>
        <w:tabs>
          <w:tab w:val="left" w:pos="832"/>
        </w:tabs>
        <w:kinsoku/>
        <w:wordWrap/>
        <w:overflowPunct/>
        <w:topLinePunct w:val="0"/>
        <w:autoSpaceDE/>
        <w:autoSpaceDN/>
        <w:bidi w:val="0"/>
        <w:adjustRightInd/>
        <w:snapToGrid/>
        <w:spacing w:before="0" w:after="0" w:line="600" w:lineRule="exact"/>
        <w:ind w:left="0" w:leftChars="0" w:right="0" w:firstLine="536" w:firstLineChars="200"/>
        <w:jc w:val="both"/>
        <w:textAlignment w:val="auto"/>
        <w:rPr>
          <w:rFonts w:hint="eastAsia" w:ascii="仿宋_GB2312" w:hAnsi="仿宋_GB2312" w:eastAsia="仿宋_GB2312" w:cs="仿宋_GB2312"/>
          <w:spacing w:val="-6"/>
          <w:kern w:val="2"/>
          <w:sz w:val="28"/>
          <w:szCs w:val="28"/>
          <w:u w:val="none"/>
          <w:shd w:val="clear"/>
          <w:lang w:val="en-US" w:eastAsia="zh-CN" w:bidi="ar-SA"/>
        </w:rPr>
      </w:pPr>
      <w:r>
        <w:rPr>
          <w:rFonts w:hint="eastAsia" w:ascii="仿宋_GB2312" w:hAnsi="仿宋_GB2312" w:eastAsia="仿宋_GB2312" w:cs="仿宋_GB2312"/>
          <w:spacing w:val="-6"/>
          <w:kern w:val="2"/>
          <w:sz w:val="28"/>
          <w:szCs w:val="28"/>
          <w:u w:val="none"/>
          <w:shd w:val="clear"/>
          <w:lang w:val="en-US" w:eastAsia="zh-CN" w:bidi="ar-SA"/>
        </w:rPr>
        <w:t>（7）未通过年度考核的。</w:t>
      </w:r>
    </w:p>
    <w:p w14:paraId="4600FEF5">
      <w:pPr>
        <w:ind w:firstLine="420" w:firstLineChars="200"/>
        <w:rPr>
          <w:rFonts w:hint="eastAsia" w:eastAsia="宋体"/>
          <w:lang w:eastAsia="zh-CN"/>
        </w:rPr>
      </w:pPr>
      <w:bookmarkStart w:id="0" w:name="_GoBack"/>
      <w:bookmarkEnd w:id="0"/>
    </w:p>
    <w:sectPr>
      <w:pgSz w:w="11906" w:h="16838"/>
      <w:pgMar w:top="1440" w:right="1800" w:bottom="1135"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TI0MDZkYzc1ZWY2NWUwYzQ4OTU4MDUyYmIwYzM2YWEifQ=="/>
  </w:docVars>
  <w:rsids>
    <w:rsidRoot w:val="0022387C"/>
    <w:rsid w:val="0000159C"/>
    <w:rsid w:val="000019FA"/>
    <w:rsid w:val="00002BB3"/>
    <w:rsid w:val="00003F53"/>
    <w:rsid w:val="00004F9A"/>
    <w:rsid w:val="00006A52"/>
    <w:rsid w:val="00012137"/>
    <w:rsid w:val="00012844"/>
    <w:rsid w:val="00012F9B"/>
    <w:rsid w:val="00013929"/>
    <w:rsid w:val="00014DAF"/>
    <w:rsid w:val="00015802"/>
    <w:rsid w:val="00016042"/>
    <w:rsid w:val="00022F41"/>
    <w:rsid w:val="00023261"/>
    <w:rsid w:val="000234CF"/>
    <w:rsid w:val="000235C8"/>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51C6"/>
    <w:rsid w:val="00095A8D"/>
    <w:rsid w:val="00096428"/>
    <w:rsid w:val="00097CDB"/>
    <w:rsid w:val="000A0237"/>
    <w:rsid w:val="000A2583"/>
    <w:rsid w:val="000B5ACF"/>
    <w:rsid w:val="000B6858"/>
    <w:rsid w:val="000C048C"/>
    <w:rsid w:val="000C078B"/>
    <w:rsid w:val="000C21A4"/>
    <w:rsid w:val="000C538D"/>
    <w:rsid w:val="000C59A5"/>
    <w:rsid w:val="000D0AF3"/>
    <w:rsid w:val="000D0DE1"/>
    <w:rsid w:val="000D1277"/>
    <w:rsid w:val="000D4097"/>
    <w:rsid w:val="000E3FB5"/>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6530"/>
    <w:rsid w:val="00107B8A"/>
    <w:rsid w:val="001101BD"/>
    <w:rsid w:val="00111F0F"/>
    <w:rsid w:val="001131D6"/>
    <w:rsid w:val="00113B9B"/>
    <w:rsid w:val="00121FC0"/>
    <w:rsid w:val="00122D76"/>
    <w:rsid w:val="001257D4"/>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361E"/>
    <w:rsid w:val="00156ED5"/>
    <w:rsid w:val="001630D0"/>
    <w:rsid w:val="00164101"/>
    <w:rsid w:val="00164EE1"/>
    <w:rsid w:val="00166FD9"/>
    <w:rsid w:val="00167ECE"/>
    <w:rsid w:val="0017054A"/>
    <w:rsid w:val="00171A61"/>
    <w:rsid w:val="00173749"/>
    <w:rsid w:val="00173A35"/>
    <w:rsid w:val="0017410F"/>
    <w:rsid w:val="00174285"/>
    <w:rsid w:val="00175756"/>
    <w:rsid w:val="00176F0E"/>
    <w:rsid w:val="00180B10"/>
    <w:rsid w:val="00184F72"/>
    <w:rsid w:val="00187846"/>
    <w:rsid w:val="00191A7E"/>
    <w:rsid w:val="00193B5F"/>
    <w:rsid w:val="001947E8"/>
    <w:rsid w:val="00194890"/>
    <w:rsid w:val="00196A1C"/>
    <w:rsid w:val="001A2103"/>
    <w:rsid w:val="001A5309"/>
    <w:rsid w:val="001A5764"/>
    <w:rsid w:val="001B0699"/>
    <w:rsid w:val="001B2019"/>
    <w:rsid w:val="001B26DC"/>
    <w:rsid w:val="001B3EEA"/>
    <w:rsid w:val="001B49FD"/>
    <w:rsid w:val="001C0BA3"/>
    <w:rsid w:val="001C0BBD"/>
    <w:rsid w:val="001C25ED"/>
    <w:rsid w:val="001D1BCB"/>
    <w:rsid w:val="001D22C0"/>
    <w:rsid w:val="001D4171"/>
    <w:rsid w:val="001D576E"/>
    <w:rsid w:val="001D70BC"/>
    <w:rsid w:val="001E2BB9"/>
    <w:rsid w:val="001E6A70"/>
    <w:rsid w:val="001F2059"/>
    <w:rsid w:val="001F49A1"/>
    <w:rsid w:val="001F4ACC"/>
    <w:rsid w:val="001F7532"/>
    <w:rsid w:val="00201795"/>
    <w:rsid w:val="0020498C"/>
    <w:rsid w:val="00207790"/>
    <w:rsid w:val="00210CFC"/>
    <w:rsid w:val="00210FBE"/>
    <w:rsid w:val="002125C8"/>
    <w:rsid w:val="00213205"/>
    <w:rsid w:val="002137AF"/>
    <w:rsid w:val="002174B0"/>
    <w:rsid w:val="00220787"/>
    <w:rsid w:val="0022387C"/>
    <w:rsid w:val="00230C6A"/>
    <w:rsid w:val="00233D53"/>
    <w:rsid w:val="002345B9"/>
    <w:rsid w:val="00237A3F"/>
    <w:rsid w:val="00237C8C"/>
    <w:rsid w:val="0024210D"/>
    <w:rsid w:val="00244C29"/>
    <w:rsid w:val="00247B11"/>
    <w:rsid w:val="00250468"/>
    <w:rsid w:val="00250A0D"/>
    <w:rsid w:val="00250B6E"/>
    <w:rsid w:val="00252050"/>
    <w:rsid w:val="00253B74"/>
    <w:rsid w:val="002547E0"/>
    <w:rsid w:val="00255DBC"/>
    <w:rsid w:val="0025777A"/>
    <w:rsid w:val="00260306"/>
    <w:rsid w:val="00261898"/>
    <w:rsid w:val="00264014"/>
    <w:rsid w:val="0026501F"/>
    <w:rsid w:val="00266611"/>
    <w:rsid w:val="00267AE5"/>
    <w:rsid w:val="00267C8A"/>
    <w:rsid w:val="00271136"/>
    <w:rsid w:val="00273219"/>
    <w:rsid w:val="002742EA"/>
    <w:rsid w:val="0027449B"/>
    <w:rsid w:val="00276641"/>
    <w:rsid w:val="0028033D"/>
    <w:rsid w:val="00282837"/>
    <w:rsid w:val="00291777"/>
    <w:rsid w:val="0029384E"/>
    <w:rsid w:val="002938B0"/>
    <w:rsid w:val="002961E2"/>
    <w:rsid w:val="00296372"/>
    <w:rsid w:val="00297703"/>
    <w:rsid w:val="00297866"/>
    <w:rsid w:val="002A3B25"/>
    <w:rsid w:val="002A6815"/>
    <w:rsid w:val="002B35C4"/>
    <w:rsid w:val="002B36C2"/>
    <w:rsid w:val="002B59BE"/>
    <w:rsid w:val="002B65AB"/>
    <w:rsid w:val="002B696D"/>
    <w:rsid w:val="002C4511"/>
    <w:rsid w:val="002D2B5F"/>
    <w:rsid w:val="002D327B"/>
    <w:rsid w:val="002D41DD"/>
    <w:rsid w:val="002D7418"/>
    <w:rsid w:val="002E1660"/>
    <w:rsid w:val="002E43F6"/>
    <w:rsid w:val="002E7C3E"/>
    <w:rsid w:val="002F1C19"/>
    <w:rsid w:val="002F1C7D"/>
    <w:rsid w:val="002F1EC9"/>
    <w:rsid w:val="002F25EC"/>
    <w:rsid w:val="002F2EAB"/>
    <w:rsid w:val="002F30DD"/>
    <w:rsid w:val="002F3224"/>
    <w:rsid w:val="002F7D7D"/>
    <w:rsid w:val="00300067"/>
    <w:rsid w:val="00300B27"/>
    <w:rsid w:val="0030123B"/>
    <w:rsid w:val="00301FAE"/>
    <w:rsid w:val="003024CF"/>
    <w:rsid w:val="00305BAD"/>
    <w:rsid w:val="00306470"/>
    <w:rsid w:val="00311862"/>
    <w:rsid w:val="00316D60"/>
    <w:rsid w:val="003172BB"/>
    <w:rsid w:val="00322208"/>
    <w:rsid w:val="003245F8"/>
    <w:rsid w:val="00325D47"/>
    <w:rsid w:val="00325EF1"/>
    <w:rsid w:val="00332A7C"/>
    <w:rsid w:val="00337CFC"/>
    <w:rsid w:val="003406B1"/>
    <w:rsid w:val="00343305"/>
    <w:rsid w:val="003443D3"/>
    <w:rsid w:val="003450CD"/>
    <w:rsid w:val="00345F35"/>
    <w:rsid w:val="00351734"/>
    <w:rsid w:val="00354FCF"/>
    <w:rsid w:val="00360830"/>
    <w:rsid w:val="003635C1"/>
    <w:rsid w:val="00364896"/>
    <w:rsid w:val="00366A2C"/>
    <w:rsid w:val="00372CF8"/>
    <w:rsid w:val="00373AE9"/>
    <w:rsid w:val="00374506"/>
    <w:rsid w:val="0037495D"/>
    <w:rsid w:val="00375819"/>
    <w:rsid w:val="00375C89"/>
    <w:rsid w:val="00376DAF"/>
    <w:rsid w:val="003833FB"/>
    <w:rsid w:val="00383F8F"/>
    <w:rsid w:val="00384AC1"/>
    <w:rsid w:val="003872CB"/>
    <w:rsid w:val="00387AFC"/>
    <w:rsid w:val="00390290"/>
    <w:rsid w:val="0039216D"/>
    <w:rsid w:val="00392EBD"/>
    <w:rsid w:val="00393459"/>
    <w:rsid w:val="003943D1"/>
    <w:rsid w:val="0039449C"/>
    <w:rsid w:val="00395695"/>
    <w:rsid w:val="003A0002"/>
    <w:rsid w:val="003A0295"/>
    <w:rsid w:val="003A0D83"/>
    <w:rsid w:val="003B0D75"/>
    <w:rsid w:val="003B3207"/>
    <w:rsid w:val="003C3325"/>
    <w:rsid w:val="003D2606"/>
    <w:rsid w:val="003D39C7"/>
    <w:rsid w:val="003D45F5"/>
    <w:rsid w:val="003D6B60"/>
    <w:rsid w:val="003E010E"/>
    <w:rsid w:val="003E1D81"/>
    <w:rsid w:val="003E7874"/>
    <w:rsid w:val="003F60A3"/>
    <w:rsid w:val="004001BE"/>
    <w:rsid w:val="0040124D"/>
    <w:rsid w:val="004017C8"/>
    <w:rsid w:val="0040181A"/>
    <w:rsid w:val="004024C2"/>
    <w:rsid w:val="004068A7"/>
    <w:rsid w:val="00406C11"/>
    <w:rsid w:val="004106B2"/>
    <w:rsid w:val="00412CBC"/>
    <w:rsid w:val="004156E2"/>
    <w:rsid w:val="0042388D"/>
    <w:rsid w:val="00427ABD"/>
    <w:rsid w:val="004317AB"/>
    <w:rsid w:val="00431DBF"/>
    <w:rsid w:val="00433512"/>
    <w:rsid w:val="0043432D"/>
    <w:rsid w:val="00441D7B"/>
    <w:rsid w:val="00444250"/>
    <w:rsid w:val="00444298"/>
    <w:rsid w:val="004456C5"/>
    <w:rsid w:val="00454666"/>
    <w:rsid w:val="004574A4"/>
    <w:rsid w:val="00463236"/>
    <w:rsid w:val="004657D3"/>
    <w:rsid w:val="0046690A"/>
    <w:rsid w:val="0046782F"/>
    <w:rsid w:val="00471E1E"/>
    <w:rsid w:val="0047278F"/>
    <w:rsid w:val="0047590B"/>
    <w:rsid w:val="00490F98"/>
    <w:rsid w:val="00491349"/>
    <w:rsid w:val="00493684"/>
    <w:rsid w:val="00493E48"/>
    <w:rsid w:val="00496ACE"/>
    <w:rsid w:val="00497530"/>
    <w:rsid w:val="004A00FD"/>
    <w:rsid w:val="004A5CFF"/>
    <w:rsid w:val="004A61D7"/>
    <w:rsid w:val="004A6B5A"/>
    <w:rsid w:val="004B1026"/>
    <w:rsid w:val="004B5992"/>
    <w:rsid w:val="004C093C"/>
    <w:rsid w:val="004C0B7A"/>
    <w:rsid w:val="004C0CA0"/>
    <w:rsid w:val="004C2A01"/>
    <w:rsid w:val="004C5B48"/>
    <w:rsid w:val="004C6493"/>
    <w:rsid w:val="004D2D8E"/>
    <w:rsid w:val="004D4879"/>
    <w:rsid w:val="004D7C23"/>
    <w:rsid w:val="004D7F2C"/>
    <w:rsid w:val="004E07B6"/>
    <w:rsid w:val="004E0B6D"/>
    <w:rsid w:val="004E63AF"/>
    <w:rsid w:val="004F411F"/>
    <w:rsid w:val="004F60D3"/>
    <w:rsid w:val="004F7D8F"/>
    <w:rsid w:val="0050182A"/>
    <w:rsid w:val="00502DB5"/>
    <w:rsid w:val="005053C1"/>
    <w:rsid w:val="00506ECC"/>
    <w:rsid w:val="00510D3F"/>
    <w:rsid w:val="00511E18"/>
    <w:rsid w:val="00512B77"/>
    <w:rsid w:val="00515ADE"/>
    <w:rsid w:val="00515E63"/>
    <w:rsid w:val="005176F4"/>
    <w:rsid w:val="005203BA"/>
    <w:rsid w:val="005220F8"/>
    <w:rsid w:val="00522932"/>
    <w:rsid w:val="0052539A"/>
    <w:rsid w:val="005309DD"/>
    <w:rsid w:val="0053320F"/>
    <w:rsid w:val="005406CD"/>
    <w:rsid w:val="00542C65"/>
    <w:rsid w:val="00544037"/>
    <w:rsid w:val="0054537C"/>
    <w:rsid w:val="00547AD0"/>
    <w:rsid w:val="005509F0"/>
    <w:rsid w:val="00553778"/>
    <w:rsid w:val="00553AC5"/>
    <w:rsid w:val="00554646"/>
    <w:rsid w:val="005555A0"/>
    <w:rsid w:val="0056216F"/>
    <w:rsid w:val="005627E9"/>
    <w:rsid w:val="00572506"/>
    <w:rsid w:val="00573AC9"/>
    <w:rsid w:val="00581DBA"/>
    <w:rsid w:val="00581F60"/>
    <w:rsid w:val="005829C2"/>
    <w:rsid w:val="00582A46"/>
    <w:rsid w:val="0058322B"/>
    <w:rsid w:val="00583A5C"/>
    <w:rsid w:val="0058471F"/>
    <w:rsid w:val="0058487A"/>
    <w:rsid w:val="00592CFD"/>
    <w:rsid w:val="00593C8A"/>
    <w:rsid w:val="005960B9"/>
    <w:rsid w:val="005A3DFC"/>
    <w:rsid w:val="005A5B0F"/>
    <w:rsid w:val="005A69F8"/>
    <w:rsid w:val="005A6B45"/>
    <w:rsid w:val="005A7B9D"/>
    <w:rsid w:val="005B0579"/>
    <w:rsid w:val="005B27CD"/>
    <w:rsid w:val="005B314D"/>
    <w:rsid w:val="005B353B"/>
    <w:rsid w:val="005B547C"/>
    <w:rsid w:val="005B65A5"/>
    <w:rsid w:val="005B67BE"/>
    <w:rsid w:val="005B7116"/>
    <w:rsid w:val="005C494A"/>
    <w:rsid w:val="005C6C4F"/>
    <w:rsid w:val="005D000E"/>
    <w:rsid w:val="005D62E5"/>
    <w:rsid w:val="005D7216"/>
    <w:rsid w:val="005E12F7"/>
    <w:rsid w:val="005E339B"/>
    <w:rsid w:val="005E548A"/>
    <w:rsid w:val="005E5BCC"/>
    <w:rsid w:val="005E5CCE"/>
    <w:rsid w:val="005E6CCC"/>
    <w:rsid w:val="005F19BB"/>
    <w:rsid w:val="005F3B5B"/>
    <w:rsid w:val="006022C0"/>
    <w:rsid w:val="00602E42"/>
    <w:rsid w:val="00603657"/>
    <w:rsid w:val="0060479B"/>
    <w:rsid w:val="00606A55"/>
    <w:rsid w:val="00611AC2"/>
    <w:rsid w:val="00613BB6"/>
    <w:rsid w:val="0061777B"/>
    <w:rsid w:val="00624066"/>
    <w:rsid w:val="00624620"/>
    <w:rsid w:val="00624946"/>
    <w:rsid w:val="00625173"/>
    <w:rsid w:val="00630CCB"/>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6668A"/>
    <w:rsid w:val="00675065"/>
    <w:rsid w:val="00675563"/>
    <w:rsid w:val="00675632"/>
    <w:rsid w:val="00685346"/>
    <w:rsid w:val="00685B24"/>
    <w:rsid w:val="006870E8"/>
    <w:rsid w:val="00690BC5"/>
    <w:rsid w:val="00690C8E"/>
    <w:rsid w:val="006933DD"/>
    <w:rsid w:val="0069471D"/>
    <w:rsid w:val="00695670"/>
    <w:rsid w:val="00695E20"/>
    <w:rsid w:val="006A3BA0"/>
    <w:rsid w:val="006A4EC6"/>
    <w:rsid w:val="006A6DF3"/>
    <w:rsid w:val="006B20D5"/>
    <w:rsid w:val="006B34F6"/>
    <w:rsid w:val="006B4952"/>
    <w:rsid w:val="006B5EA1"/>
    <w:rsid w:val="006B7F10"/>
    <w:rsid w:val="006C042B"/>
    <w:rsid w:val="006C2543"/>
    <w:rsid w:val="006C7C59"/>
    <w:rsid w:val="006D0312"/>
    <w:rsid w:val="006D214E"/>
    <w:rsid w:val="006D2DEA"/>
    <w:rsid w:val="006D2E9C"/>
    <w:rsid w:val="006D30BC"/>
    <w:rsid w:val="006E1A0E"/>
    <w:rsid w:val="006E6E8B"/>
    <w:rsid w:val="006E7C76"/>
    <w:rsid w:val="006F04CD"/>
    <w:rsid w:val="006F07C9"/>
    <w:rsid w:val="006F0A6B"/>
    <w:rsid w:val="006F0F75"/>
    <w:rsid w:val="006F5AC8"/>
    <w:rsid w:val="006F5F50"/>
    <w:rsid w:val="006F721C"/>
    <w:rsid w:val="00704218"/>
    <w:rsid w:val="00706102"/>
    <w:rsid w:val="00711356"/>
    <w:rsid w:val="00716375"/>
    <w:rsid w:val="00724763"/>
    <w:rsid w:val="007326D4"/>
    <w:rsid w:val="007331C5"/>
    <w:rsid w:val="00733D26"/>
    <w:rsid w:val="00733E96"/>
    <w:rsid w:val="00734BE2"/>
    <w:rsid w:val="00734DBA"/>
    <w:rsid w:val="007405AB"/>
    <w:rsid w:val="0074169B"/>
    <w:rsid w:val="007416A5"/>
    <w:rsid w:val="00742326"/>
    <w:rsid w:val="00743F8B"/>
    <w:rsid w:val="007552A7"/>
    <w:rsid w:val="00757FC1"/>
    <w:rsid w:val="00760265"/>
    <w:rsid w:val="00763522"/>
    <w:rsid w:val="00770D89"/>
    <w:rsid w:val="00771FBD"/>
    <w:rsid w:val="00772751"/>
    <w:rsid w:val="00772BFA"/>
    <w:rsid w:val="007732E5"/>
    <w:rsid w:val="00773A1F"/>
    <w:rsid w:val="007750D4"/>
    <w:rsid w:val="00775725"/>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6103"/>
    <w:rsid w:val="007C7079"/>
    <w:rsid w:val="007C745E"/>
    <w:rsid w:val="007C7E4A"/>
    <w:rsid w:val="007D249E"/>
    <w:rsid w:val="007D2EE8"/>
    <w:rsid w:val="007D4745"/>
    <w:rsid w:val="007D596E"/>
    <w:rsid w:val="007D61F2"/>
    <w:rsid w:val="007D6288"/>
    <w:rsid w:val="007D7D00"/>
    <w:rsid w:val="007E1576"/>
    <w:rsid w:val="007E2BD2"/>
    <w:rsid w:val="007E3D61"/>
    <w:rsid w:val="007E5F41"/>
    <w:rsid w:val="007E6CF2"/>
    <w:rsid w:val="007F1EB4"/>
    <w:rsid w:val="007F5493"/>
    <w:rsid w:val="007F5B53"/>
    <w:rsid w:val="007F6DC7"/>
    <w:rsid w:val="0080075E"/>
    <w:rsid w:val="00802AAC"/>
    <w:rsid w:val="00806FED"/>
    <w:rsid w:val="00811115"/>
    <w:rsid w:val="008134C7"/>
    <w:rsid w:val="008139EB"/>
    <w:rsid w:val="008150A6"/>
    <w:rsid w:val="008151E2"/>
    <w:rsid w:val="00816091"/>
    <w:rsid w:val="00816182"/>
    <w:rsid w:val="00821BA2"/>
    <w:rsid w:val="00822824"/>
    <w:rsid w:val="008228B9"/>
    <w:rsid w:val="00824639"/>
    <w:rsid w:val="00826C95"/>
    <w:rsid w:val="00832985"/>
    <w:rsid w:val="008332CE"/>
    <w:rsid w:val="008345B9"/>
    <w:rsid w:val="008354ED"/>
    <w:rsid w:val="00835DAD"/>
    <w:rsid w:val="008376EF"/>
    <w:rsid w:val="00837760"/>
    <w:rsid w:val="00837F02"/>
    <w:rsid w:val="00840EF2"/>
    <w:rsid w:val="00843C41"/>
    <w:rsid w:val="0084500E"/>
    <w:rsid w:val="008455FB"/>
    <w:rsid w:val="0084584F"/>
    <w:rsid w:val="00850BC8"/>
    <w:rsid w:val="00850E33"/>
    <w:rsid w:val="00856715"/>
    <w:rsid w:val="00856DC0"/>
    <w:rsid w:val="00861CE7"/>
    <w:rsid w:val="008641A3"/>
    <w:rsid w:val="00864D01"/>
    <w:rsid w:val="00865BFC"/>
    <w:rsid w:val="008669F7"/>
    <w:rsid w:val="0087394A"/>
    <w:rsid w:val="00874D32"/>
    <w:rsid w:val="00881B84"/>
    <w:rsid w:val="008876A3"/>
    <w:rsid w:val="00887DFB"/>
    <w:rsid w:val="0089283A"/>
    <w:rsid w:val="00892ADC"/>
    <w:rsid w:val="00893813"/>
    <w:rsid w:val="0089658C"/>
    <w:rsid w:val="00896F74"/>
    <w:rsid w:val="00897000"/>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EFF"/>
    <w:rsid w:val="008E3B9E"/>
    <w:rsid w:val="008E4E0F"/>
    <w:rsid w:val="008E738E"/>
    <w:rsid w:val="008F0A84"/>
    <w:rsid w:val="008F0CC3"/>
    <w:rsid w:val="008F44C7"/>
    <w:rsid w:val="008F5035"/>
    <w:rsid w:val="008F5056"/>
    <w:rsid w:val="0090408F"/>
    <w:rsid w:val="00906F8A"/>
    <w:rsid w:val="00915570"/>
    <w:rsid w:val="0091611D"/>
    <w:rsid w:val="00916267"/>
    <w:rsid w:val="00921082"/>
    <w:rsid w:val="00922EFB"/>
    <w:rsid w:val="00923A6C"/>
    <w:rsid w:val="009249C8"/>
    <w:rsid w:val="00933F00"/>
    <w:rsid w:val="00935401"/>
    <w:rsid w:val="0094003A"/>
    <w:rsid w:val="0094004A"/>
    <w:rsid w:val="00946A82"/>
    <w:rsid w:val="00951071"/>
    <w:rsid w:val="0095333C"/>
    <w:rsid w:val="00955186"/>
    <w:rsid w:val="00956EE8"/>
    <w:rsid w:val="009643C2"/>
    <w:rsid w:val="00966B6A"/>
    <w:rsid w:val="0097057C"/>
    <w:rsid w:val="009715C5"/>
    <w:rsid w:val="00971AF2"/>
    <w:rsid w:val="009723B8"/>
    <w:rsid w:val="00974455"/>
    <w:rsid w:val="0098281C"/>
    <w:rsid w:val="0098423D"/>
    <w:rsid w:val="009850E9"/>
    <w:rsid w:val="00985DFA"/>
    <w:rsid w:val="00986315"/>
    <w:rsid w:val="009911E3"/>
    <w:rsid w:val="00994E42"/>
    <w:rsid w:val="00995178"/>
    <w:rsid w:val="009A1C33"/>
    <w:rsid w:val="009A2439"/>
    <w:rsid w:val="009A2BFF"/>
    <w:rsid w:val="009A6D30"/>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52BF"/>
    <w:rsid w:val="009D6DD3"/>
    <w:rsid w:val="009E3F57"/>
    <w:rsid w:val="009E4F8A"/>
    <w:rsid w:val="009E6771"/>
    <w:rsid w:val="009E67E4"/>
    <w:rsid w:val="009F0511"/>
    <w:rsid w:val="009F1DBD"/>
    <w:rsid w:val="009F22FE"/>
    <w:rsid w:val="009F750B"/>
    <w:rsid w:val="00A00435"/>
    <w:rsid w:val="00A03071"/>
    <w:rsid w:val="00A05B11"/>
    <w:rsid w:val="00A06B7F"/>
    <w:rsid w:val="00A07D9C"/>
    <w:rsid w:val="00A109CC"/>
    <w:rsid w:val="00A13EDB"/>
    <w:rsid w:val="00A14C4D"/>
    <w:rsid w:val="00A15845"/>
    <w:rsid w:val="00A17B52"/>
    <w:rsid w:val="00A2141C"/>
    <w:rsid w:val="00A21B16"/>
    <w:rsid w:val="00A22D76"/>
    <w:rsid w:val="00A24D47"/>
    <w:rsid w:val="00A30370"/>
    <w:rsid w:val="00A32017"/>
    <w:rsid w:val="00A3527C"/>
    <w:rsid w:val="00A37E7E"/>
    <w:rsid w:val="00A4098F"/>
    <w:rsid w:val="00A4193A"/>
    <w:rsid w:val="00A45C6F"/>
    <w:rsid w:val="00A46DCC"/>
    <w:rsid w:val="00A5014E"/>
    <w:rsid w:val="00A562E3"/>
    <w:rsid w:val="00A569D3"/>
    <w:rsid w:val="00A6062B"/>
    <w:rsid w:val="00A62089"/>
    <w:rsid w:val="00A654EF"/>
    <w:rsid w:val="00A658F2"/>
    <w:rsid w:val="00A65AFD"/>
    <w:rsid w:val="00A66B78"/>
    <w:rsid w:val="00A6769B"/>
    <w:rsid w:val="00A677C6"/>
    <w:rsid w:val="00A67E25"/>
    <w:rsid w:val="00A72C38"/>
    <w:rsid w:val="00A72FD2"/>
    <w:rsid w:val="00A7420A"/>
    <w:rsid w:val="00A74D3C"/>
    <w:rsid w:val="00A75DB1"/>
    <w:rsid w:val="00A761C2"/>
    <w:rsid w:val="00A76D29"/>
    <w:rsid w:val="00A86960"/>
    <w:rsid w:val="00A91A54"/>
    <w:rsid w:val="00A91B7E"/>
    <w:rsid w:val="00A96F13"/>
    <w:rsid w:val="00AA1080"/>
    <w:rsid w:val="00AA16D3"/>
    <w:rsid w:val="00AA18CA"/>
    <w:rsid w:val="00AA3BFA"/>
    <w:rsid w:val="00AA5A0A"/>
    <w:rsid w:val="00AA5E84"/>
    <w:rsid w:val="00AA725C"/>
    <w:rsid w:val="00AB3274"/>
    <w:rsid w:val="00AB7A0E"/>
    <w:rsid w:val="00AC0409"/>
    <w:rsid w:val="00AC0C60"/>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6CF"/>
    <w:rsid w:val="00B04B8A"/>
    <w:rsid w:val="00B04BFB"/>
    <w:rsid w:val="00B104AA"/>
    <w:rsid w:val="00B11872"/>
    <w:rsid w:val="00B13979"/>
    <w:rsid w:val="00B15E4F"/>
    <w:rsid w:val="00B2012B"/>
    <w:rsid w:val="00B20B29"/>
    <w:rsid w:val="00B20CB9"/>
    <w:rsid w:val="00B20D52"/>
    <w:rsid w:val="00B2167C"/>
    <w:rsid w:val="00B246D3"/>
    <w:rsid w:val="00B262C9"/>
    <w:rsid w:val="00B26A2C"/>
    <w:rsid w:val="00B30526"/>
    <w:rsid w:val="00B32FCD"/>
    <w:rsid w:val="00B34577"/>
    <w:rsid w:val="00B34E07"/>
    <w:rsid w:val="00B42D00"/>
    <w:rsid w:val="00B43464"/>
    <w:rsid w:val="00B45223"/>
    <w:rsid w:val="00B45C7D"/>
    <w:rsid w:val="00B461F3"/>
    <w:rsid w:val="00B50C36"/>
    <w:rsid w:val="00B51C5E"/>
    <w:rsid w:val="00B52083"/>
    <w:rsid w:val="00B52525"/>
    <w:rsid w:val="00B52B44"/>
    <w:rsid w:val="00B52D72"/>
    <w:rsid w:val="00B56BAC"/>
    <w:rsid w:val="00B571F4"/>
    <w:rsid w:val="00B64780"/>
    <w:rsid w:val="00B6494B"/>
    <w:rsid w:val="00B65E8E"/>
    <w:rsid w:val="00B67926"/>
    <w:rsid w:val="00B679FA"/>
    <w:rsid w:val="00B72B4C"/>
    <w:rsid w:val="00B75DE1"/>
    <w:rsid w:val="00B76EAC"/>
    <w:rsid w:val="00B81ECA"/>
    <w:rsid w:val="00B838D7"/>
    <w:rsid w:val="00B86A3E"/>
    <w:rsid w:val="00B9113C"/>
    <w:rsid w:val="00B91DE8"/>
    <w:rsid w:val="00B96111"/>
    <w:rsid w:val="00B975ED"/>
    <w:rsid w:val="00B979E2"/>
    <w:rsid w:val="00B97D1F"/>
    <w:rsid w:val="00B97E9D"/>
    <w:rsid w:val="00BA38E0"/>
    <w:rsid w:val="00BA619F"/>
    <w:rsid w:val="00BA7D43"/>
    <w:rsid w:val="00BB02EB"/>
    <w:rsid w:val="00BB0A6C"/>
    <w:rsid w:val="00BB2DBC"/>
    <w:rsid w:val="00BB4AC7"/>
    <w:rsid w:val="00BB4CD0"/>
    <w:rsid w:val="00BB61C1"/>
    <w:rsid w:val="00BB6B4A"/>
    <w:rsid w:val="00BB7E90"/>
    <w:rsid w:val="00BC03CC"/>
    <w:rsid w:val="00BC11D7"/>
    <w:rsid w:val="00BC1B9C"/>
    <w:rsid w:val="00BC2C14"/>
    <w:rsid w:val="00BC31EE"/>
    <w:rsid w:val="00BC3C19"/>
    <w:rsid w:val="00BC4B27"/>
    <w:rsid w:val="00BC5C23"/>
    <w:rsid w:val="00BD15BE"/>
    <w:rsid w:val="00BD3BF3"/>
    <w:rsid w:val="00BD5316"/>
    <w:rsid w:val="00BD6613"/>
    <w:rsid w:val="00BD7E81"/>
    <w:rsid w:val="00BE41BE"/>
    <w:rsid w:val="00BE6F8C"/>
    <w:rsid w:val="00BE735F"/>
    <w:rsid w:val="00BF0B0F"/>
    <w:rsid w:val="00BF150A"/>
    <w:rsid w:val="00BF30A5"/>
    <w:rsid w:val="00BF3210"/>
    <w:rsid w:val="00BF3B09"/>
    <w:rsid w:val="00C03270"/>
    <w:rsid w:val="00C048FB"/>
    <w:rsid w:val="00C04CFA"/>
    <w:rsid w:val="00C076EF"/>
    <w:rsid w:val="00C16C84"/>
    <w:rsid w:val="00C21DB4"/>
    <w:rsid w:val="00C224CD"/>
    <w:rsid w:val="00C25539"/>
    <w:rsid w:val="00C25C2B"/>
    <w:rsid w:val="00C34D95"/>
    <w:rsid w:val="00C357EB"/>
    <w:rsid w:val="00C37015"/>
    <w:rsid w:val="00C40072"/>
    <w:rsid w:val="00C4213E"/>
    <w:rsid w:val="00C438D5"/>
    <w:rsid w:val="00C45741"/>
    <w:rsid w:val="00C46563"/>
    <w:rsid w:val="00C472A3"/>
    <w:rsid w:val="00C50C4A"/>
    <w:rsid w:val="00C524B1"/>
    <w:rsid w:val="00C56B9D"/>
    <w:rsid w:val="00C60706"/>
    <w:rsid w:val="00C6464D"/>
    <w:rsid w:val="00C64FE6"/>
    <w:rsid w:val="00C72DBC"/>
    <w:rsid w:val="00C76B39"/>
    <w:rsid w:val="00C8194B"/>
    <w:rsid w:val="00C8510F"/>
    <w:rsid w:val="00C856C4"/>
    <w:rsid w:val="00C8634C"/>
    <w:rsid w:val="00C86F92"/>
    <w:rsid w:val="00C90072"/>
    <w:rsid w:val="00C9533B"/>
    <w:rsid w:val="00CB0748"/>
    <w:rsid w:val="00CB18BD"/>
    <w:rsid w:val="00CB232C"/>
    <w:rsid w:val="00CB2D79"/>
    <w:rsid w:val="00CB2E90"/>
    <w:rsid w:val="00CB4405"/>
    <w:rsid w:val="00CB4EF4"/>
    <w:rsid w:val="00CB5BD0"/>
    <w:rsid w:val="00CB63F6"/>
    <w:rsid w:val="00CC042F"/>
    <w:rsid w:val="00CC11D6"/>
    <w:rsid w:val="00CD2668"/>
    <w:rsid w:val="00CD2FAC"/>
    <w:rsid w:val="00CD495B"/>
    <w:rsid w:val="00CD7C0B"/>
    <w:rsid w:val="00CD7C6C"/>
    <w:rsid w:val="00CE3BDB"/>
    <w:rsid w:val="00CE4305"/>
    <w:rsid w:val="00CE44AB"/>
    <w:rsid w:val="00CE4BC6"/>
    <w:rsid w:val="00CE52BF"/>
    <w:rsid w:val="00CE70DB"/>
    <w:rsid w:val="00CF001E"/>
    <w:rsid w:val="00CF50D5"/>
    <w:rsid w:val="00CF5C9B"/>
    <w:rsid w:val="00CF6662"/>
    <w:rsid w:val="00D01058"/>
    <w:rsid w:val="00D01136"/>
    <w:rsid w:val="00D03474"/>
    <w:rsid w:val="00D03476"/>
    <w:rsid w:val="00D03C0F"/>
    <w:rsid w:val="00D06B71"/>
    <w:rsid w:val="00D105D9"/>
    <w:rsid w:val="00D11FB0"/>
    <w:rsid w:val="00D129B0"/>
    <w:rsid w:val="00D1756F"/>
    <w:rsid w:val="00D21893"/>
    <w:rsid w:val="00D23DB6"/>
    <w:rsid w:val="00D242FC"/>
    <w:rsid w:val="00D26400"/>
    <w:rsid w:val="00D264F9"/>
    <w:rsid w:val="00D35E6A"/>
    <w:rsid w:val="00D361F7"/>
    <w:rsid w:val="00D37A4D"/>
    <w:rsid w:val="00D37BDA"/>
    <w:rsid w:val="00D409F8"/>
    <w:rsid w:val="00D41D8D"/>
    <w:rsid w:val="00D51C08"/>
    <w:rsid w:val="00D51F3E"/>
    <w:rsid w:val="00D55D74"/>
    <w:rsid w:val="00D568D6"/>
    <w:rsid w:val="00D613B2"/>
    <w:rsid w:val="00D61D4F"/>
    <w:rsid w:val="00D62526"/>
    <w:rsid w:val="00D65B3B"/>
    <w:rsid w:val="00D6655A"/>
    <w:rsid w:val="00D7158D"/>
    <w:rsid w:val="00D73BEF"/>
    <w:rsid w:val="00D75DD7"/>
    <w:rsid w:val="00D8461E"/>
    <w:rsid w:val="00D848AF"/>
    <w:rsid w:val="00D84D41"/>
    <w:rsid w:val="00D85867"/>
    <w:rsid w:val="00D90438"/>
    <w:rsid w:val="00D90F7C"/>
    <w:rsid w:val="00D93BBB"/>
    <w:rsid w:val="00D9483F"/>
    <w:rsid w:val="00D9612C"/>
    <w:rsid w:val="00DA0DFD"/>
    <w:rsid w:val="00DA26D1"/>
    <w:rsid w:val="00DB18FC"/>
    <w:rsid w:val="00DB2769"/>
    <w:rsid w:val="00DB4762"/>
    <w:rsid w:val="00DB630A"/>
    <w:rsid w:val="00DB6473"/>
    <w:rsid w:val="00DC4AE1"/>
    <w:rsid w:val="00DC6B38"/>
    <w:rsid w:val="00DC767D"/>
    <w:rsid w:val="00DC7A15"/>
    <w:rsid w:val="00DD0CDD"/>
    <w:rsid w:val="00DD26EA"/>
    <w:rsid w:val="00DD35BB"/>
    <w:rsid w:val="00DD7198"/>
    <w:rsid w:val="00DE3B48"/>
    <w:rsid w:val="00DF0FF1"/>
    <w:rsid w:val="00DF1557"/>
    <w:rsid w:val="00DF7223"/>
    <w:rsid w:val="00DF749E"/>
    <w:rsid w:val="00DF7988"/>
    <w:rsid w:val="00E0112E"/>
    <w:rsid w:val="00E02056"/>
    <w:rsid w:val="00E037D5"/>
    <w:rsid w:val="00E07EB9"/>
    <w:rsid w:val="00E10A87"/>
    <w:rsid w:val="00E114BC"/>
    <w:rsid w:val="00E11D50"/>
    <w:rsid w:val="00E13609"/>
    <w:rsid w:val="00E14B3C"/>
    <w:rsid w:val="00E16067"/>
    <w:rsid w:val="00E212E3"/>
    <w:rsid w:val="00E227F4"/>
    <w:rsid w:val="00E23903"/>
    <w:rsid w:val="00E2575E"/>
    <w:rsid w:val="00E27DAA"/>
    <w:rsid w:val="00E27FDC"/>
    <w:rsid w:val="00E30E7D"/>
    <w:rsid w:val="00E31BA9"/>
    <w:rsid w:val="00E40872"/>
    <w:rsid w:val="00E41594"/>
    <w:rsid w:val="00E46A08"/>
    <w:rsid w:val="00E56FE8"/>
    <w:rsid w:val="00E57C5E"/>
    <w:rsid w:val="00E6057C"/>
    <w:rsid w:val="00E607A7"/>
    <w:rsid w:val="00E63BD1"/>
    <w:rsid w:val="00E6467D"/>
    <w:rsid w:val="00E66BCF"/>
    <w:rsid w:val="00E71342"/>
    <w:rsid w:val="00E728E4"/>
    <w:rsid w:val="00E75741"/>
    <w:rsid w:val="00E83DB2"/>
    <w:rsid w:val="00E85DAF"/>
    <w:rsid w:val="00E87864"/>
    <w:rsid w:val="00E9170D"/>
    <w:rsid w:val="00E9198A"/>
    <w:rsid w:val="00E931C1"/>
    <w:rsid w:val="00E93D73"/>
    <w:rsid w:val="00E94BFD"/>
    <w:rsid w:val="00E94E0E"/>
    <w:rsid w:val="00E97186"/>
    <w:rsid w:val="00E97F6C"/>
    <w:rsid w:val="00EA04D2"/>
    <w:rsid w:val="00EA68DB"/>
    <w:rsid w:val="00EB1A62"/>
    <w:rsid w:val="00EB7A4C"/>
    <w:rsid w:val="00EC2A66"/>
    <w:rsid w:val="00EC3672"/>
    <w:rsid w:val="00ED0960"/>
    <w:rsid w:val="00ED3782"/>
    <w:rsid w:val="00ED56C1"/>
    <w:rsid w:val="00EE1F49"/>
    <w:rsid w:val="00EE1F87"/>
    <w:rsid w:val="00EE3720"/>
    <w:rsid w:val="00EE3F92"/>
    <w:rsid w:val="00EE7634"/>
    <w:rsid w:val="00EF1FCF"/>
    <w:rsid w:val="00EF271D"/>
    <w:rsid w:val="00EF4228"/>
    <w:rsid w:val="00EF4DC8"/>
    <w:rsid w:val="00EF659E"/>
    <w:rsid w:val="00EF6A13"/>
    <w:rsid w:val="00F01751"/>
    <w:rsid w:val="00F02CF2"/>
    <w:rsid w:val="00F0385A"/>
    <w:rsid w:val="00F1070F"/>
    <w:rsid w:val="00F14992"/>
    <w:rsid w:val="00F14DE0"/>
    <w:rsid w:val="00F21D20"/>
    <w:rsid w:val="00F22674"/>
    <w:rsid w:val="00F22B78"/>
    <w:rsid w:val="00F244F9"/>
    <w:rsid w:val="00F25220"/>
    <w:rsid w:val="00F25320"/>
    <w:rsid w:val="00F26FA6"/>
    <w:rsid w:val="00F306D7"/>
    <w:rsid w:val="00F308B7"/>
    <w:rsid w:val="00F31CAB"/>
    <w:rsid w:val="00F32A46"/>
    <w:rsid w:val="00F37170"/>
    <w:rsid w:val="00F43040"/>
    <w:rsid w:val="00F44E00"/>
    <w:rsid w:val="00F44EC3"/>
    <w:rsid w:val="00F459DC"/>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E9"/>
    <w:rsid w:val="00F733F0"/>
    <w:rsid w:val="00F76A72"/>
    <w:rsid w:val="00F77340"/>
    <w:rsid w:val="00F8042D"/>
    <w:rsid w:val="00F85256"/>
    <w:rsid w:val="00F87572"/>
    <w:rsid w:val="00F87CA2"/>
    <w:rsid w:val="00F91976"/>
    <w:rsid w:val="00F92C8D"/>
    <w:rsid w:val="00F931AD"/>
    <w:rsid w:val="00F9741A"/>
    <w:rsid w:val="00FA1F53"/>
    <w:rsid w:val="00FA2095"/>
    <w:rsid w:val="00FA244D"/>
    <w:rsid w:val="00FB1215"/>
    <w:rsid w:val="00FB4CB0"/>
    <w:rsid w:val="00FB6392"/>
    <w:rsid w:val="00FC39BA"/>
    <w:rsid w:val="00FC3DAC"/>
    <w:rsid w:val="00FD1428"/>
    <w:rsid w:val="00FD20C5"/>
    <w:rsid w:val="00FD2761"/>
    <w:rsid w:val="00FD37B5"/>
    <w:rsid w:val="00FD4568"/>
    <w:rsid w:val="00FD5B5E"/>
    <w:rsid w:val="00FD613E"/>
    <w:rsid w:val="00FD6F4D"/>
    <w:rsid w:val="00FE05A0"/>
    <w:rsid w:val="00FE3FCF"/>
    <w:rsid w:val="00FF2E19"/>
    <w:rsid w:val="00FF756F"/>
    <w:rsid w:val="016F45ED"/>
    <w:rsid w:val="022644A3"/>
    <w:rsid w:val="03AA4003"/>
    <w:rsid w:val="04637765"/>
    <w:rsid w:val="047243B4"/>
    <w:rsid w:val="05340BB1"/>
    <w:rsid w:val="0717375D"/>
    <w:rsid w:val="085012D9"/>
    <w:rsid w:val="0D0E5602"/>
    <w:rsid w:val="0E796AAB"/>
    <w:rsid w:val="110033FE"/>
    <w:rsid w:val="1101524B"/>
    <w:rsid w:val="191732B6"/>
    <w:rsid w:val="1C69015F"/>
    <w:rsid w:val="1CC17F9B"/>
    <w:rsid w:val="1D4E30E0"/>
    <w:rsid w:val="1D975DF5"/>
    <w:rsid w:val="1F9711CB"/>
    <w:rsid w:val="208A6C06"/>
    <w:rsid w:val="21E34627"/>
    <w:rsid w:val="26740622"/>
    <w:rsid w:val="270F12F9"/>
    <w:rsid w:val="27490807"/>
    <w:rsid w:val="284D6B87"/>
    <w:rsid w:val="2C091017"/>
    <w:rsid w:val="2CC3566A"/>
    <w:rsid w:val="2DCA6ABE"/>
    <w:rsid w:val="2E374561"/>
    <w:rsid w:val="2F012479"/>
    <w:rsid w:val="32D674F8"/>
    <w:rsid w:val="33136C1F"/>
    <w:rsid w:val="33423F49"/>
    <w:rsid w:val="33B56E25"/>
    <w:rsid w:val="33E074B0"/>
    <w:rsid w:val="35633FD8"/>
    <w:rsid w:val="35F2148E"/>
    <w:rsid w:val="373104F5"/>
    <w:rsid w:val="37CD3E53"/>
    <w:rsid w:val="39F71049"/>
    <w:rsid w:val="3A15411D"/>
    <w:rsid w:val="3AA840F1"/>
    <w:rsid w:val="3C5E0F0B"/>
    <w:rsid w:val="3D5C1616"/>
    <w:rsid w:val="46C422B2"/>
    <w:rsid w:val="476D64A6"/>
    <w:rsid w:val="47B5775F"/>
    <w:rsid w:val="47F00E85"/>
    <w:rsid w:val="49E17175"/>
    <w:rsid w:val="49EF5898"/>
    <w:rsid w:val="4D1C162C"/>
    <w:rsid w:val="4D95615F"/>
    <w:rsid w:val="4EB90223"/>
    <w:rsid w:val="50C51101"/>
    <w:rsid w:val="5B0D492B"/>
    <w:rsid w:val="5B8B15E4"/>
    <w:rsid w:val="5CB45C48"/>
    <w:rsid w:val="5DAC309F"/>
    <w:rsid w:val="6015189D"/>
    <w:rsid w:val="60FB5536"/>
    <w:rsid w:val="641E605D"/>
    <w:rsid w:val="64C71FE5"/>
    <w:rsid w:val="65FF5CA2"/>
    <w:rsid w:val="67E7501F"/>
    <w:rsid w:val="681C5653"/>
    <w:rsid w:val="689B587C"/>
    <w:rsid w:val="6CC53523"/>
    <w:rsid w:val="6D0D4945"/>
    <w:rsid w:val="6F3738FA"/>
    <w:rsid w:val="73157932"/>
    <w:rsid w:val="74293291"/>
    <w:rsid w:val="7715608F"/>
    <w:rsid w:val="7A914B41"/>
    <w:rsid w:val="7B744583"/>
    <w:rsid w:val="7E465F2C"/>
    <w:rsid w:val="7FBC2B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autoRedefine/>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35"/>
    <w:semiHidden/>
    <w:unhideWhenUsed/>
    <w:qFormat/>
    <w:uiPriority w:val="99"/>
    <w:pPr>
      <w:jc w:val="left"/>
    </w:pPr>
  </w:style>
  <w:style w:type="paragraph" w:styleId="3">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4">
    <w:name w:val="Balloon Text"/>
    <w:basedOn w:val="1"/>
    <w:link w:val="37"/>
    <w:semiHidden/>
    <w:unhideWhenUsed/>
    <w:qFormat/>
    <w:uiPriority w:val="99"/>
    <w:rPr>
      <w:sz w:val="18"/>
      <w:szCs w:val="18"/>
    </w:rPr>
  </w:style>
  <w:style w:type="paragraph" w:styleId="5">
    <w:name w:val="footer"/>
    <w:basedOn w:val="1"/>
    <w:link w:val="34"/>
    <w:unhideWhenUsed/>
    <w:qFormat/>
    <w:uiPriority w:val="99"/>
    <w:pPr>
      <w:tabs>
        <w:tab w:val="center" w:pos="4153"/>
        <w:tab w:val="right" w:pos="8306"/>
      </w:tabs>
      <w:snapToGrid w:val="0"/>
      <w:jc w:val="left"/>
    </w:pPr>
    <w:rPr>
      <w:sz w:val="18"/>
      <w:szCs w:val="18"/>
    </w:rPr>
  </w:style>
  <w:style w:type="paragraph" w:styleId="6">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36"/>
    <w:autoRedefine/>
    <w:semiHidden/>
    <w:unhideWhenUsed/>
    <w:qFormat/>
    <w:uiPriority w:val="99"/>
    <w:rPr>
      <w:b/>
      <w:bCs/>
    </w:rPr>
  </w:style>
  <w:style w:type="character" w:styleId="10">
    <w:name w:val="annotation reference"/>
    <w:basedOn w:val="9"/>
    <w:semiHidden/>
    <w:unhideWhenUsed/>
    <w:qFormat/>
    <w:uiPriority w:val="99"/>
    <w:rPr>
      <w:sz w:val="21"/>
      <w:szCs w:val="21"/>
    </w:rPr>
  </w:style>
  <w:style w:type="paragraph" w:customStyle="1" w:styleId="11">
    <w:name w:val="※封面大标题"/>
    <w:basedOn w:val="1"/>
    <w:next w:val="1"/>
    <w:autoRedefine/>
    <w:qFormat/>
    <w:uiPriority w:val="0"/>
    <w:pPr>
      <w:widowControl/>
      <w:jc w:val="center"/>
    </w:pPr>
    <w:rPr>
      <w:rFonts w:ascii="华文中宋" w:hAnsi="华文中宋" w:eastAsia="华文中宋"/>
      <w:sz w:val="96"/>
      <w:szCs w:val="96"/>
    </w:rPr>
  </w:style>
  <w:style w:type="paragraph" w:customStyle="1" w:styleId="12">
    <w:name w:val="※封面题颌"/>
    <w:basedOn w:val="1"/>
    <w:next w:val="1"/>
    <w:qFormat/>
    <w:uiPriority w:val="0"/>
    <w:pPr>
      <w:widowControl/>
      <w:jc w:val="center"/>
    </w:pPr>
    <w:rPr>
      <w:rFonts w:ascii="Calibri Light" w:hAnsi="Calibri Light" w:eastAsia="华文仿宋"/>
      <w:sz w:val="36"/>
      <w:szCs w:val="36"/>
    </w:rPr>
  </w:style>
  <w:style w:type="paragraph" w:customStyle="1" w:styleId="13">
    <w:name w:val="※封面题眉"/>
    <w:basedOn w:val="1"/>
    <w:next w:val="11"/>
    <w:qFormat/>
    <w:uiPriority w:val="0"/>
    <w:pPr>
      <w:widowControl/>
      <w:jc w:val="center"/>
    </w:pPr>
    <w:rPr>
      <w:rFonts w:ascii="华文仿宋" w:hAnsi="华文仿宋" w:eastAsia="华文仿宋"/>
      <w:sz w:val="52"/>
      <w:szCs w:val="28"/>
    </w:rPr>
  </w:style>
  <w:style w:type="paragraph" w:customStyle="1" w:styleId="14">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15">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16">
    <w:name w:val="※目录（主）"/>
    <w:basedOn w:val="1"/>
    <w:qFormat/>
    <w:uiPriority w:val="0"/>
    <w:pPr>
      <w:widowControl/>
      <w:tabs>
        <w:tab w:val="right" w:leader="hyphen" w:pos="8400"/>
      </w:tabs>
      <w:spacing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17">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18">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19">
    <w:name w:val="※小标题 一"/>
    <w:basedOn w:val="18"/>
    <w:next w:val="18"/>
    <w:qFormat/>
    <w:uiPriority w:val="0"/>
    <w:pPr>
      <w:spacing w:before="120" w:line="240" w:lineRule="auto"/>
      <w:outlineLvl w:val="2"/>
    </w:pPr>
    <w:rPr>
      <w:b/>
      <w:color w:val="1F3864" w:themeColor="accent5" w:themeShade="80"/>
      <w:sz w:val="32"/>
    </w:rPr>
  </w:style>
  <w:style w:type="paragraph" w:customStyle="1" w:styleId="20">
    <w:name w:val="※小标题（1）"/>
    <w:basedOn w:val="1"/>
    <w:next w:val="18"/>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21">
    <w:name w:val="※小标题（一）"/>
    <w:basedOn w:val="1"/>
    <w:next w:val="18"/>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22">
    <w:name w:val="※页脚（横屏）"/>
    <w:basedOn w:val="1"/>
    <w:autoRedefine/>
    <w:qFormat/>
    <w:uiPriority w:val="0"/>
    <w:pPr>
      <w:widowControl/>
      <w:tabs>
        <w:tab w:val="center" w:pos="7000"/>
      </w:tabs>
      <w:wordWrap w:val="0"/>
      <w:spacing w:line="240" w:lineRule="atLeast"/>
      <w:jc w:val="left"/>
    </w:pPr>
    <w:rPr>
      <w:rFonts w:ascii="宋体" w:hAnsi="宋体"/>
      <w:sz w:val="18"/>
      <w:szCs w:val="18"/>
    </w:rPr>
  </w:style>
  <w:style w:type="paragraph" w:customStyle="1" w:styleId="23">
    <w:name w:val="※页脚（竖屏）"/>
    <w:basedOn w:val="1"/>
    <w:autoRedefine/>
    <w:qFormat/>
    <w:uiPriority w:val="0"/>
    <w:pPr>
      <w:widowControl/>
      <w:tabs>
        <w:tab w:val="center" w:pos="4536"/>
      </w:tabs>
      <w:wordWrap w:val="0"/>
      <w:spacing w:line="240" w:lineRule="atLeast"/>
      <w:jc w:val="left"/>
    </w:pPr>
    <w:rPr>
      <w:rFonts w:ascii="宋体" w:hAnsi="宋体"/>
      <w:sz w:val="18"/>
      <w:szCs w:val="18"/>
    </w:rPr>
  </w:style>
  <w:style w:type="paragraph" w:customStyle="1" w:styleId="24">
    <w:name w:val="※页眉"/>
    <w:basedOn w:val="18"/>
    <w:autoRedefine/>
    <w:qFormat/>
    <w:uiPriority w:val="0"/>
    <w:pPr>
      <w:pBdr>
        <w:bottom w:val="single" w:color="auto" w:sz="4" w:space="1"/>
      </w:pBdr>
      <w:spacing w:line="240" w:lineRule="atLeast"/>
      <w:jc w:val="right"/>
    </w:pPr>
    <w:rPr>
      <w:rFonts w:ascii="宋体" w:hAnsi="宋体" w:eastAsia="宋体"/>
      <w:sz w:val="18"/>
    </w:rPr>
  </w:style>
  <w:style w:type="paragraph" w:customStyle="1" w:styleId="25">
    <w:name w:val="※章节标题（第X章）"/>
    <w:basedOn w:val="1"/>
    <w:autoRedefine/>
    <w:qFormat/>
    <w:uiPriority w:val="0"/>
    <w:pPr>
      <w:widowControl/>
      <w:jc w:val="center"/>
      <w:outlineLvl w:val="0"/>
    </w:pPr>
    <w:rPr>
      <w:rFonts w:ascii="Calibri Light" w:hAnsi="Calibri Light" w:eastAsia="黑体"/>
      <w:sz w:val="36"/>
      <w:szCs w:val="28"/>
    </w:rPr>
  </w:style>
  <w:style w:type="paragraph" w:customStyle="1" w:styleId="26">
    <w:name w:val="※章节标题（第Y部分）"/>
    <w:basedOn w:val="1"/>
    <w:next w:val="1"/>
    <w:autoRedefine/>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27">
    <w:name w:val="※章节标题（第Z部分分项）"/>
    <w:basedOn w:val="26"/>
    <w:qFormat/>
    <w:uiPriority w:val="0"/>
    <w:pPr>
      <w:outlineLvl w:val="2"/>
    </w:pPr>
  </w:style>
  <w:style w:type="paragraph" w:customStyle="1" w:styleId="28">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29">
    <w:name w:val="※正文（缩进2）"/>
    <w:basedOn w:val="18"/>
    <w:autoRedefine/>
    <w:qFormat/>
    <w:uiPriority w:val="0"/>
    <w:pPr>
      <w:ind w:firstLine="200" w:firstLineChars="200"/>
    </w:pPr>
  </w:style>
  <w:style w:type="paragraph" w:customStyle="1" w:styleId="30">
    <w:name w:val="※正文（缩进4）"/>
    <w:basedOn w:val="18"/>
    <w:autoRedefine/>
    <w:qFormat/>
    <w:uiPriority w:val="0"/>
    <w:pPr>
      <w:ind w:firstLine="400" w:firstLineChars="400"/>
    </w:pPr>
  </w:style>
  <w:style w:type="paragraph" w:customStyle="1" w:styleId="31">
    <w:name w:val="样式"/>
    <w:link w:val="32"/>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2">
    <w:name w:val="样式 Char Char"/>
    <w:link w:val="31"/>
    <w:autoRedefine/>
    <w:qFormat/>
    <w:locked/>
    <w:uiPriority w:val="0"/>
    <w:rPr>
      <w:rFonts w:ascii="宋体" w:hAnsi="宋体" w:eastAsia="宋体" w:cs="宋体"/>
      <w:kern w:val="0"/>
      <w:sz w:val="24"/>
      <w:szCs w:val="24"/>
    </w:rPr>
  </w:style>
  <w:style w:type="character" w:customStyle="1" w:styleId="33">
    <w:name w:val="页眉 Char"/>
    <w:basedOn w:val="9"/>
    <w:link w:val="6"/>
    <w:autoRedefine/>
    <w:qFormat/>
    <w:uiPriority w:val="99"/>
    <w:rPr>
      <w:rFonts w:ascii="Calibri" w:hAnsi="Calibri" w:eastAsia="宋体" w:cs="Times New Roman"/>
      <w:sz w:val="18"/>
      <w:szCs w:val="18"/>
    </w:rPr>
  </w:style>
  <w:style w:type="character" w:customStyle="1" w:styleId="34">
    <w:name w:val="页脚 Char"/>
    <w:basedOn w:val="9"/>
    <w:link w:val="5"/>
    <w:qFormat/>
    <w:uiPriority w:val="99"/>
    <w:rPr>
      <w:rFonts w:ascii="Calibri" w:hAnsi="Calibri" w:eastAsia="宋体" w:cs="Times New Roman"/>
      <w:sz w:val="18"/>
      <w:szCs w:val="18"/>
    </w:rPr>
  </w:style>
  <w:style w:type="character" w:customStyle="1" w:styleId="35">
    <w:name w:val="批注文字 Char"/>
    <w:basedOn w:val="9"/>
    <w:link w:val="2"/>
    <w:autoRedefine/>
    <w:semiHidden/>
    <w:qFormat/>
    <w:uiPriority w:val="99"/>
    <w:rPr>
      <w:rFonts w:ascii="Calibri" w:hAnsi="Calibri" w:eastAsia="宋体" w:cs="Times New Roman"/>
    </w:rPr>
  </w:style>
  <w:style w:type="character" w:customStyle="1" w:styleId="36">
    <w:name w:val="批注主题 Char"/>
    <w:basedOn w:val="35"/>
    <w:link w:val="7"/>
    <w:autoRedefine/>
    <w:semiHidden/>
    <w:qFormat/>
    <w:uiPriority w:val="99"/>
    <w:rPr>
      <w:rFonts w:ascii="Calibri" w:hAnsi="Calibri" w:eastAsia="宋体" w:cs="Times New Roman"/>
      <w:b/>
      <w:bCs/>
    </w:rPr>
  </w:style>
  <w:style w:type="character" w:customStyle="1" w:styleId="37">
    <w:name w:val="批注框文本 Char"/>
    <w:basedOn w:val="9"/>
    <w:link w:val="4"/>
    <w:autoRedefine/>
    <w:semiHidden/>
    <w:qFormat/>
    <w:uiPriority w:val="99"/>
    <w:rPr>
      <w:rFonts w:ascii="Calibri" w:hAnsi="Calibri" w:eastAsia="宋体" w:cs="Times New Roman"/>
      <w:sz w:val="18"/>
      <w:szCs w:val="18"/>
    </w:rPr>
  </w:style>
  <w:style w:type="paragraph" w:customStyle="1" w:styleId="38">
    <w:name w:val="Body text|1"/>
    <w:basedOn w:val="1"/>
    <w:autoRedefine/>
    <w:qFormat/>
    <w:uiPriority w:val="0"/>
    <w:pPr>
      <w:widowControl w:val="0"/>
      <w:shd w:val="clear" w:color="auto" w:fill="auto"/>
      <w:spacing w:line="480" w:lineRule="auto"/>
      <w:ind w:firstLine="400"/>
    </w:pPr>
    <w:rPr>
      <w:rFonts w:ascii="宋体" w:hAnsi="宋体" w:eastAsia="宋体" w:cs="宋体"/>
      <w:sz w:val="22"/>
      <w:szCs w:val="22"/>
      <w:u w:val="none"/>
      <w:shd w:val="clear" w:color="auto" w:fill="auto"/>
      <w:lang w:val="zh-TW" w:eastAsia="zh-TW" w:bidi="zh-T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6</Pages>
  <Words>3128</Words>
  <Characters>3314</Characters>
  <Lines>21</Lines>
  <Paragraphs>6</Paragraphs>
  <TotalTime>7</TotalTime>
  <ScaleCrop>false</ScaleCrop>
  <LinksUpToDate>false</LinksUpToDate>
  <CharactersWithSpaces>3354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2021-03-19T04:39:00Z</dcterms:created>
  <dc:creator>lenovo</dc:creator>
  <cp:lastModifiedBy>学凯</cp:lastModifiedBy>
  <cp:lastPrinted>2026-06-25T06:58:00Z</cp:lastPrinted>
  <dcterms:modified xsi:type="dcterms:W3CDTF">2026-08-21T09:06:35Z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7078136359264F8AAA3B3AECE92908DA_12</vt:lpwstr>
  </property>
  <property fmtid="{D5CDD505-2E9C-101B-9397-08002B2CF9AE}" pid="4" name="KSOTemplateDocerSaveRecord">
    <vt:lpwstr>eyJoZGlkIjoiN2FmOGNjMjYxYTkzNGI4NWI0Mjc2YjE5MWY5MDBmMDYiLCJ1c2VySWQiOiIyNjkyNTU4MDcifQ==</vt:lpwstr>
  </property>
</Properties>
</file>