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版本号：ZMZB2026GFGY-14620260518001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教职工健康体检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ZMZB2026GFGY-146</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教职工健康体检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ZMZB2026GFGY-146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教职工健康体检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教职工健康体检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 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 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8、医疗机构执业许可证：提供供应商有效的医疗机构执业许可证</w:t>
      </w:r>
    </w:p>
    <w:p>
      <w:pPr>
        <w:pStyle w:val="null3"/>
      </w:pPr>
      <w:r>
        <w:rPr>
          <w:rFonts w:ascii="仿宋_GB2312" w:hAnsi="仿宋_GB2312" w:cs="仿宋_GB2312" w:eastAsia="仿宋_GB2312"/>
        </w:rPr>
        <w:t>9、放射诊疗许可证：提供供应商有效的放射诊疗许可证。</w:t>
      </w:r>
    </w:p>
    <w:p>
      <w:pPr>
        <w:pStyle w:val="null3"/>
      </w:pPr>
      <w:r>
        <w:rPr>
          <w:rFonts w:ascii="仿宋_GB2312" w:hAnsi="仿宋_GB2312" w:cs="仿宋_GB2312" w:eastAsia="仿宋_GB2312"/>
        </w:rPr>
        <w:t>10、本项目不接受联合体投标：非联合体投标声明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 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 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8、医疗机构执业许可证：提供供应商有效的医疗机构执业许可证</w:t>
      </w:r>
    </w:p>
    <w:p>
      <w:pPr>
        <w:pStyle w:val="null3"/>
      </w:pPr>
      <w:r>
        <w:rPr>
          <w:rFonts w:ascii="仿宋_GB2312" w:hAnsi="仿宋_GB2312" w:cs="仿宋_GB2312" w:eastAsia="仿宋_GB2312"/>
        </w:rPr>
        <w:t>9、放射诊疗许可证：提供供应商有效的放射诊疗许可证。</w:t>
      </w:r>
    </w:p>
    <w:p>
      <w:pPr>
        <w:pStyle w:val="null3"/>
      </w:pPr>
      <w:r>
        <w:rPr>
          <w:rFonts w:ascii="仿宋_GB2312" w:hAnsi="仿宋_GB2312" w:cs="仿宋_GB2312" w:eastAsia="仿宋_GB2312"/>
        </w:rPr>
        <w:t>10、本项目不接受联合体投标：非联合体投标声明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采购包2：204,000.00元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说明：合同签订前，中标供应商一次性支付中标金额的5%作为履约保证金转账至采购人。项目履约验收完成后，采购人一次性无息退付。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说明：合同签订前，中标供应商一次性支付中标金额的5%作为履约保证金转账至采购人。项目履约验收完成后，采购人一次性无息退付。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本项目为教职工健康体检，拟对陕西国防工业职业技术学院教职工进行2026年度健康体检，人数800人左右，按照自愿原则参加体检，根据实际体检人数进行统一结算。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204,000.00</w:t>
      </w:r>
    </w:p>
    <w:p>
      <w:pPr>
        <w:pStyle w:val="null3"/>
      </w:pPr>
      <w:r>
        <w:rPr>
          <w:rFonts w:ascii="仿宋_GB2312" w:hAnsi="仿宋_GB2312" w:cs="仿宋_GB2312" w:eastAsia="仿宋_GB2312"/>
        </w:rPr>
        <w:t>采购包最高限价（元）: 204,000.00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由供应商按40岁及以上和40岁以下、未婚女分别设计体检套餐，标准为40岁以上850元/人，40岁以下500元/人，未婚女500元/人，体检套餐科学合理、性价比高。供应商针对本项目按①40岁及以上男②40岁及以上女③40岁以下男④40岁以下女⑤未婚女分别设计、制定不同的体检套餐方案，并能够结合最新的体检手段，比如AI智能检测等检测手段，做到早筛查早发现早治疗早预防。检后体检单位必须提供所有后台数据给我校，以便我校建立职工健康管理档案。</w:t>
            </w:r>
          </w:p>
          <w:p>
            <w:pPr>
              <w:pStyle w:val="null3"/>
            </w:pPr>
            <w:r>
              <w:rPr>
                <w:rFonts w:ascii="仿宋_GB2312" w:hAnsi="仿宋_GB2312" w:cs="仿宋_GB2312" w:eastAsia="仿宋_GB2312"/>
                <w:sz w:val="24"/>
              </w:rPr>
              <w:t>二、本项目为固定价格，40岁以上单人预算为：850元/人，40岁以下单人预算为：500元/人，未婚女500元/人。供应商可在采购需求要求的基础体检项目之外，根据不同性别、不同年龄提供相应增项体检项目。（供应商报价时报本包预算价格，否则按无效响应处理）</w:t>
            </w:r>
          </w:p>
          <w:p>
            <w:pPr>
              <w:pStyle w:val="null3"/>
            </w:pPr>
            <w:r>
              <w:rPr>
                <w:rFonts w:ascii="仿宋_GB2312" w:hAnsi="仿宋_GB2312" w:cs="仿宋_GB2312" w:eastAsia="仿宋_GB2312"/>
                <w:sz w:val="24"/>
              </w:rPr>
              <w:t>三、 体检完成后，供应商需将后台数据给采购人，便于采购人建立和管理健康数据库。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35"/>
              <w:gridCol w:w="86"/>
              <w:gridCol w:w="86"/>
              <w:gridCol w:w="86"/>
              <w:gridCol w:w="86"/>
              <w:gridCol w:w="86"/>
              <w:gridCol w:w="86"/>
              <w:gridCol w:w="86"/>
              <w:gridCol w:w="617"/>
              <w:gridCol w:w="1197"/>
            </w:tblGrid>
            <w:tr>
              <w:tc>
                <w:tcPr>
                  <w:tcW w:type="dxa" w:w="2551"/>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2026年陕西国防学院健康体检基础套餐（女已婚）</w:t>
                  </w:r>
                </w:p>
              </w:tc>
            </w:tr>
            <w:tr>
              <w:tc>
                <w:tcPr>
                  <w:tcW w:type="dxa" w:w="307"/>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430"/>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307"/>
                  <w:gridSpan w:val="3"/>
                  <w:vMerge/>
                  <w:tcBorders>
                    <w:top w:val="none" w:color="000000" w:sz="4"/>
                    <w:left w:val="single" w:color="000000" w:sz="4"/>
                    <w:bottom w:val="single" w:color="000000" w:sz="4"/>
                    <w:right w:val="single" w:color="000000" w:sz="4"/>
                  </w:tcBorders>
                </w:tcP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乳腺（女）</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有无乳腺增生、乳腺肿瘤等。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盆腔彩超（女）</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女：子宫、附件（卵巢）、膀胱。</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胸部</w:t>
                  </w:r>
                  <w:r>
                    <w:rPr>
                      <w:rFonts w:ascii="仿宋_GB2312" w:hAnsi="仿宋_GB2312" w:cs="仿宋_GB2312" w:eastAsia="仿宋_GB2312"/>
                      <w:sz w:val="20"/>
                      <w:b/>
                      <w:color w:val="2C3E50"/>
                    </w:rPr>
                    <w:t>CT检查</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肺炎、肺结核、肿瘤、充血、淤血、支气管炎、支气管扩张、心脏大小、纵隔肿瘤、膈肌病变、胸腹积气、积液等。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r>
                    <w:br/>
                  </w:r>
                  <w:r>
                    <w:rPr>
                      <w:rFonts w:ascii="仿宋_GB2312" w:hAnsi="仿宋_GB2312" w:cs="仿宋_GB2312" w:eastAsia="仿宋_GB2312"/>
                      <w:sz w:val="20"/>
                    </w:rPr>
                    <w:t>础筛查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FF0000"/>
                    </w:rPr>
                    <w:t>妇科</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妇科检查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阴道、子宫、宫颈</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阴道、子宫、宫颈。（有无阴道炎、宫颈炎、宫颈糜烂、</w:t>
                  </w:r>
                  <w:r>
                    <w:br/>
                  </w:r>
                  <w:r>
                    <w:rPr>
                      <w:rFonts w:ascii="仿宋_GB2312" w:hAnsi="仿宋_GB2312" w:cs="仿宋_GB2312" w:eastAsia="仿宋_GB2312"/>
                      <w:sz w:val="20"/>
                      <w:color w:val="2C3E50"/>
                    </w:rPr>
                    <w:t>盆腔炎、卵巢肿瘤）等。</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液基薄层（</w:t>
                  </w:r>
                  <w:r>
                    <w:rPr>
                      <w:rFonts w:ascii="仿宋_GB2312" w:hAnsi="仿宋_GB2312" w:cs="仿宋_GB2312" w:eastAsia="仿宋_GB2312"/>
                      <w:sz w:val="20"/>
                      <w:b/>
                      <w:color w:val="2C3E50"/>
                    </w:rPr>
                    <w:t>TCT）</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为宫颈脱落细胞检查方法，作为筛查早期宫颈癌的重要项目，敏感度高特异性强。</w:t>
                  </w:r>
                </w:p>
              </w:tc>
            </w:tr>
            <w:tr>
              <w:tc>
                <w:tcPr>
                  <w:tcW w:type="dxa" w:w="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白带常规</w:t>
                  </w:r>
                </w:p>
              </w:tc>
              <w:tc>
                <w:tcPr>
                  <w:tcW w:type="dxa" w:w="1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白带有无霉菌、滴虫感染、阴道炎等。</w:t>
                  </w:r>
                </w:p>
              </w:tc>
            </w:tr>
            <w:tr>
              <w:tc>
                <w:tcPr>
                  <w:tcW w:type="dxa" w:w="255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2026年陕西国防学院健康体检基础套餐（男）</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516"/>
                  <w:gridSpan w:val="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70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135"/>
                  <w:vMerge/>
                  <w:tcBorders>
                    <w:top w:val="none" w:color="000000" w:sz="4"/>
                    <w:left w:val="single" w:color="000000" w:sz="4"/>
                    <w:bottom w:val="single" w:color="000000" w:sz="4"/>
                    <w:right w:val="single" w:color="000000" w:sz="4"/>
                  </w:tcBorders>
                </w:tcPr>
                <w:p/>
              </w:tc>
              <w:tc>
                <w:tcPr>
                  <w:tcW w:type="dxa" w:w="516"/>
                  <w:gridSpan w:val="6"/>
                  <w:vMerge/>
                  <w:tcBorders>
                    <w:top w:val="single" w:color="000000" w:sz="4"/>
                    <w:left w:val="none" w:color="000000" w:sz="4"/>
                    <w:bottom w:val="single" w:color="000000" w:sz="4"/>
                    <w:right w:val="single" w:color="000000" w:sz="4"/>
                  </w:tcBorders>
                </w:tcP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盆腔彩超（男）</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男：前列腺、膀胱。</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胸部</w:t>
                  </w:r>
                  <w:r>
                    <w:rPr>
                      <w:rFonts w:ascii="仿宋_GB2312" w:hAnsi="仿宋_GB2312" w:cs="仿宋_GB2312" w:eastAsia="仿宋_GB2312"/>
                      <w:sz w:val="20"/>
                      <w:b/>
                    </w:rPr>
                    <w:t>CT检查</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肺炎、肺结核、肿瘤、充血、淤血、支气管炎、支气管扩张、心脏大小、纵隔肿瘤、膈肌病变、胸腹积气、积液等。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p>
                <w:p>
                  <w:pPr>
                    <w:pStyle w:val="null3"/>
                  </w:pPr>
                  <w:r>
                    <w:rPr>
                      <w:rFonts w:ascii="仿宋_GB2312" w:hAnsi="仿宋_GB2312" w:cs="仿宋_GB2312" w:eastAsia="仿宋_GB2312"/>
                      <w:sz w:val="20"/>
                    </w:rPr>
                    <w:t>础筛查</w:t>
                  </w:r>
                </w:p>
                <w:p>
                  <w:pPr>
                    <w:pStyle w:val="null3"/>
                  </w:pPr>
                  <w:r>
                    <w:rPr>
                      <w:rFonts w:ascii="仿宋_GB2312" w:hAnsi="仿宋_GB2312" w:cs="仿宋_GB2312" w:eastAsia="仿宋_GB2312"/>
                      <w:sz w:val="19"/>
                    </w:rPr>
                    <w:t xml:space="preserve"> </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58"/>
                  <w:gridSpan w:val="3"/>
                  <w:vMerge/>
                  <w:tcBorders>
                    <w:top w:val="none" w:color="000000" w:sz="4"/>
                    <w:left w:val="none" w:color="000000" w:sz="4"/>
                    <w:bottom w:val="single" w:color="000000" w:sz="4"/>
                    <w:right w:val="single" w:color="000000" w:sz="4"/>
                  </w:tcBorders>
                </w:tcP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r>
              <w:tc>
                <w:tcPr>
                  <w:tcW w:type="dxa" w:w="255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2026年陕西国防学院健康体检基础套餐（女未婚）</w:t>
                  </w:r>
                </w:p>
              </w:tc>
            </w:tr>
            <w:tr>
              <w:tc>
                <w:tcPr>
                  <w:tcW w:type="dxa" w:w="22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430"/>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70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221"/>
                  <w:gridSpan w:val="2"/>
                  <w:vMerge/>
                  <w:tcBorders>
                    <w:top w:val="none" w:color="000000" w:sz="4"/>
                    <w:left w:val="single" w:color="000000" w:sz="4"/>
                    <w:bottom w:val="single" w:color="000000" w:sz="4"/>
                    <w:right w:val="single" w:color="000000" w:sz="4"/>
                  </w:tcBorders>
                </w:tcPr>
                <w:p/>
              </w:tc>
              <w:tc>
                <w:tcPr>
                  <w:tcW w:type="dxa" w:w="430"/>
                  <w:gridSpan w:val="5"/>
                  <w:vMerge/>
                  <w:tcBorders>
                    <w:top w:val="single" w:color="000000" w:sz="4"/>
                    <w:left w:val="none" w:color="000000" w:sz="4"/>
                    <w:bottom w:val="single" w:color="000000" w:sz="4"/>
                    <w:right w:val="single" w:color="000000" w:sz="4"/>
                  </w:tcBorders>
                </w:tcP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胸部</w:t>
                  </w:r>
                  <w:r>
                    <w:rPr>
                      <w:rFonts w:ascii="仿宋_GB2312" w:hAnsi="仿宋_GB2312" w:cs="仿宋_GB2312" w:eastAsia="仿宋_GB2312"/>
                      <w:sz w:val="20"/>
                      <w:b/>
                    </w:rPr>
                    <w:t>CT检查</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肺炎、肺结核、肿瘤、充血、淤血、支气管炎、支气管扩张、心脏大小、纵隔肿瘤、膈肌病变、胸腹积气、积液等。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7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58"/>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r>
                    <w:br/>
                  </w:r>
                  <w:r>
                    <w:rPr>
                      <w:rFonts w:ascii="仿宋_GB2312" w:hAnsi="仿宋_GB2312" w:cs="仿宋_GB2312" w:eastAsia="仿宋_GB2312"/>
                      <w:sz w:val="20"/>
                    </w:rPr>
                    <w:t>础筛查</w:t>
                  </w: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2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58"/>
                  <w:gridSpan w:val="3"/>
                  <w:vMerge/>
                  <w:tcBorders>
                    <w:top w:val="none" w:color="000000" w:sz="4"/>
                    <w:left w:val="none" w:color="000000" w:sz="4"/>
                    <w:bottom w:val="single" w:color="000000" w:sz="4"/>
                    <w:right w:val="single" w:color="000000" w:sz="4"/>
                  </w:tcBorders>
                </w:tcPr>
                <w:p/>
              </w:tc>
              <w:tc>
                <w:tcPr>
                  <w:tcW w:type="dxa" w:w="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9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、供应商须在</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20</w:t>
            </w:r>
            <w:r>
              <w:rPr>
                <w:rFonts w:ascii="仿宋_GB2312" w:hAnsi="仿宋_GB2312" w:cs="仿宋_GB2312" w:eastAsia="仿宋_GB2312"/>
                <w:sz w:val="21"/>
              </w:rPr>
              <w:t>日左右能为</w:t>
            </w:r>
            <w:r>
              <w:rPr>
                <w:rFonts w:ascii="仿宋_GB2312" w:hAnsi="仿宋_GB2312" w:cs="仿宋_GB2312" w:eastAsia="仿宋_GB2312"/>
                <w:sz w:val="21"/>
              </w:rPr>
              <w:t>采购人</w:t>
            </w:r>
            <w:r>
              <w:rPr>
                <w:rFonts w:ascii="仿宋_GB2312" w:hAnsi="仿宋_GB2312" w:cs="仿宋_GB2312" w:eastAsia="仿宋_GB2312"/>
                <w:sz w:val="21"/>
              </w:rPr>
              <w:t>提供不少于</w:t>
            </w:r>
            <w:r>
              <w:rPr>
                <w:rFonts w:ascii="仿宋_GB2312" w:hAnsi="仿宋_GB2312" w:cs="仿宋_GB2312" w:eastAsia="仿宋_GB2312"/>
                <w:sz w:val="21"/>
              </w:rPr>
              <w:t>100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天体检专场（具体时间根据</w:t>
            </w:r>
            <w:r>
              <w:rPr>
                <w:rFonts w:ascii="仿宋_GB2312" w:hAnsi="仿宋_GB2312" w:cs="仿宋_GB2312" w:eastAsia="仿宋_GB2312"/>
                <w:sz w:val="21"/>
              </w:rPr>
              <w:t>采购人</w:t>
            </w:r>
            <w:r>
              <w:rPr>
                <w:rFonts w:ascii="仿宋_GB2312" w:hAnsi="仿宋_GB2312" w:cs="仿宋_GB2312" w:eastAsia="仿宋_GB2312"/>
                <w:sz w:val="21"/>
              </w:rPr>
              <w:t>放假时间确定）；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、供应商配备专车接送团检；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、最终结算以</w:t>
            </w:r>
            <w:r>
              <w:rPr>
                <w:rFonts w:ascii="仿宋_GB2312" w:hAnsi="仿宋_GB2312" w:cs="仿宋_GB2312" w:eastAsia="仿宋_GB2312"/>
                <w:sz w:val="21"/>
              </w:rPr>
              <w:t>采购人</w:t>
            </w:r>
            <w:r>
              <w:rPr>
                <w:rFonts w:ascii="仿宋_GB2312" w:hAnsi="仿宋_GB2312" w:cs="仿宋_GB2312" w:eastAsia="仿宋_GB2312"/>
                <w:sz w:val="21"/>
              </w:rPr>
              <w:t>实际体检人数为准。</w:t>
            </w:r>
          </w:p>
          <w:p>
            <w:pPr>
              <w:pStyle w:val="null3"/>
            </w:pPr>
            <w:r>
              <w:rPr>
                <w:rFonts w:ascii="仿宋_GB2312" w:hAnsi="仿宋_GB2312" w:cs="仿宋_GB2312" w:eastAsia="仿宋_GB2312"/>
                <w:sz w:val="21"/>
              </w:rPr>
              <w:t>4</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由供应商按40岁及以上和40岁以下、未婚女分别设计体检套餐，标准为40岁以上850元/人，40岁以下500元/人，未婚女500元/人，体检套餐科学合理、性价比高。供应商针对本项目按①40岁及以上男②40岁及以上女③40岁以下男④40岁以下女⑤未婚女分别设计、制定不同的体检套餐方案，并能够结合最新的体检手段，比如AI智能检测等检测手段，做到早筛查早发现早治疗早预防。检后体检单位必须提供所有后台数据给我校，以便我校建立职工健康管理档案。</w:t>
            </w:r>
          </w:p>
          <w:p>
            <w:pPr>
              <w:pStyle w:val="null3"/>
            </w:pPr>
            <w:r>
              <w:rPr>
                <w:rFonts w:ascii="仿宋_GB2312" w:hAnsi="仿宋_GB2312" w:cs="仿宋_GB2312" w:eastAsia="仿宋_GB2312"/>
                <w:sz w:val="24"/>
              </w:rPr>
              <w:t>二、本项目为固定价格，40岁以上单人预算为：850元/人，40岁以下单人预算为：500元/人，未婚女500元/人。供应商可在采购需求要求的基础体检项目之外，根据不同性别、不同年龄提供相应增项体检项目。</w:t>
            </w:r>
            <w:r>
              <w:rPr>
                <w:rFonts w:ascii="仿宋_GB2312" w:hAnsi="仿宋_GB2312" w:cs="仿宋_GB2312" w:eastAsia="仿宋_GB2312"/>
                <w:sz w:val="24"/>
              </w:rPr>
              <w:t>（供应商报价时报本包预算价格，否则按无效响应处理）</w:t>
            </w:r>
          </w:p>
          <w:p>
            <w:pPr>
              <w:pStyle w:val="null3"/>
            </w:pPr>
            <w:r>
              <w:rPr>
                <w:rFonts w:ascii="仿宋_GB2312" w:hAnsi="仿宋_GB2312" w:cs="仿宋_GB2312" w:eastAsia="仿宋_GB2312"/>
                <w:sz w:val="24"/>
              </w:rPr>
              <w:t>三、 体检完成后，供应商需将后台数据给采购人，便于采购人建立和管理健康数据库。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48"/>
              <w:gridCol w:w="99"/>
              <w:gridCol w:w="99"/>
              <w:gridCol w:w="99"/>
              <w:gridCol w:w="99"/>
              <w:gridCol w:w="99"/>
              <w:gridCol w:w="99"/>
              <w:gridCol w:w="99"/>
              <w:gridCol w:w="534"/>
              <w:gridCol w:w="1166"/>
            </w:tblGrid>
            <w:tr>
              <w:tc>
                <w:tcPr>
                  <w:tcW w:type="dxa" w:w="2541"/>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2026年陕西国防学院健康体检基础套餐（女已婚）</w:t>
                  </w:r>
                </w:p>
              </w:tc>
            </w:tr>
            <w:tr>
              <w:tc>
                <w:tcPr>
                  <w:tcW w:type="dxa" w:w="34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495"/>
                  <w:gridSpan w:val="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346"/>
                  <w:gridSpan w:val="3"/>
                  <w:vMerge/>
                  <w:tcBorders>
                    <w:top w:val="none" w:color="000000" w:sz="4"/>
                    <w:left w:val="single" w:color="000000" w:sz="4"/>
                    <w:bottom w:val="single" w:color="000000" w:sz="4"/>
                    <w:right w:val="single" w:color="000000" w:sz="4"/>
                  </w:tcBorders>
                </w:tcP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乳腺（女）</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有无乳腺增生、乳腺肿瘤等。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盆腔彩超（女）</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女：子宫、附件（卵巢）、膀胱。</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胸部</w:t>
                  </w:r>
                  <w:r>
                    <w:rPr>
                      <w:rFonts w:ascii="仿宋_GB2312" w:hAnsi="仿宋_GB2312" w:cs="仿宋_GB2312" w:eastAsia="仿宋_GB2312"/>
                      <w:sz w:val="20"/>
                      <w:b/>
                    </w:rPr>
                    <w:t>CT检查</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肺炎、肺结核、肿瘤、充血、淤血、支气管炎、支气管扩张、心脏大小、纵隔肿瘤、膈肌病变、胸腹积气、积液等。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r>
                    <w:br/>
                  </w:r>
                  <w:r>
                    <w:rPr>
                      <w:rFonts w:ascii="仿宋_GB2312" w:hAnsi="仿宋_GB2312" w:cs="仿宋_GB2312" w:eastAsia="仿宋_GB2312"/>
                      <w:sz w:val="20"/>
                    </w:rPr>
                    <w:t>础筛查</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妇科</w:t>
                  </w: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妇科检查</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阴道、子宫、宫颈</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阴道、子宫、宫颈。（有无阴道炎、宫颈炎、宫颈糜烂、</w:t>
                  </w:r>
                  <w:r>
                    <w:br/>
                  </w:r>
                  <w:r>
                    <w:rPr>
                      <w:rFonts w:ascii="仿宋_GB2312" w:hAnsi="仿宋_GB2312" w:cs="仿宋_GB2312" w:eastAsia="仿宋_GB2312"/>
                      <w:sz w:val="20"/>
                      <w:color w:val="2C3E50"/>
                    </w:rPr>
                    <w:t>盆腔炎、卵巢肿瘤）等。</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液基薄层（</w:t>
                  </w:r>
                  <w:r>
                    <w:rPr>
                      <w:rFonts w:ascii="仿宋_GB2312" w:hAnsi="仿宋_GB2312" w:cs="仿宋_GB2312" w:eastAsia="仿宋_GB2312"/>
                      <w:sz w:val="20"/>
                      <w:b/>
                      <w:color w:val="2C3E50"/>
                    </w:rPr>
                    <w:t>TCT）</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为宫颈脱落细胞检查方法，作为筛查早期宫颈癌的重要项目，敏感度高特异性强。</w:t>
                  </w:r>
                </w:p>
              </w:tc>
            </w:tr>
            <w:tr>
              <w:tc>
                <w:tcPr>
                  <w:tcW w:type="dxa" w:w="3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97"/>
                  <w:gridSpan w:val="3"/>
                  <w:vMerge/>
                  <w:tcBorders>
                    <w:top w:val="none" w:color="000000" w:sz="4"/>
                    <w:left w:val="none" w:color="000000" w:sz="4"/>
                    <w:bottom w:val="single" w:color="000000" w:sz="4"/>
                    <w:right w:val="single" w:color="000000" w:sz="4"/>
                  </w:tcBorders>
                </w:tcPr>
                <w:p/>
              </w:tc>
              <w:tc>
                <w:tcPr>
                  <w:tcW w:type="dxa" w:w="1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白带常规</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2C3E50"/>
                    </w:rPr>
                    <w:t>白带有无霉菌、滴虫感染、阴道炎等。</w:t>
                  </w:r>
                </w:p>
              </w:tc>
            </w:tr>
            <w:tr>
              <w:tc>
                <w:tcPr>
                  <w:tcW w:type="dxa" w:w="254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2026年陕西国防学院健康体检基础套餐（男）</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594"/>
                  <w:gridSpan w:val="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63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148"/>
                  <w:vMerge/>
                  <w:tcBorders>
                    <w:top w:val="none" w:color="000000" w:sz="4"/>
                    <w:left w:val="single" w:color="000000" w:sz="4"/>
                    <w:bottom w:val="single" w:color="000000" w:sz="4"/>
                    <w:right w:val="single" w:color="000000" w:sz="4"/>
                  </w:tcBorders>
                </w:tcPr>
                <w:p/>
              </w:tc>
              <w:tc>
                <w:tcPr>
                  <w:tcW w:type="dxa" w:w="594"/>
                  <w:gridSpan w:val="6"/>
                  <w:vMerge/>
                  <w:tcBorders>
                    <w:top w:val="single" w:color="000000" w:sz="4"/>
                    <w:left w:val="non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2C3E50"/>
                    </w:rPr>
                    <w:t>盆腔彩超（男）</w:t>
                  </w:r>
                </w:p>
              </w:tc>
              <w:tc>
                <w:tcPr>
                  <w:tcW w:type="dxa" w:w="1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2C3E50"/>
                    </w:rPr>
                    <w:t>男：前列腺、膀胱。</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胸部</w:t>
                  </w:r>
                  <w:r>
                    <w:rPr>
                      <w:rFonts w:ascii="仿宋_GB2312" w:hAnsi="仿宋_GB2312" w:cs="仿宋_GB2312" w:eastAsia="仿宋_GB2312"/>
                      <w:sz w:val="20"/>
                      <w:b/>
                    </w:rPr>
                    <w:t>CT检查</w:t>
                  </w:r>
                </w:p>
              </w:tc>
              <w:tc>
                <w:tcPr>
                  <w:tcW w:type="dxa" w:w="1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肺炎、肺结核、肿瘤、充血、淤血、支气管炎、支气管扩张、心脏大小、纵隔肿瘤、膈肌病变、胸腹积气、积液等。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6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7"/>
                  <w:gridSpan w:val="3"/>
                  <w:vMerge/>
                  <w:tcBorders>
                    <w:top w:val="none" w:color="000000" w:sz="4"/>
                    <w:left w:val="none" w:color="000000" w:sz="4"/>
                    <w:bottom w:val="single" w:color="000000" w:sz="4"/>
                    <w:right w:val="single" w:color="000000" w:sz="4"/>
                  </w:tcBorders>
                </w:tcPr>
                <w:p/>
              </w:tc>
              <w:tc>
                <w:tcPr>
                  <w:tcW w:type="dxa" w:w="39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p>
                <w:p>
                  <w:pPr>
                    <w:pStyle w:val="null3"/>
                  </w:pPr>
                  <w:r>
                    <w:rPr>
                      <w:rFonts w:ascii="仿宋_GB2312" w:hAnsi="仿宋_GB2312" w:cs="仿宋_GB2312" w:eastAsia="仿宋_GB2312"/>
                      <w:sz w:val="20"/>
                    </w:rPr>
                    <w:t>础筛查</w:t>
                  </w:r>
                </w:p>
                <w:p>
                  <w:pPr>
                    <w:pStyle w:val="null3"/>
                  </w:pPr>
                  <w:r>
                    <w:rPr>
                      <w:rFonts w:ascii="仿宋_GB2312" w:hAnsi="仿宋_GB2312" w:cs="仿宋_GB2312" w:eastAsia="仿宋_GB2312"/>
                      <w:sz w:val="19"/>
                    </w:rPr>
                    <w:t xml:space="preserve"> </w:t>
                  </w:r>
                </w:p>
              </w:tc>
              <w:tc>
                <w:tcPr>
                  <w:tcW w:type="dxa" w:w="39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7"/>
                  <w:gridSpan w:val="3"/>
                  <w:vMerge/>
                  <w:tcBorders>
                    <w:top w:val="none" w:color="000000" w:sz="4"/>
                    <w:left w:val="none" w:color="000000" w:sz="4"/>
                    <w:bottom w:val="single" w:color="000000" w:sz="4"/>
                    <w:right w:val="single" w:color="000000" w:sz="4"/>
                  </w:tcBorders>
                </w:tcPr>
                <w:p/>
              </w:tc>
              <w:tc>
                <w:tcPr>
                  <w:tcW w:type="dxa" w:w="39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r>
              <w:tc>
                <w:tcPr>
                  <w:tcW w:type="dxa" w:w="254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2026年陕西国防学院健康体检基础套餐（女未婚）</w:t>
                  </w:r>
                </w:p>
              </w:tc>
            </w:tr>
            <w:tr>
              <w:tc>
                <w:tcPr>
                  <w:tcW w:type="dxa" w:w="24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编号</w:t>
                  </w:r>
                </w:p>
              </w:tc>
              <w:tc>
                <w:tcPr>
                  <w:tcW w:type="dxa" w:w="594"/>
                  <w:gridSpan w:val="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11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体检目的</w:t>
                  </w:r>
                </w:p>
              </w:tc>
            </w:tr>
            <w:tr>
              <w:tc>
                <w:tcPr>
                  <w:tcW w:type="dxa" w:w="247"/>
                  <w:gridSpan w:val="2"/>
                  <w:vMerge/>
                  <w:tcBorders>
                    <w:top w:val="none" w:color="000000" w:sz="4"/>
                    <w:left w:val="single" w:color="000000" w:sz="4"/>
                    <w:bottom w:val="single" w:color="000000" w:sz="4"/>
                    <w:right w:val="single" w:color="000000" w:sz="4"/>
                  </w:tcBorders>
                </w:tcPr>
                <w:p/>
              </w:tc>
              <w:tc>
                <w:tcPr>
                  <w:tcW w:type="dxa" w:w="594"/>
                  <w:gridSpan w:val="6"/>
                  <w:vMerge/>
                  <w:tcBorders>
                    <w:top w:val="single" w:color="000000" w:sz="4"/>
                    <w:left w:val="none" w:color="000000" w:sz="4"/>
                    <w:bottom w:val="single" w:color="000000" w:sz="4"/>
                    <w:right w:val="single" w:color="000000" w:sz="4"/>
                  </w:tcBorders>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一般检查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身高、体重、体重指数、血压</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了解营养状况等。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内科</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心、肝、脾、肾、神经系统</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心脏听诊：心律、心率、心脏杂音、双肺听诊：有无异常呼吸音，腹部触诊：有无肝脾肿大等。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外科</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甲状腺、淋巴结、体表包块、四肢关节等。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心电图</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自动分析全导联</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有无心肌缺血、心律失常等、心肌肥大、心梗、心肌炎、传导阻滞等。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B超</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腹部彩超</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肝、胆、脾、胰、肾</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检查肝、胆、脾、胰、双肾（有无脂肪肝、肝肾肿瘤、肝内胆管结石、胆石症、胆囊炎、胆囊息肉、脾肿大等）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w:t>
                  </w:r>
                  <w:r>
                    <w:br/>
                  </w:r>
                  <w:r>
                    <w:rPr>
                      <w:rFonts w:ascii="仿宋_GB2312" w:hAnsi="仿宋_GB2312" w:cs="仿宋_GB2312" w:eastAsia="仿宋_GB2312"/>
                      <w:sz w:val="20"/>
                    </w:rPr>
                    <w:t>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胸部</w:t>
                  </w:r>
                  <w:r>
                    <w:rPr>
                      <w:rFonts w:ascii="仿宋_GB2312" w:hAnsi="仿宋_GB2312" w:cs="仿宋_GB2312" w:eastAsia="仿宋_GB2312"/>
                      <w:sz w:val="20"/>
                      <w:b/>
                    </w:rPr>
                    <w:t>CT检查</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肺炎、肺结核、肿瘤、充血、淤血、支气管炎、支气管扩张、心脏大小、纵隔肿瘤、膈肌病变、胸腹积气、积液等。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化验检查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血液分析</w:t>
                  </w:r>
                  <w:r>
                    <w:rPr>
                      <w:rFonts w:ascii="仿宋_GB2312" w:hAnsi="仿宋_GB2312" w:cs="仿宋_GB2312" w:eastAsia="仿宋_GB2312"/>
                      <w:sz w:val="20"/>
                      <w:b/>
                    </w:rPr>
                    <w:t>24项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检查外周血中白细胞是否正常，评价骨髓造血机能，有助于临床急慢性细菌感染，病毒性感染的辅助诊断，健康体检应检项目。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尿液分析</w:t>
                  </w:r>
                  <w:r>
                    <w:rPr>
                      <w:rFonts w:ascii="仿宋_GB2312" w:hAnsi="仿宋_GB2312" w:cs="仿宋_GB2312" w:eastAsia="仿宋_GB2312"/>
                      <w:sz w:val="20"/>
                      <w:b/>
                    </w:rPr>
                    <w:t>11项+镜检</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潜血、尿酮体、尿胆原、葡萄糖、白细胞、胆红素等</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检查有无泌尿系感染、急、慢性肾炎等。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血脂四项</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检查有无血脂异常有助于高血压、动脉硬化、肥胖、冠心病、等的脂代谢异常诊断和治疗观察。</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肾功三项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血尿酸、尿素、肌酐</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了解肾功能情况，有助于急、慢性肾病的诊断。早期发现及诊断痛风生化指标。</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肝功八项</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1、谷丙转氨酶（GPT或ALT）2、天门冬氨酸氨基转移酶（AST）3、ALT\AST（对比值）4、总胆红素（T-BIL）4、总胆红素（T-BIL）5、直接胆红素（D-BIL）6、间接胆红素（I-BIL）7、碱性磷酸酶(ALP)8、r-谷氨酰基转移酶（GGT）</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了解肝功能改变情况及胆红素代谢情况，诊断肝炎、肝硬化的生化指标。</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7"/>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肿瘤基</w:t>
                  </w:r>
                  <w:r>
                    <w:br/>
                  </w:r>
                  <w:r>
                    <w:rPr>
                      <w:rFonts w:ascii="仿宋_GB2312" w:hAnsi="仿宋_GB2312" w:cs="仿宋_GB2312" w:eastAsia="仿宋_GB2312"/>
                      <w:sz w:val="20"/>
                    </w:rPr>
                    <w:t>础筛查</w:t>
                  </w: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甲胎蛋白（定量）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筛查病毒性肝炎、肝癌、肝硬化等疾病，是原发性肝癌的标志物检查。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7"/>
                  <w:gridSpan w:val="3"/>
                  <w:vMerge/>
                  <w:tcBorders>
                    <w:top w:val="none" w:color="000000" w:sz="4"/>
                    <w:left w:val="none" w:color="000000" w:sz="4"/>
                    <w:bottom w:val="single" w:color="000000" w:sz="4"/>
                    <w:right w:val="single" w:color="000000" w:sz="4"/>
                  </w:tcBorders>
                </w:tcPr>
                <w:p/>
              </w:tc>
              <w:tc>
                <w:tcPr>
                  <w:tcW w:type="dxa" w:w="2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癌胚抗原（定量）</w:t>
                  </w:r>
                  <w:r>
                    <w:rPr>
                      <w:rFonts w:ascii="仿宋_GB2312" w:hAnsi="仿宋_GB2312" w:cs="仿宋_GB2312" w:eastAsia="仿宋_GB2312"/>
                      <w:sz w:val="20"/>
                      <w:b/>
                    </w:rPr>
                    <w:t xml:space="preserve">                                           </w:t>
                  </w:r>
                </w:p>
              </w:tc>
              <w:tc>
                <w:tcPr>
                  <w:tcW w:type="dxa" w:w="17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筛查胃癌、胆囊癌、结肠癌、直肠癌的标志物检查。</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、供应商须在</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20</w:t>
            </w:r>
            <w:r>
              <w:rPr>
                <w:rFonts w:ascii="仿宋_GB2312" w:hAnsi="仿宋_GB2312" w:cs="仿宋_GB2312" w:eastAsia="仿宋_GB2312"/>
                <w:sz w:val="21"/>
              </w:rPr>
              <w:t>日左右能为</w:t>
            </w:r>
            <w:r>
              <w:rPr>
                <w:rFonts w:ascii="仿宋_GB2312" w:hAnsi="仿宋_GB2312" w:cs="仿宋_GB2312" w:eastAsia="仿宋_GB2312"/>
                <w:sz w:val="21"/>
              </w:rPr>
              <w:t>采购人</w:t>
            </w:r>
            <w:r>
              <w:rPr>
                <w:rFonts w:ascii="仿宋_GB2312" w:hAnsi="仿宋_GB2312" w:cs="仿宋_GB2312" w:eastAsia="仿宋_GB2312"/>
                <w:sz w:val="21"/>
              </w:rPr>
              <w:t>提供不少于</w:t>
            </w:r>
            <w:r>
              <w:rPr>
                <w:rFonts w:ascii="仿宋_GB2312" w:hAnsi="仿宋_GB2312" w:cs="仿宋_GB2312" w:eastAsia="仿宋_GB2312"/>
                <w:sz w:val="21"/>
              </w:rPr>
              <w:t>100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天体检专场（具体时间根据</w:t>
            </w:r>
            <w:r>
              <w:rPr>
                <w:rFonts w:ascii="仿宋_GB2312" w:hAnsi="仿宋_GB2312" w:cs="仿宋_GB2312" w:eastAsia="仿宋_GB2312"/>
                <w:sz w:val="21"/>
              </w:rPr>
              <w:t>采购人</w:t>
            </w:r>
            <w:r>
              <w:rPr>
                <w:rFonts w:ascii="仿宋_GB2312" w:hAnsi="仿宋_GB2312" w:cs="仿宋_GB2312" w:eastAsia="仿宋_GB2312"/>
                <w:sz w:val="21"/>
              </w:rPr>
              <w:t>放假时间确定）；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、供应商配备专车接送团检；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、最终结算以</w:t>
            </w:r>
            <w:r>
              <w:rPr>
                <w:rFonts w:ascii="仿宋_GB2312" w:hAnsi="仿宋_GB2312" w:cs="仿宋_GB2312" w:eastAsia="仿宋_GB2312"/>
                <w:sz w:val="21"/>
              </w:rPr>
              <w:t>采购人</w:t>
            </w:r>
            <w:r>
              <w:rPr>
                <w:rFonts w:ascii="仿宋_GB2312" w:hAnsi="仿宋_GB2312" w:cs="仿宋_GB2312" w:eastAsia="仿宋_GB2312"/>
                <w:sz w:val="21"/>
              </w:rPr>
              <w:t>实际体检人数为准。</w:t>
            </w:r>
          </w:p>
          <w:p>
            <w:pPr>
              <w:pStyle w:val="null3"/>
            </w:pPr>
            <w:r>
              <w:rPr>
                <w:rFonts w:ascii="仿宋_GB2312" w:hAnsi="仿宋_GB2312" w:cs="仿宋_GB2312" w:eastAsia="仿宋_GB2312"/>
                <w:sz w:val="21"/>
              </w:rPr>
              <w:t>4</w:t>
            </w:r>
            <w:r>
              <w:rPr>
                <w:rFonts w:ascii="仿宋_GB2312" w:hAnsi="仿宋_GB2312" w:cs="仿宋_GB2312" w:eastAsia="仿宋_GB2312"/>
                <w:sz w:val="21"/>
              </w:rPr>
              <w:t>、质保期</w:t>
            </w:r>
            <w:r>
              <w:rPr>
                <w:rFonts w:ascii="仿宋_GB2312" w:hAnsi="仿宋_GB2312" w:cs="仿宋_GB2312" w:eastAsia="仿宋_GB2312"/>
                <w:sz w:val="21"/>
              </w:rPr>
              <w:t>1</w:t>
            </w:r>
            <w:r>
              <w:rPr>
                <w:rFonts w:ascii="仿宋_GB2312" w:hAnsi="仿宋_GB2312" w:cs="仿宋_GB2312" w:eastAsia="仿宋_GB2312"/>
                <w:sz w:val="21"/>
              </w:rPr>
              <w:t>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根据采购文件、投标文件及合同约定执行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根据采购文件、投标文件及合同约定执行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学校集中体检在2026年7月20日左右，个人自行体检2026年11月20日之前，（若服务期内，采购人满意供应商服务，可续签下一年合同，累计合同履行期限不超过2年）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学校集中体检在2026年7月20日左右，个人自行体检2026年11月20日之前，（若服务期内，采购人满意供应商服务，可续签下一年合同，累计合同履行期限不超过2年）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采购人全部体检人员体检完毕（计划在2026年11月20日之前）之日起10个工作日内，供应商向采购人提供已完成的体检人数结算表及整体体检情况报告等相关资料，待采购人审核确认后，供应商须在采购人办理付款手续之前3个工作日内，提供等额的正式发票给采购人，以便采购人及时办理支付手续</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采购人全部体检人员体检完毕（计划在2026年11月20日之前）之日起10个工作日内，供应商向采购人提供已完成的体检人数结算表及整体体检情况报告等相关资料，待采购人审核确认后，供应商须在采购人办理付款手续之前3个工作日内，提供等额的正式发票给采购人，以便采购人及时办理支付手续</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1.本项目为固定单价采购，不进行价格分评审，各供应商在开标一览表中填写本项目预算金额。 2.投标保证金须从供应商户名支付，如从个人户名或非供应商户名支付，将被拒绝，视为自动放弃投标权利（该个人是供应商的情形除外）；以保函形式交纳投标保证金的，供应商应在响应截止时间前将保函扫描成清晰的PDF文件，发送至邮箱shanxizhuoming_zb@163.com（邮件命名：项目编号）。 3.本项目供应商可同时参与多个包，只能中一个包，第一包的第一中标候选人在第二包不再被推荐为中标候选人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提供供应商有效的医疗机构执业许可证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提供供应商有效的放射诊疗许可证。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提供供应商有效的医疗机构执业许可证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提供供应商有效的放射诊疗许可证。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响应报价报价不满足采购文件要求的不合格 投标报价满足采购文件要求的 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 磋商文件最低要求(不合格)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商务应答表 标的清单 报价表 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 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响应文件标的出现漏项或标的数量与要求不符的 不合格 响应文件标的未出现漏项或标的数量与要求符合的 合格</w:t>
            </w:r>
          </w:p>
        </w:tc>
        <w:tc>
          <w:tcPr>
            <w:tcW w:type="dxa" w:w="1661"/>
          </w:tcPr>
          <w:p>
            <w:pPr>
              <w:pStyle w:val="null3"/>
            </w:pPr>
            <w:r>
              <w:rPr>
                <w:rFonts w:ascii="仿宋_GB2312" w:hAnsi="仿宋_GB2312" w:cs="仿宋_GB2312" w:eastAsia="仿宋_GB2312"/>
              </w:rPr>
              <w:t>响应文件封面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标的清单 服务内容及服务要求应答表.docx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响应报价不满足招标文件要求的不合格 响应报价满足招标文件要求的 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 磋商文件最低要求(不合格)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商务应答表 标的清单 报价表 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 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响应文件标的出现漏项或标的数量与要求不符的 不合格 响应文件标的未出现漏项或标的数量与要求符合的 合格</w:t>
            </w:r>
          </w:p>
        </w:tc>
        <w:tc>
          <w:tcPr>
            <w:tcW w:type="dxa" w:w="1661"/>
          </w:tcPr>
          <w:p>
            <w:pPr>
              <w:pStyle w:val="null3"/>
            </w:pPr>
            <w:r>
              <w:rPr>
                <w:rFonts w:ascii="仿宋_GB2312" w:hAnsi="仿宋_GB2312" w:cs="仿宋_GB2312" w:eastAsia="仿宋_GB2312"/>
              </w:rPr>
              <w:t>响应文件封面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标的清单 报价表 服务内容及服务要求应答表.docx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增项体检项目</w:t>
            </w:r>
          </w:p>
        </w:tc>
        <w:tc>
          <w:tcPr>
            <w:tcW w:type="dxa" w:w="2492"/>
          </w:tcPr>
          <w:p>
            <w:pPr>
              <w:pStyle w:val="null3"/>
            </w:pPr>
            <w:r>
              <w:rPr>
                <w:rFonts w:ascii="仿宋_GB2312" w:hAnsi="仿宋_GB2312" w:cs="仿宋_GB2312" w:eastAsia="仿宋_GB2312"/>
              </w:rPr>
              <w:t>体检套餐中，除招标文件要求的基础体检项目之外，供应商每多提供标价50元以上的一项体检项目，计2分，满分10分，未提供的不计分。注：需提供增项体检项目价格证明并加盖公章。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增项体检项目.docx</w:t>
            </w:r>
          </w:p>
        </w:tc>
      </w:tr>
      <w:tr>
        <w:tc>
          <w:tcPr>
            <w:tcW w:type="dxa" w:w="831"/>
            <w:vMerge/>
          </w:tcPr>
          <w:p/>
        </w:tc>
        <w:tc>
          <w:tcPr>
            <w:tcW w:type="dxa" w:w="1661"/>
          </w:tcPr>
          <w:p>
            <w:pPr>
              <w:pStyle w:val="null3"/>
            </w:pPr>
            <w:r>
              <w:rPr>
                <w:rFonts w:ascii="仿宋_GB2312" w:hAnsi="仿宋_GB2312" w:cs="仿宋_GB2312" w:eastAsia="仿宋_GB2312"/>
              </w:rPr>
              <w:t>体检套餐</w:t>
            </w:r>
          </w:p>
        </w:tc>
        <w:tc>
          <w:tcPr>
            <w:tcW w:type="dxa" w:w="2492"/>
          </w:tcPr>
          <w:p>
            <w:pPr>
              <w:pStyle w:val="null3"/>
            </w:pPr>
            <w:r>
              <w:rPr>
                <w:rFonts w:ascii="仿宋_GB2312" w:hAnsi="仿宋_GB2312" w:cs="仿宋_GB2312" w:eastAsia="仿宋_GB2312"/>
              </w:rPr>
              <w:t>针对不同性别、年龄段（40以下，40及以上）及婚育情况，提供体检套餐组合（套餐组合中招标文件要求的基础体检项目为必查项目，同时需包含前一个评分项中提供的增项体检项目）。 （1）供应商提供的体检套餐组合根据不同性别、年龄段、婚育情况分类明确，符合各分类人群体检实际需求；增项体检项目为各分类人群确切需要，具有针对性的；针对各类人群提供不少于3套体检套餐组合（每套含5种、①40岁以下男、②40岁及以上男、③40岁及以上已婚女、④40岁以下已婚女、⑤未婚女）供教职工选择的，计12分； 每少一套扣4分，每套内容存在一处瑕疵，扣1分，扣完为止。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体检套餐.docx</w:t>
            </w:r>
          </w:p>
        </w:tc>
      </w:tr>
      <w:tr>
        <w:tc>
          <w:tcPr>
            <w:tcW w:type="dxa" w:w="831"/>
            <w:vMerge/>
          </w:tcPr>
          <w:p/>
        </w:tc>
        <w:tc>
          <w:tcPr>
            <w:tcW w:type="dxa" w:w="1661"/>
          </w:tcPr>
          <w:p>
            <w:pPr>
              <w:pStyle w:val="null3"/>
            </w:pPr>
            <w:r>
              <w:rPr>
                <w:rFonts w:ascii="仿宋_GB2312" w:hAnsi="仿宋_GB2312" w:cs="仿宋_GB2312" w:eastAsia="仿宋_GB2312"/>
              </w:rPr>
              <w:t>套餐外项目折扣</w:t>
            </w:r>
          </w:p>
        </w:tc>
        <w:tc>
          <w:tcPr>
            <w:tcW w:type="dxa" w:w="2492"/>
          </w:tcPr>
          <w:p>
            <w:pPr>
              <w:pStyle w:val="null3"/>
            </w:pPr>
            <w:r>
              <w:rPr>
                <w:rFonts w:ascii="仿宋_GB2312" w:hAnsi="仿宋_GB2312" w:cs="仿宋_GB2312" w:eastAsia="仿宋_GB2312"/>
              </w:rPr>
              <w:t>供应商对有套餐外体检项目（教职工自费）需求的教职工给予折扣价（提供折扣的套餐外项目不少于15项），折扣得分统一采用低价优先法计算，即最低折扣为评分基准价，此项得分为满分5分。其他供应商的得分统一按照下列公式计算： 得分=(评标基准价／折扣)×分值（5分） 计算分数时四舍五入取小数点后两位，未提供的不计分。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套餐外项目折扣.docx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规范的服务体系和工作流程，针对本项目需求制订切实可行的整体服务方案，包含但不限于①体检流程；②具体场次安排；③体检实施时的引导及陪护；④体检结果质量保证措施；⑤体检发现疾病的后续服务；⑥健康管理建议；⑦健康风险评估；⑧人员接送安排；⑨早餐派发等要素。 方案各项内容全面详细、阐述条理清晰详尽、符合本项目采购需求，能有效保障本项目实施的计27分，每有一个缺项扣3分，每项内容存在一处瑕疵，扣1分，扣完为止。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服务规范标准及服务态度保障措施</w:t>
            </w:r>
          </w:p>
        </w:tc>
        <w:tc>
          <w:tcPr>
            <w:tcW w:type="dxa" w:w="2492"/>
          </w:tcPr>
          <w:p>
            <w:pPr>
              <w:pStyle w:val="null3"/>
            </w:pPr>
            <w:r>
              <w:rPr>
                <w:rFonts w:ascii="仿宋_GB2312" w:hAnsi="仿宋_GB2312" w:cs="仿宋_GB2312" w:eastAsia="仿宋_GB2312"/>
              </w:rPr>
              <w:t>供应商针对本项目有相应的服务规范标准及服务态度保障措施，包括但不限于①在服务期间完全按照采购人要求进行检测、及时出具检测报告等。②有相应的管理制度及投诉处理措施③有相应的补救措施等。方案内容全面详细、阐述条理清晰详尽，能有效保障本项目实施的计12分，每有一个缺项扣4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服务规范标准及服务态度保障措施.docx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针对本项目提供项目管理组织架构，介绍体检负责人及项目组人员组成情况（包含但不限于采样人员、检测人员、导检人员、值班人员等）。所有人员须经过专业培训且熟悉各项操作事项。 （1）提供服务团队人员清单，包括但不限于人员姓名、性别、工作年限、岗位职责分配等。人员明细及岗位配备覆盖所有体检项目涉及科室的计4分，提供不全计2分，其他情形不计分。 （2）上述人员中拟派体检负责人具有副主任医师及以上职称，项目组人员中的采样人员、检测人员具有专业技术职务任职资格或相关岗位的任职资格证书。提供上述人员证书复印件并加盖供应商公章。提供人员证书齐全的计4分，不全计2分，其他情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组织架构.docx</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为保障项目质量，供应商需提供医疗机构标准的、符合相关安全管理标准的CT、彩色超声等设备，提供设备基本信息（包括但不限于设备名称、数量、使用年限、用途等方面），并提供相关佐证材料（设备照片、采购合同+发票或租赁合同等）。 （1）提供设备信息齐全及来源渠道明确、证据链完整的计3分，设备信息不全或设备来源渠道证据链不完整的计1分。未提供不计分。 （2）提供设备先进性证明材料，包括但不限于设备检测报告或设备官网彩页或设备技术说明书等。提供证明材料并含设备主要参数计2分，未提供或证明材料内容不含主要参数的不计分。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检测设备.docx</w:t>
            </w:r>
          </w:p>
        </w:tc>
      </w:tr>
      <w:tr>
        <w:tc>
          <w:tcPr>
            <w:tcW w:type="dxa" w:w="831"/>
            <w:vMerge/>
          </w:tcPr>
          <w:p/>
        </w:tc>
        <w:tc>
          <w:tcPr>
            <w:tcW w:type="dxa" w:w="1661"/>
          </w:tcPr>
          <w:p>
            <w:pPr>
              <w:pStyle w:val="null3"/>
            </w:pPr>
            <w:r>
              <w:rPr>
                <w:rFonts w:ascii="仿宋_GB2312" w:hAnsi="仿宋_GB2312" w:cs="仿宋_GB2312" w:eastAsia="仿宋_GB2312"/>
              </w:rPr>
              <w:t>合格证明文件</w:t>
            </w:r>
          </w:p>
        </w:tc>
        <w:tc>
          <w:tcPr>
            <w:tcW w:type="dxa" w:w="2492"/>
          </w:tcPr>
          <w:p>
            <w:pPr>
              <w:pStyle w:val="null3"/>
            </w:pPr>
            <w:r>
              <w:rPr>
                <w:rFonts w:ascii="仿宋_GB2312" w:hAnsi="仿宋_GB2312" w:cs="仿宋_GB2312" w:eastAsia="仿宋_GB2312"/>
              </w:rPr>
              <w:t>供应商获得省级及以上临床检验中心颁发等有效期内的室间质量评估（EQA）合格证书（包含血液标本检验相关内容）。提供证书并加盖供应商公章，提供计2分，未提供不计分。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合格证明文件.docx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供应商针对本项目有相应的保密承诺，包括但不限于①供应商承诺严格对检测结果保密②针对体检数据（含个人信息、体检报告、团体分析报告）制定完善的存储、传输、使用、销毁流程，明确管控措施 ③对体检结果有异常者提供专家预约、就诊、住院绿色通道④对体检发现的危急重症患者提供急救及转诊绿色通道。 内容全面详细、阐述条理清晰详尽，能有效保障本项目实施的计8分，每有一个缺项扣2分，每存在1处瑕疵扣1分，扣完为止。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保密承诺.docx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供应商针对本项目有相应的应急处理方案，包括但不限于①应急处理措施②应急组织体系③解决方案（仪器故障或因其他人力不可抗拒因素，导致未能按时出具检测报告的补救措施等）。 方案内容全面详细、阐述条理清晰详尽，能有效保障本项目实施的计6分，每有一个缺项扣2分，每存在1处瑕疵扣1分，扣完为止。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提供供应商2023年5月1日至今同类项目完整业绩（以合同签订日期为准）。每提供1个有效业绩得1分，最高得5分。 备注： 同类业绩是指体检类项目。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增项体检项目</w:t>
            </w:r>
          </w:p>
        </w:tc>
        <w:tc>
          <w:tcPr>
            <w:tcW w:type="dxa" w:w="2492"/>
          </w:tcPr>
          <w:p>
            <w:pPr>
              <w:pStyle w:val="null3"/>
            </w:pPr>
            <w:r>
              <w:rPr>
                <w:rFonts w:ascii="仿宋_GB2312" w:hAnsi="仿宋_GB2312" w:cs="仿宋_GB2312" w:eastAsia="仿宋_GB2312"/>
              </w:rPr>
              <w:t>体检套餐中，除招标文件要求的基础体检项目之外，供应商每多提供标价50元以上的一项体检项目，计2分，满分10分，未提供的不计分。注：需提供增项体检项目价格证明并加盖公章。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增项体检项目.docx</w:t>
            </w:r>
          </w:p>
        </w:tc>
      </w:tr>
      <w:tr>
        <w:tc>
          <w:tcPr>
            <w:tcW w:type="dxa" w:w="831"/>
            <w:vMerge/>
          </w:tcPr>
          <w:p/>
        </w:tc>
        <w:tc>
          <w:tcPr>
            <w:tcW w:type="dxa" w:w="1661"/>
          </w:tcPr>
          <w:p>
            <w:pPr>
              <w:pStyle w:val="null3"/>
            </w:pPr>
            <w:r>
              <w:rPr>
                <w:rFonts w:ascii="仿宋_GB2312" w:hAnsi="仿宋_GB2312" w:cs="仿宋_GB2312" w:eastAsia="仿宋_GB2312"/>
              </w:rPr>
              <w:t>体检套餐</w:t>
            </w:r>
          </w:p>
        </w:tc>
        <w:tc>
          <w:tcPr>
            <w:tcW w:type="dxa" w:w="2492"/>
          </w:tcPr>
          <w:p>
            <w:pPr>
              <w:pStyle w:val="null3"/>
            </w:pPr>
            <w:r>
              <w:rPr>
                <w:rFonts w:ascii="仿宋_GB2312" w:hAnsi="仿宋_GB2312" w:cs="仿宋_GB2312" w:eastAsia="仿宋_GB2312"/>
              </w:rPr>
              <w:t>针对不同性别、年龄段（40以下，40及以上）及婚育情况，提供体检套餐组合（套餐组合中招标文件要求的基础体检项目为必查项目，同时需包含前一个评分项中提供的增项体检项目）。 （1）供应商提供的体检套餐组合根据不同性别、年龄段、婚育情况分类明确，符合各分类人群体检实际需求；增项体检项目为各分类人群确切需要，具有针对性的；针对各类人群提供不少于3套体检套餐组合（每套含5种、①40岁以下男、②40岁及以上男、③40岁及以上已婚女、④40岁以下已婚女、⑤未婚女）供教职工选择的，计12分； 每少一套扣4分，每套内容存在一处瑕疵，扣1分，扣完为止。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体检套餐.docx</w:t>
            </w:r>
          </w:p>
        </w:tc>
      </w:tr>
      <w:tr>
        <w:tc>
          <w:tcPr>
            <w:tcW w:type="dxa" w:w="831"/>
            <w:vMerge/>
          </w:tcPr>
          <w:p/>
        </w:tc>
        <w:tc>
          <w:tcPr>
            <w:tcW w:type="dxa" w:w="1661"/>
          </w:tcPr>
          <w:p>
            <w:pPr>
              <w:pStyle w:val="null3"/>
            </w:pPr>
            <w:r>
              <w:rPr>
                <w:rFonts w:ascii="仿宋_GB2312" w:hAnsi="仿宋_GB2312" w:cs="仿宋_GB2312" w:eastAsia="仿宋_GB2312"/>
              </w:rPr>
              <w:t>套餐外项目折扣</w:t>
            </w:r>
          </w:p>
        </w:tc>
        <w:tc>
          <w:tcPr>
            <w:tcW w:type="dxa" w:w="2492"/>
          </w:tcPr>
          <w:p>
            <w:pPr>
              <w:pStyle w:val="null3"/>
            </w:pPr>
            <w:r>
              <w:rPr>
                <w:rFonts w:ascii="仿宋_GB2312" w:hAnsi="仿宋_GB2312" w:cs="仿宋_GB2312" w:eastAsia="仿宋_GB2312"/>
              </w:rPr>
              <w:t>供应商对有套餐外体检项目（教职工自费）需求的教职工给予折扣价（提供折扣的套餐外项目不少于15项），折扣得分统一采用低价优先法计算，即最低折扣为评分基准价，此项得分为满分5分。其他供应商的得分统一按照下列公式计算： 得分=(评标基准价／折扣)×分值（5分） 计算分数时四舍五入取小数点后两位，未提供的不计分。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套餐外项目折扣.docx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规范的服务体系和工作流程，针对本项目需求制订切实可行的整体服务方案，包含但不限于①体检流程；②具体场次安排；③体检实施时的引导及陪护；④体检结果质量保证措施；⑤体检发现疾病的后续服务；⑥健康管理建议；⑦健康风险评估；⑧人员接送安排；⑨早餐派发等要素。 方案各项内容全面详细、阐述条理清晰详尽、符合本项目采购需求，能有效保障本项目实施的计27分，每有一个缺项扣3分，每项内容存在一处瑕疵，扣1分，扣完为止。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服务规范标准及服务态度保障措施</w:t>
            </w:r>
          </w:p>
        </w:tc>
        <w:tc>
          <w:tcPr>
            <w:tcW w:type="dxa" w:w="2492"/>
          </w:tcPr>
          <w:p>
            <w:pPr>
              <w:pStyle w:val="null3"/>
            </w:pPr>
            <w:r>
              <w:rPr>
                <w:rFonts w:ascii="仿宋_GB2312" w:hAnsi="仿宋_GB2312" w:cs="仿宋_GB2312" w:eastAsia="仿宋_GB2312"/>
              </w:rPr>
              <w:t>供应商针对本项目有相应的服务规范标准及服务态度保障措施，包括但不限于①在服务期间完全按照采购人要求进行检测、及时出具检测报告等。②有相应的管理制度及投诉处理措施③有相应的补救措施等。方案内容全面详细、阐述条理清晰详尽，能有效保障本项目实施的计12分，每有一个缺项扣4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服务规范标准及服务态度保障措施.docx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针对本项目提供项目管理组织架构，介绍体检负责人及项目组人员组成情况（包含但不限于采样人员、检测人员、导检人员、值班人员等）。所有人员须经过专业培训且熟悉各项操作事项。 （1）提供服务团队人员清单，包括但不限于人员姓名、性别、工作年限、岗位职责分配等。人员明细及岗位配备覆盖所有体检项目涉及科室的计4分，提供不全计2分，其他情形不计分。 （2）上述人员中拟派体检负责人具有副主任医师及以上职称，项目组人员中的采样人员、检测人员具有专业技术职务任职资格或相关岗位的任职资格证书。提供上述人员证书复印件并加盖供应商公章。提供人员证书齐全的计4分，不全计2分，其他情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组织架构.docx</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为保障项目质量，供应商需提供医疗机构标准的、符合相关安全管理标准的CT、彩色超声等设备，提供设备基本信息（包括但不限于设备名称、数量、使用年限、用途等方面），并提供相关佐证材料（设备照片、采购合同+发票或租赁合同等）。 （1）提供设备信息齐全及来源渠道明确、证据链完整的计3分，设备信息不全或设备来源渠道证据链不完整的计1分。未提供不计分。 （2）提供设备先进性证明材料，包括但不限于设备检测报告或设备官网彩页或设备技术说明书等。提供证明材料并含设备主要参数计2分，未提供或证明材料内容不含主要参数的不计分。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检测设备.docx</w:t>
            </w:r>
          </w:p>
        </w:tc>
      </w:tr>
      <w:tr>
        <w:tc>
          <w:tcPr>
            <w:tcW w:type="dxa" w:w="831"/>
            <w:vMerge/>
          </w:tcPr>
          <w:p/>
        </w:tc>
        <w:tc>
          <w:tcPr>
            <w:tcW w:type="dxa" w:w="1661"/>
          </w:tcPr>
          <w:p>
            <w:pPr>
              <w:pStyle w:val="null3"/>
            </w:pPr>
            <w:r>
              <w:rPr>
                <w:rFonts w:ascii="仿宋_GB2312" w:hAnsi="仿宋_GB2312" w:cs="仿宋_GB2312" w:eastAsia="仿宋_GB2312"/>
              </w:rPr>
              <w:t>合格证明文件</w:t>
            </w:r>
          </w:p>
        </w:tc>
        <w:tc>
          <w:tcPr>
            <w:tcW w:type="dxa" w:w="2492"/>
          </w:tcPr>
          <w:p>
            <w:pPr>
              <w:pStyle w:val="null3"/>
            </w:pPr>
            <w:r>
              <w:rPr>
                <w:rFonts w:ascii="仿宋_GB2312" w:hAnsi="仿宋_GB2312" w:cs="仿宋_GB2312" w:eastAsia="仿宋_GB2312"/>
              </w:rPr>
              <w:t>供应商获得省级及以上临床检验中心颁发等有效期内的室间质量评估（EQA）合格证书（包含血液标本检验相关内容）。提供证书并加盖供应商公章，提供计2分，未提供不计分。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合格证明文件.docx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供应商针对本项目有相应的保密承诺，包括但不限于①供应商承诺严格对检测结果保密②针对体检数据（含个人信息、体检报告、团体分析报告）制定完善的存储、传输、使用、销毁流程，明确管控措施 ③对体检结果有异常者提供专家预约、就诊、住院绿色通道④对体检发现的危急重症患者提供急救及转诊绿色通道。 内容全面详细、阐述条理清晰详尽，能有效保障本项目实施的计8分，每有一个缺项扣2分，每存在1处瑕疵扣1分，扣完为止。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保密承诺.docx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供应商针对本项目有相应的应急处理方案，包括但不限于①应急处理措施②应急组织体系③解决方案（仪器故障或因其他人力不可抗拒因素，导致未能按时出具检测报告的补救措施等）。 方案内容全面详细、阐述条理清晰详尽，能有效保障本项目实施的计6分，每有一个缺项扣2分，每存在1处瑕疵扣1分，扣完为止。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提供供应商2023年5月1日至今同类项目完整业绩（以合同签订日期为准）。每提供1个有效业绩得1分，最高得5分。 备注： 同类业绩是指体检类项目。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详见附件：增项体检项目.docx</w:t>
      </w:r>
    </w:p>
    <w:p>
      <w:pPr>
        <w:pStyle w:val="null3"/>
        <w:ind w:firstLine="960"/>
      </w:pPr>
      <w:r>
        <w:rPr>
          <w:rFonts w:ascii="仿宋_GB2312" w:hAnsi="仿宋_GB2312" w:cs="仿宋_GB2312" w:eastAsia="仿宋_GB2312"/>
        </w:rPr>
        <w:t>详见附件：体检套餐.docx</w:t>
      </w:r>
    </w:p>
    <w:p>
      <w:pPr>
        <w:pStyle w:val="null3"/>
        <w:ind w:firstLine="960"/>
      </w:pPr>
      <w:r>
        <w:rPr>
          <w:rFonts w:ascii="仿宋_GB2312" w:hAnsi="仿宋_GB2312" w:cs="仿宋_GB2312" w:eastAsia="仿宋_GB2312"/>
        </w:rPr>
        <w:t>详见附件：套餐外项目折扣.docx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详见附件：服务规范标准及服务态度保障措施.docx</w:t>
      </w:r>
    </w:p>
    <w:p>
      <w:pPr>
        <w:pStyle w:val="null3"/>
        <w:ind w:firstLine="960"/>
      </w:pPr>
      <w:r>
        <w:rPr>
          <w:rFonts w:ascii="仿宋_GB2312" w:hAnsi="仿宋_GB2312" w:cs="仿宋_GB2312" w:eastAsia="仿宋_GB2312"/>
        </w:rPr>
        <w:t>详见附件：组织架构.docx</w:t>
      </w:r>
    </w:p>
    <w:p>
      <w:pPr>
        <w:pStyle w:val="null3"/>
        <w:ind w:firstLine="960"/>
      </w:pPr>
      <w:r>
        <w:rPr>
          <w:rFonts w:ascii="仿宋_GB2312" w:hAnsi="仿宋_GB2312" w:cs="仿宋_GB2312" w:eastAsia="仿宋_GB2312"/>
        </w:rPr>
        <w:t>详见附件：检测设备.docx</w:t>
      </w:r>
    </w:p>
    <w:p>
      <w:pPr>
        <w:pStyle w:val="null3"/>
        <w:ind w:firstLine="960"/>
      </w:pPr>
      <w:r>
        <w:rPr>
          <w:rFonts w:ascii="仿宋_GB2312" w:hAnsi="仿宋_GB2312" w:cs="仿宋_GB2312" w:eastAsia="仿宋_GB2312"/>
        </w:rPr>
        <w:t>详见附件：合格证明文件.docx</w:t>
      </w:r>
    </w:p>
    <w:p>
      <w:pPr>
        <w:pStyle w:val="null3"/>
        <w:ind w:firstLine="960"/>
      </w:pPr>
      <w:r>
        <w:rPr>
          <w:rFonts w:ascii="仿宋_GB2312" w:hAnsi="仿宋_GB2312" w:cs="仿宋_GB2312" w:eastAsia="仿宋_GB2312"/>
        </w:rPr>
        <w:t>详见附件：保密承诺.docx</w:t>
      </w:r>
    </w:p>
    <w:p>
      <w:pPr>
        <w:pStyle w:val="null3"/>
        <w:ind w:firstLine="960"/>
      </w:pPr>
      <w:r>
        <w:rPr>
          <w:rFonts w:ascii="仿宋_GB2312" w:hAnsi="仿宋_GB2312" w:cs="仿宋_GB2312" w:eastAsia="仿宋_GB2312"/>
        </w:rPr>
        <w:t>详见附件：应急处理方案.docx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详见附件：增项体检项目.docx</w:t>
      </w:r>
    </w:p>
    <w:p>
      <w:pPr>
        <w:pStyle w:val="null3"/>
        <w:ind w:firstLine="960"/>
      </w:pPr>
      <w:r>
        <w:rPr>
          <w:rFonts w:ascii="仿宋_GB2312" w:hAnsi="仿宋_GB2312" w:cs="仿宋_GB2312" w:eastAsia="仿宋_GB2312"/>
        </w:rPr>
        <w:t>详见附件：体检套餐.docx</w:t>
      </w:r>
    </w:p>
    <w:p>
      <w:pPr>
        <w:pStyle w:val="null3"/>
        <w:ind w:firstLine="960"/>
      </w:pPr>
      <w:r>
        <w:rPr>
          <w:rFonts w:ascii="仿宋_GB2312" w:hAnsi="仿宋_GB2312" w:cs="仿宋_GB2312" w:eastAsia="仿宋_GB2312"/>
        </w:rPr>
        <w:t>详见附件：套餐外项目折扣.docx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详见附件：服务规范标准及服务态度保障措施.docx</w:t>
      </w:r>
    </w:p>
    <w:p>
      <w:pPr>
        <w:pStyle w:val="null3"/>
        <w:ind w:firstLine="960"/>
      </w:pPr>
      <w:r>
        <w:rPr>
          <w:rFonts w:ascii="仿宋_GB2312" w:hAnsi="仿宋_GB2312" w:cs="仿宋_GB2312" w:eastAsia="仿宋_GB2312"/>
        </w:rPr>
        <w:t>详见附件：组织架构.docx</w:t>
      </w:r>
    </w:p>
    <w:p>
      <w:pPr>
        <w:pStyle w:val="null3"/>
        <w:ind w:firstLine="960"/>
      </w:pPr>
      <w:r>
        <w:rPr>
          <w:rFonts w:ascii="仿宋_GB2312" w:hAnsi="仿宋_GB2312" w:cs="仿宋_GB2312" w:eastAsia="仿宋_GB2312"/>
        </w:rPr>
        <w:t>详见附件：检测设备.docx</w:t>
      </w:r>
    </w:p>
    <w:p>
      <w:pPr>
        <w:pStyle w:val="null3"/>
        <w:ind w:firstLine="960"/>
      </w:pPr>
      <w:r>
        <w:rPr>
          <w:rFonts w:ascii="仿宋_GB2312" w:hAnsi="仿宋_GB2312" w:cs="仿宋_GB2312" w:eastAsia="仿宋_GB2312"/>
        </w:rPr>
        <w:t>详见附件：合格证明文件.docx</w:t>
      </w:r>
    </w:p>
    <w:p>
      <w:pPr>
        <w:pStyle w:val="null3"/>
        <w:ind w:firstLine="960"/>
      </w:pPr>
      <w:r>
        <w:rPr>
          <w:rFonts w:ascii="仿宋_GB2312" w:hAnsi="仿宋_GB2312" w:cs="仿宋_GB2312" w:eastAsia="仿宋_GB2312"/>
        </w:rPr>
        <w:t>详见附件：保密承诺.docx</w:t>
      </w:r>
    </w:p>
    <w:p>
      <w:pPr>
        <w:pStyle w:val="null3"/>
        <w:ind w:firstLine="960"/>
      </w:pPr>
      <w:r>
        <w:rPr>
          <w:rFonts w:ascii="仿宋_GB2312" w:hAnsi="仿宋_GB2312" w:cs="仿宋_GB2312" w:eastAsia="仿宋_GB2312"/>
        </w:rPr>
        <w:t>详见附件：应急处理方案.docx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