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BD8C4">
      <w:pPr>
        <w:spacing w:line="360" w:lineRule="auto"/>
        <w:jc w:val="center"/>
        <w:outlineLvl w:val="0"/>
        <w:rPr>
          <w:rFonts w:hint="eastAsia" w:ascii="宋体" w:hAnsi="宋体"/>
          <w:b/>
          <w:sz w:val="32"/>
          <w:szCs w:val="32"/>
        </w:rPr>
      </w:pPr>
      <w:bookmarkStart w:id="0" w:name="_Toc4565"/>
      <w:r>
        <w:rPr>
          <w:rFonts w:hint="eastAsia" w:ascii="宋体" w:hAnsi="宋体"/>
          <w:b/>
          <w:sz w:val="32"/>
          <w:szCs w:val="32"/>
        </w:rPr>
        <w:t>第三部分  技术参数及要求</w:t>
      </w:r>
      <w:bookmarkEnd w:id="0"/>
    </w:p>
    <w:p w14:paraId="537BE4A3">
      <w:pPr>
        <w:pStyle w:val="2"/>
        <w:spacing w:line="460" w:lineRule="exact"/>
        <w:jc w:val="both"/>
        <w:rPr>
          <w:rFonts w:hint="eastAsia" w:ascii="宋体" w:hAnsi="宋体" w:cs="宋体"/>
          <w:bCs/>
          <w:kern w:val="2"/>
          <w:szCs w:val="24"/>
        </w:rPr>
      </w:pPr>
      <w:r>
        <w:rPr>
          <w:rFonts w:hint="eastAsia" w:ascii="宋体" w:hAnsi="宋体" w:cs="宋体"/>
          <w:bCs/>
          <w:kern w:val="2"/>
          <w:szCs w:val="24"/>
        </w:rPr>
        <w:t>1标段：</w:t>
      </w:r>
    </w:p>
    <w:tbl>
      <w:tblPr>
        <w:tblStyle w:val="3"/>
        <w:tblW w:w="4999"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31"/>
        <w:gridCol w:w="3853"/>
      </w:tblGrid>
      <w:tr w14:paraId="2F13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tblCellSpacing w:w="15" w:type="dxa"/>
        </w:trPr>
        <w:tc>
          <w:tcPr>
            <w:tcW w:w="649" w:type="pct"/>
            <w:noWrap w:val="0"/>
            <w:vAlign w:val="center"/>
          </w:tcPr>
          <w:p w14:paraId="05EDE280">
            <w:pPr>
              <w:widowControl/>
              <w:wordWrap w:val="0"/>
              <w:spacing w:line="460" w:lineRule="exact"/>
              <w:jc w:val="center"/>
              <w:rPr>
                <w:rFonts w:hint="eastAsia" w:ascii="宋体" w:hAnsi="宋体" w:cs="宋体"/>
                <w:sz w:val="24"/>
              </w:rPr>
            </w:pPr>
            <w:r>
              <w:rPr>
                <w:rFonts w:hint="eastAsia" w:ascii="宋体" w:hAnsi="宋体" w:cs="宋体"/>
                <w:sz w:val="24"/>
              </w:rPr>
              <w:t>全自动生化分析仪</w:t>
            </w:r>
          </w:p>
        </w:tc>
        <w:tc>
          <w:tcPr>
            <w:tcW w:w="551" w:type="pct"/>
            <w:noWrap w:val="0"/>
            <w:vAlign w:val="center"/>
          </w:tcPr>
          <w:p w14:paraId="40F89CB8">
            <w:pPr>
              <w:widowControl/>
              <w:wordWrap w:val="0"/>
              <w:spacing w:line="460" w:lineRule="exact"/>
              <w:jc w:val="center"/>
              <w:rPr>
                <w:rFonts w:ascii="宋体" w:hAnsi="宋体" w:cs="宋体"/>
                <w:sz w:val="24"/>
              </w:rPr>
            </w:pPr>
            <w:r>
              <w:rPr>
                <w:rFonts w:hint="eastAsia" w:ascii="宋体" w:hAnsi="宋体" w:cs="宋体"/>
                <w:sz w:val="24"/>
              </w:rPr>
              <w:t>2套</w:t>
            </w:r>
          </w:p>
        </w:tc>
      </w:tr>
    </w:tbl>
    <w:p w14:paraId="4290BB44">
      <w:pPr>
        <w:numPr>
          <w:ilvl w:val="0"/>
          <w:numId w:val="0"/>
        </w:num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一、模块组合式</w:t>
      </w:r>
      <w:r>
        <w:rPr>
          <w:rFonts w:hint="eastAsia" w:ascii="宋体" w:hAnsi="宋体" w:eastAsia="宋体" w:cs="宋体"/>
          <w:sz w:val="24"/>
          <w:szCs w:val="24"/>
          <w:highlight w:val="none"/>
          <w:lang w:val="zh-CN"/>
        </w:rPr>
        <w:t>全自动</w:t>
      </w:r>
      <w:r>
        <w:rPr>
          <w:rFonts w:hint="eastAsia" w:ascii="宋体" w:hAnsi="宋体" w:eastAsia="宋体" w:cs="宋体"/>
          <w:sz w:val="24"/>
          <w:szCs w:val="24"/>
          <w:highlight w:val="none"/>
          <w:lang w:val="en-US" w:eastAsia="zh-CN"/>
        </w:rPr>
        <w:t>生化</w:t>
      </w:r>
      <w:r>
        <w:rPr>
          <w:rFonts w:hint="eastAsia" w:ascii="宋体" w:hAnsi="宋体" w:eastAsia="宋体" w:cs="宋体"/>
          <w:sz w:val="24"/>
          <w:szCs w:val="24"/>
          <w:highlight w:val="none"/>
          <w:lang w:val="zh-CN"/>
        </w:rPr>
        <w:t>分析仪（</w:t>
      </w:r>
      <w:r>
        <w:rPr>
          <w:rFonts w:hint="eastAsia" w:ascii="宋体" w:hAnsi="宋体" w:eastAsia="宋体" w:cs="宋体"/>
          <w:sz w:val="24"/>
          <w:szCs w:val="24"/>
          <w:highlight w:val="none"/>
          <w:lang w:val="en-US" w:eastAsia="zh-CN"/>
        </w:rPr>
        <w:t>1套）</w:t>
      </w:r>
      <w:r>
        <w:rPr>
          <w:rFonts w:hint="eastAsia" w:ascii="宋体" w:hAnsi="宋体" w:eastAsia="宋体" w:cs="宋体"/>
          <w:sz w:val="24"/>
          <w:szCs w:val="24"/>
          <w:highlight w:val="none"/>
          <w:lang w:val="zh-CN"/>
        </w:rPr>
        <w:t>，</w:t>
      </w:r>
    </w:p>
    <w:p w14:paraId="2F1204AD">
      <w:pPr>
        <w:numPr>
          <w:ilvl w:val="0"/>
          <w:numId w:val="0"/>
        </w:num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1.测试速度</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4000</w:t>
      </w:r>
      <w:r>
        <w:rPr>
          <w:rFonts w:hint="eastAsia" w:ascii="宋体" w:hAnsi="宋体" w:eastAsia="宋体" w:cs="宋体"/>
          <w:sz w:val="24"/>
          <w:szCs w:val="24"/>
          <w:highlight w:val="none"/>
        </w:rPr>
        <w:t>测试/小时，</w:t>
      </w:r>
    </w:p>
    <w:p w14:paraId="7FCEE123">
      <w:pPr>
        <w:numPr>
          <w:ilvl w:val="0"/>
          <w:numId w:val="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2.模块数≤2，配套样本传输系统，通过轨道连为联机</w:t>
      </w:r>
      <w:r>
        <w:rPr>
          <w:rFonts w:hint="eastAsia" w:ascii="宋体" w:hAnsi="宋体" w:eastAsia="宋体" w:cs="宋体"/>
          <w:sz w:val="24"/>
          <w:szCs w:val="24"/>
          <w:highlight w:val="none"/>
        </w:rPr>
        <w:t xml:space="preserve">； </w:t>
      </w:r>
    </w:p>
    <w:p w14:paraId="43558071">
      <w:pPr>
        <w:numPr>
          <w:ilvl w:val="0"/>
          <w:numId w:val="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样本容量：同时装载≥300个样本；</w:t>
      </w:r>
    </w:p>
    <w:p w14:paraId="2B3A8941">
      <w:pPr>
        <w:numPr>
          <w:ilvl w:val="0"/>
          <w:numId w:val="0"/>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电解质模块测试速度：≥600测试/小时</w:t>
      </w:r>
      <w:r>
        <w:rPr>
          <w:rFonts w:hint="eastAsia" w:ascii="宋体" w:hAnsi="宋体" w:eastAsia="宋体" w:cs="宋体"/>
          <w:sz w:val="24"/>
          <w:szCs w:val="24"/>
          <w:highlight w:val="none"/>
          <w:lang w:eastAsia="zh-CN"/>
        </w:rPr>
        <w:t>；</w:t>
      </w:r>
    </w:p>
    <w:p w14:paraId="171E4CB2">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试剂完全开放；  </w:t>
      </w:r>
    </w:p>
    <w:p w14:paraId="56081563">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分析方法：终点法、两点法、动力学法、比浊法等多种方法； </w:t>
      </w:r>
    </w:p>
    <w:p w14:paraId="4AE21C03">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单模块</w:t>
      </w:r>
      <w:r>
        <w:rPr>
          <w:rFonts w:hint="eastAsia" w:ascii="宋体" w:hAnsi="宋体" w:eastAsia="宋体" w:cs="宋体"/>
          <w:sz w:val="24"/>
          <w:szCs w:val="24"/>
          <w:highlight w:val="none"/>
        </w:rPr>
        <w:t xml:space="preserve">检测波长≥13个； </w:t>
      </w:r>
    </w:p>
    <w:p w14:paraId="42ED9681">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 分光系统采用光栅后分光技术； </w:t>
      </w:r>
    </w:p>
    <w:p w14:paraId="644D9A78">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 具备样本凝块检出功能及样品探针堵孔报警系统和探针防撞保护功能； </w:t>
      </w:r>
    </w:p>
    <w:p w14:paraId="2674C1E4">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 采用恒温水浴加热； </w:t>
      </w:r>
    </w:p>
    <w:p w14:paraId="2D053132">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最小总反应体积：≤80uL； </w:t>
      </w:r>
    </w:p>
    <w:p w14:paraId="031F84D8">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最小样品体积：≤1.5uL（0.1 uL 步进）； </w:t>
      </w:r>
    </w:p>
    <w:p w14:paraId="6A89B3F8">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单模块</w:t>
      </w:r>
      <w:r>
        <w:rPr>
          <w:rFonts w:hint="eastAsia" w:ascii="宋体" w:hAnsi="宋体" w:eastAsia="宋体" w:cs="宋体"/>
          <w:sz w:val="24"/>
          <w:szCs w:val="24"/>
          <w:highlight w:val="none"/>
        </w:rPr>
        <w:t xml:space="preserve">试剂仓具有冷藏功能，冷藏功能，R1+R2 试剂位≥100个； </w:t>
      </w:r>
    </w:p>
    <w:p w14:paraId="411D9942">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R1和R2 最小试剂体积均：≤10uL（1uL 步进）； </w:t>
      </w:r>
    </w:p>
    <w:p w14:paraId="1B99E349">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样本质量分析：可定量分析脂血、溶血、黄疸指数，并支持关联到具体检测项目同时给出干扰方向提示； </w:t>
      </w:r>
    </w:p>
    <w:p w14:paraId="70DF6F9B">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可拓展性：可按需与同品牌样本传输系统升级为流水线； </w:t>
      </w:r>
    </w:p>
    <w:p w14:paraId="6DBBD497">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 反应杯材质：永久性石英比色杯； </w:t>
      </w:r>
    </w:p>
    <w:p w14:paraId="6FF54910">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 内置Westgard质控规则、Twin Plot和Levey Jennings图形规则； </w:t>
      </w:r>
    </w:p>
    <w:p w14:paraId="372E347E">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可进行单向和双向LIS通讯；负责与医院 LIS系统链接，费用包含在设备报价中</w:t>
      </w:r>
    </w:p>
    <w:p w14:paraId="06A9BE74">
      <w:pPr>
        <w:numPr>
          <w:ilvl w:val="0"/>
          <w:numId w:val="0"/>
        </w:num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室间质评：ALT项目在</w:t>
      </w:r>
      <w:r>
        <w:rPr>
          <w:rFonts w:hint="eastAsia" w:ascii="宋体" w:hAnsi="宋体" w:eastAsia="宋体" w:cs="宋体"/>
          <w:color w:val="000000"/>
          <w:sz w:val="24"/>
          <w:szCs w:val="24"/>
          <w:highlight w:val="none"/>
          <w:lang w:val="en-US" w:eastAsia="zh-CN"/>
        </w:rPr>
        <w:t>2025年</w:t>
      </w:r>
      <w:r>
        <w:rPr>
          <w:rFonts w:hint="eastAsia" w:ascii="宋体" w:hAnsi="宋体" w:eastAsia="宋体" w:cs="宋体"/>
          <w:color w:val="000000"/>
          <w:sz w:val="24"/>
          <w:szCs w:val="24"/>
          <w:highlight w:val="none"/>
        </w:rPr>
        <w:t>的陕西省临检中心常规化学室间质评中，至少有一次实验室检测系统的仪器上报家数≥50家（要求提供证明文件）</w:t>
      </w:r>
      <w:r>
        <w:rPr>
          <w:rFonts w:hint="eastAsia" w:ascii="宋体" w:hAnsi="宋体" w:eastAsia="宋体" w:cs="宋体"/>
          <w:sz w:val="24"/>
          <w:szCs w:val="24"/>
          <w:highlight w:val="none"/>
        </w:rPr>
        <w:t xml:space="preserve"> </w:t>
      </w:r>
    </w:p>
    <w:p w14:paraId="7678EC7C">
      <w:pPr>
        <w:numPr>
          <w:ilvl w:val="0"/>
          <w:numId w:val="0"/>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二、单模块全自动生化分析仪（1套）</w:t>
      </w:r>
    </w:p>
    <w:p w14:paraId="4936B91A">
      <w:pPr>
        <w:numPr>
          <w:ilvl w:val="0"/>
          <w:numId w:val="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测试速度≥2000测试/小时，</w:t>
      </w:r>
    </w:p>
    <w:p w14:paraId="33B59462">
      <w:pPr>
        <w:numPr>
          <w:ilvl w:val="0"/>
          <w:numId w:val="0"/>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2.配套样本传输系统</w:t>
      </w:r>
    </w:p>
    <w:p w14:paraId="5D810B54">
      <w:pPr>
        <w:numPr>
          <w:ilvl w:val="0"/>
          <w:numId w:val="0"/>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电解质模块测试速度：≥600测试/小时</w:t>
      </w:r>
      <w:r>
        <w:rPr>
          <w:rFonts w:hint="eastAsia" w:ascii="宋体" w:hAnsi="宋体" w:eastAsia="宋体" w:cs="宋体"/>
          <w:sz w:val="24"/>
          <w:szCs w:val="24"/>
          <w:highlight w:val="none"/>
          <w:lang w:eastAsia="zh-CN"/>
        </w:rPr>
        <w:t>；</w:t>
      </w:r>
    </w:p>
    <w:p w14:paraId="541E85DF">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试剂完全开放；  </w:t>
      </w:r>
    </w:p>
    <w:p w14:paraId="061C9DB8">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分析方法：终点法、两点法、动力学法、比浊法等多种方法； </w:t>
      </w:r>
    </w:p>
    <w:p w14:paraId="1EFB5486">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 xml:space="preserve">6. 检测波长≥13个； </w:t>
      </w:r>
    </w:p>
    <w:p w14:paraId="65D85130">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分光系统采用光栅后分光技术； </w:t>
      </w:r>
    </w:p>
    <w:p w14:paraId="3C6C75D9">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具备样本凝块检出功能及样品探针堵孔报警系统和探针防撞保护功能； </w:t>
      </w:r>
    </w:p>
    <w:p w14:paraId="0CB58C32">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采用恒温水浴加热； </w:t>
      </w:r>
    </w:p>
    <w:p w14:paraId="531A7ACA">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最小总反应体积：≤80uL； </w:t>
      </w:r>
    </w:p>
    <w:p w14:paraId="20EFF549">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最小样品体积：≤1.5uL（0.1 uL 步进）； </w:t>
      </w:r>
    </w:p>
    <w:p w14:paraId="35F145A3">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试剂仓具有冷藏功能，冷藏功能，R1+R2 试剂位≥100个； </w:t>
      </w:r>
    </w:p>
    <w:p w14:paraId="056ED611">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 xml:space="preserve">13. R1和R2 最小试剂体积均：≤10uL（1uL 步进）； </w:t>
      </w:r>
    </w:p>
    <w:p w14:paraId="2D012801">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样本质量分析：可定量分析脂血、溶血、黄疸指数，并支持关联到具体检测项目同时给出干扰方向提示； </w:t>
      </w:r>
    </w:p>
    <w:p w14:paraId="29F0AF05">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可拓展性：可按需与同品牌样本传输系统升级为流水线； </w:t>
      </w:r>
    </w:p>
    <w:p w14:paraId="0727D305">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 xml:space="preserve">16. 反应杯材质：永久性石英比色杯； </w:t>
      </w:r>
    </w:p>
    <w:p w14:paraId="42509FA7">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内置Westgard质控规则、Twin Plot和Levey Jennings图形规则； </w:t>
      </w:r>
    </w:p>
    <w:p w14:paraId="437054A9">
      <w:pPr>
        <w:rPr>
          <w:rFonts w:hint="eastAsia" w:ascii="宋体" w:hAnsi="宋体" w:eastAsia="宋体" w:cs="宋体"/>
          <w:sz w:val="24"/>
          <w:szCs w:val="24"/>
          <w:highlight w:val="none"/>
        </w:rPr>
      </w:pPr>
      <w:r>
        <w:rPr>
          <w:rFonts w:hint="eastAsia" w:ascii="宋体" w:hAnsi="宋体" w:eastAsia="宋体" w:cs="宋体"/>
          <w:sz w:val="24"/>
          <w:szCs w:val="24"/>
          <w:highlight w:val="none"/>
        </w:rPr>
        <w:t>18. 可进行单向和双向LIS通讯；负责与医院 LIS系统链接，费用包含在设备报价中</w:t>
      </w:r>
    </w:p>
    <w:p w14:paraId="3F623281">
      <w:pPr>
        <w:pStyle w:val="2"/>
        <w:spacing w:line="460" w:lineRule="exact"/>
        <w:jc w:val="left"/>
        <w:rPr>
          <w:rFonts w:hint="eastAsia" w:ascii="宋体" w:hAnsi="宋体" w:eastAsia="宋体" w:cs="宋体"/>
          <w:b w:val="0"/>
          <w:kern w:val="2"/>
          <w:sz w:val="24"/>
          <w:szCs w:val="24"/>
        </w:rPr>
      </w:pP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 xml:space="preserve">19. </w:t>
      </w:r>
      <w:r>
        <w:rPr>
          <w:rFonts w:hint="eastAsia" w:ascii="宋体" w:hAnsi="宋体" w:eastAsia="宋体" w:cs="宋体"/>
          <w:color w:val="000000"/>
          <w:sz w:val="24"/>
          <w:szCs w:val="24"/>
          <w:highlight w:val="none"/>
        </w:rPr>
        <w:t>室间质评：ALT项目在</w:t>
      </w:r>
      <w:r>
        <w:rPr>
          <w:rFonts w:hint="eastAsia" w:ascii="宋体" w:hAnsi="宋体" w:eastAsia="宋体" w:cs="宋体"/>
          <w:color w:val="000000"/>
          <w:sz w:val="24"/>
          <w:szCs w:val="24"/>
          <w:highlight w:val="none"/>
          <w:lang w:val="en-US" w:eastAsia="zh-CN"/>
        </w:rPr>
        <w:t>2025年</w:t>
      </w:r>
      <w:r>
        <w:rPr>
          <w:rFonts w:hint="eastAsia" w:ascii="宋体" w:hAnsi="宋体" w:eastAsia="宋体" w:cs="宋体"/>
          <w:color w:val="000000"/>
          <w:sz w:val="24"/>
          <w:szCs w:val="24"/>
          <w:highlight w:val="none"/>
        </w:rPr>
        <w:t>的陕西省临检中心常规化学室间质评中，至少有一次实验室检测系统的仪器上报家数≥50家（要求提供证明文件）</w:t>
      </w:r>
    </w:p>
    <w:p w14:paraId="646BD935">
      <w:pPr>
        <w:pStyle w:val="5"/>
        <w:adjustRightInd w:val="0"/>
        <w:snapToGrid w:val="0"/>
        <w:spacing w:line="460" w:lineRule="exact"/>
        <w:ind w:left="0"/>
        <w:rPr>
          <w:rFonts w:ascii="仿宋" w:hAnsi="仿宋" w:eastAsia="仿宋" w:cs="仿宋"/>
          <w:sz w:val="28"/>
          <w:szCs w:val="28"/>
          <w:lang w:eastAsia="zh-CN"/>
        </w:rPr>
      </w:pPr>
      <w:r>
        <w:rPr>
          <w:rFonts w:hint="eastAsia" w:ascii="宋体" w:hAnsi="宋体" w:cs="宋体"/>
          <w:b/>
          <w:bCs/>
          <w:sz w:val="24"/>
        </w:rPr>
        <w:br w:type="page"/>
      </w:r>
      <w:r>
        <w:rPr>
          <w:rFonts w:hint="eastAsia" w:ascii="宋体" w:hAnsi="宋体" w:cs="宋体"/>
          <w:b/>
          <w:lang w:eastAsia="zh-CN"/>
        </w:rPr>
        <w:t>7标段：</w:t>
      </w:r>
    </w:p>
    <w:tbl>
      <w:tblPr>
        <w:tblStyle w:val="3"/>
        <w:tblW w:w="4999"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31"/>
        <w:gridCol w:w="3853"/>
      </w:tblGrid>
      <w:tr w14:paraId="2A04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tblCellSpacing w:w="15" w:type="dxa"/>
        </w:trPr>
        <w:tc>
          <w:tcPr>
            <w:tcW w:w="649" w:type="pct"/>
            <w:noWrap w:val="0"/>
            <w:vAlign w:val="center"/>
          </w:tcPr>
          <w:p w14:paraId="72390FEE">
            <w:pPr>
              <w:widowControl/>
              <w:wordWrap w:val="0"/>
              <w:spacing w:line="460" w:lineRule="exact"/>
              <w:jc w:val="center"/>
              <w:rPr>
                <w:rFonts w:hint="eastAsia" w:ascii="宋体" w:hAnsi="宋体" w:cs="宋体"/>
                <w:sz w:val="24"/>
              </w:rPr>
            </w:pPr>
            <w:r>
              <w:rPr>
                <w:rFonts w:hint="eastAsia" w:ascii="宋体" w:hAnsi="宋体" w:cs="宋体"/>
                <w:sz w:val="24"/>
              </w:rPr>
              <w:t>全自动化学发光仪</w:t>
            </w:r>
          </w:p>
        </w:tc>
        <w:tc>
          <w:tcPr>
            <w:tcW w:w="551" w:type="pct"/>
            <w:noWrap w:val="0"/>
            <w:vAlign w:val="center"/>
          </w:tcPr>
          <w:p w14:paraId="6F1F4F7F">
            <w:pPr>
              <w:widowControl/>
              <w:wordWrap w:val="0"/>
              <w:spacing w:line="460" w:lineRule="exact"/>
              <w:jc w:val="center"/>
              <w:rPr>
                <w:rFonts w:hint="default" w:ascii="宋体" w:hAnsi="宋体" w:eastAsia="宋体" w:cs="宋体"/>
                <w:sz w:val="24"/>
                <w:lang w:val="en-US" w:eastAsia="zh-CN"/>
              </w:rPr>
            </w:pPr>
            <w:r>
              <w:rPr>
                <w:rFonts w:hint="eastAsia" w:ascii="宋体" w:hAnsi="宋体" w:cs="宋体"/>
                <w:sz w:val="24"/>
                <w:lang w:val="en-US" w:eastAsia="zh-CN"/>
              </w:rPr>
              <w:t>1套</w:t>
            </w:r>
          </w:p>
        </w:tc>
      </w:tr>
    </w:tbl>
    <w:p w14:paraId="1B784CBB">
      <w:pPr>
        <w:numPr>
          <w:ilvl w:val="0"/>
          <w:numId w:val="0"/>
        </w:numPr>
        <w:ind w:firstLine="120" w:firstLineChars="50"/>
        <w:jc w:val="left"/>
        <w:rPr>
          <w:rFonts w:hint="eastAsia" w:ascii="宋体" w:hAnsi="宋体" w:eastAsia="宋体" w:cs="宋体"/>
          <w:sz w:val="24"/>
          <w:szCs w:val="24"/>
          <w:highlight w:val="none"/>
          <w:lang w:val="zh-CN"/>
        </w:rPr>
      </w:pPr>
      <w:r>
        <w:rPr>
          <w:rFonts w:hint="eastAsia" w:ascii="宋体" w:hAnsi="宋体" w:eastAsia="宋体" w:cs="宋体"/>
          <w:kern w:val="2"/>
          <w:sz w:val="24"/>
          <w:szCs w:val="24"/>
          <w:lang w:val="zh-CN" w:eastAsia="zh-CN" w:bidi="ar-SA"/>
        </w:rPr>
        <w:t>1.</w:t>
      </w:r>
      <w:r>
        <w:rPr>
          <w:rFonts w:hint="eastAsia" w:ascii="宋体" w:hAnsi="宋体" w:eastAsia="宋体" w:cs="宋体"/>
          <w:sz w:val="24"/>
          <w:szCs w:val="24"/>
          <w:highlight w:val="none"/>
          <w:lang w:val="zh-CN"/>
        </w:rPr>
        <w:t>总体要求：</w:t>
      </w:r>
      <w:r>
        <w:rPr>
          <w:rFonts w:hint="eastAsia" w:ascii="宋体" w:hAnsi="宋体" w:eastAsia="宋体" w:cs="宋体"/>
          <w:sz w:val="24"/>
          <w:szCs w:val="24"/>
          <w:highlight w:val="none"/>
          <w:lang w:val="en-US" w:eastAsia="zh-CN"/>
        </w:rPr>
        <w:t>模块式</w:t>
      </w:r>
      <w:r>
        <w:rPr>
          <w:rFonts w:hint="eastAsia" w:ascii="宋体" w:hAnsi="宋体" w:eastAsia="宋体" w:cs="宋体"/>
          <w:sz w:val="24"/>
          <w:szCs w:val="24"/>
          <w:highlight w:val="none"/>
          <w:lang w:val="zh-CN"/>
        </w:rPr>
        <w:t>全自动化学发光免疫分析仪</w:t>
      </w:r>
    </w:p>
    <w:p w14:paraId="3016ABFF">
      <w:pPr>
        <w:numPr>
          <w:ilvl w:val="0"/>
          <w:numId w:val="0"/>
        </w:numPr>
        <w:ind w:firstLine="120" w:firstLineChars="50"/>
        <w:jc w:val="left"/>
        <w:rPr>
          <w:rFonts w:hint="eastAsia" w:ascii="宋体" w:hAnsi="宋体" w:eastAsia="宋体" w:cs="宋体"/>
          <w:sz w:val="24"/>
          <w:szCs w:val="24"/>
          <w:highlight w:val="none"/>
          <w:lang w:val="zh-CN"/>
        </w:rPr>
      </w:pPr>
      <w:r>
        <w:rPr>
          <w:rFonts w:hint="eastAsia" w:ascii="宋体" w:hAnsi="宋体" w:eastAsia="宋体" w:cs="宋体"/>
          <w:kern w:val="2"/>
          <w:sz w:val="24"/>
          <w:szCs w:val="24"/>
          <w:lang w:val="zh-CN" w:eastAsia="zh-CN" w:bidi="ar-SA"/>
        </w:rPr>
        <w:t>2.</w:t>
      </w:r>
      <w:r>
        <w:rPr>
          <w:rFonts w:hint="eastAsia" w:ascii="宋体" w:hAnsi="宋体" w:eastAsia="宋体" w:cs="宋体"/>
          <w:sz w:val="24"/>
          <w:szCs w:val="24"/>
          <w:highlight w:val="none"/>
          <w:lang w:val="en-US" w:eastAsia="zh-CN"/>
        </w:rPr>
        <w:t>模块数≤2个</w:t>
      </w:r>
    </w:p>
    <w:p w14:paraId="5261AB7A">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rPr>
        <w:t>. 测试速度≥</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 xml:space="preserve">00T/H； </w:t>
      </w:r>
    </w:p>
    <w:p w14:paraId="4FAC489C">
      <w:pPr>
        <w:ind w:firstLine="120" w:firstLineChars="5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配套样本传输系统，</w:t>
      </w:r>
      <w:r>
        <w:rPr>
          <w:rFonts w:hint="eastAsia" w:ascii="宋体" w:hAnsi="宋体" w:eastAsia="宋体" w:cs="宋体"/>
          <w:sz w:val="24"/>
          <w:szCs w:val="24"/>
          <w:highlight w:val="none"/>
          <w:lang w:val="zh-CN"/>
        </w:rPr>
        <w:t>支持随时连续进样，一次进样样本管数量≥300个</w:t>
      </w:r>
      <w:r>
        <w:rPr>
          <w:rFonts w:hint="eastAsia" w:ascii="宋体" w:hAnsi="宋体" w:eastAsia="宋体" w:cs="宋体"/>
          <w:bCs/>
          <w:sz w:val="24"/>
          <w:szCs w:val="24"/>
          <w:highlight w:val="none"/>
        </w:rPr>
        <w:t xml:space="preserve">； </w:t>
      </w:r>
    </w:p>
    <w:p w14:paraId="5D1E7A0F">
      <w:pPr>
        <w:ind w:firstLine="120" w:firstLineChar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 试剂位≥</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zh-CN"/>
        </w:rPr>
        <w:t xml:space="preserve">0个，自带2~8℃冷藏； </w:t>
      </w:r>
    </w:p>
    <w:p w14:paraId="491DAA84">
      <w:pPr>
        <w:ind w:firstLine="120" w:firstLineChar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rPr>
        <w:t>. 反应原理：采用</w:t>
      </w:r>
      <w:r>
        <w:rPr>
          <w:rFonts w:hint="eastAsia" w:ascii="宋体" w:hAnsi="宋体" w:eastAsia="宋体" w:cs="宋体"/>
          <w:sz w:val="24"/>
          <w:szCs w:val="24"/>
          <w:highlight w:val="none"/>
          <w:lang w:val="en-US" w:eastAsia="zh-CN"/>
        </w:rPr>
        <w:t>全自动化学发光法</w:t>
      </w:r>
      <w:r>
        <w:rPr>
          <w:rFonts w:hint="eastAsia" w:ascii="宋体" w:hAnsi="宋体" w:eastAsia="宋体" w:cs="宋体"/>
          <w:sz w:val="24"/>
          <w:szCs w:val="24"/>
          <w:highlight w:val="none"/>
          <w:lang w:val="zh-CN"/>
        </w:rPr>
        <w:t xml:space="preserve">； </w:t>
      </w:r>
    </w:p>
    <w:p w14:paraId="5A1EE91F">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zh-CN"/>
        </w:rPr>
        <w:t>. 急诊优先：可在任何时间即时插入急诊样品，即时测试；</w:t>
      </w:r>
    </w:p>
    <w:p w14:paraId="3BF1E1B8">
      <w:pPr>
        <w:ind w:firstLine="120" w:firstLineChars="50"/>
        <w:jc w:val="lef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rPr>
        <w:t xml:space="preserve">. 加样方式：采用钢针或TIP枪头加样，携带污染率≤0.1PPM； </w:t>
      </w:r>
    </w:p>
    <w:p w14:paraId="60C7C31E">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 xml:space="preserve">. 试剂混匀：支持试剂上机快速混匀，无须手工混匀； </w:t>
      </w:r>
    </w:p>
    <w:p w14:paraId="4B46167C">
      <w:pPr>
        <w:ind w:firstLine="120" w:firstLineChar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val="zh-CN"/>
        </w:rPr>
        <w:t xml:space="preserve">. 支持不停机状态装载试剂盒及辅助耗材； </w:t>
      </w:r>
    </w:p>
    <w:p w14:paraId="2AF03593">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 溯源性：配备与试剂同一品牌的校准品并具备完整的溯源性（要求提供校准品溯源性报告）</w:t>
      </w:r>
    </w:p>
    <w:p w14:paraId="6121F264">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 xml:space="preserve">. 检测项目：包含肿瘤（含PIVKA-II）、甲功（含rT3）、传染病、性激素、心肌、炎症等，可检测项目≥80项； </w:t>
      </w:r>
    </w:p>
    <w:p w14:paraId="4A77ABFB">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rPr>
        <w:t>. 可进行样本自动稀释与自动复测</w:t>
      </w:r>
    </w:p>
    <w:p w14:paraId="76A3BFC3">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 可拓展性：可与同品牌生化分析仪组成流水线</w:t>
      </w:r>
    </w:p>
    <w:p w14:paraId="0E5340B3">
      <w:pPr>
        <w:jc w:val="left"/>
        <w:rPr>
          <w:rFonts w:hint="eastAsia" w:ascii="宋体" w:hAnsi="宋体" w:eastAsia="宋体" w:cs="宋体"/>
          <w:bCs/>
          <w:sz w:val="24"/>
          <w:szCs w:val="24"/>
          <w:highlight w:val="none"/>
        </w:rPr>
      </w:pPr>
      <w:bookmarkStart w:id="1" w:name="_Hlk225177548"/>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 xml:space="preserve">. </w:t>
      </w:r>
      <w:r>
        <w:rPr>
          <w:rFonts w:hint="eastAsia" w:ascii="宋体" w:hAnsi="宋体" w:eastAsia="宋体" w:cs="宋体"/>
          <w:bCs/>
          <w:sz w:val="24"/>
          <w:szCs w:val="24"/>
          <w:highlight w:val="none"/>
        </w:rPr>
        <w:t>保证同品牌肿瘤标志物检测项目甲胎蛋白(AFP)，胚抗原(CEA)参加国家卫健委临检中心室间质量评价计划(EQA)实验室家数≥400家（以2025年临床检验室间质量评价汇总数据为准）</w:t>
      </w:r>
    </w:p>
    <w:p w14:paraId="1624148C">
      <w:pPr>
        <w:numPr>
          <w:ilvl w:val="0"/>
          <w:numId w:val="0"/>
        </w:numPr>
        <w:jc w:val="lef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16.</w:t>
      </w:r>
      <w:r>
        <w:rPr>
          <w:rFonts w:hint="eastAsia" w:ascii="宋体" w:hAnsi="宋体" w:eastAsia="宋体" w:cs="宋体"/>
          <w:bCs/>
          <w:sz w:val="24"/>
          <w:szCs w:val="24"/>
        </w:rPr>
        <w:t>负责与医院现有LIS对接</w:t>
      </w:r>
      <w:r>
        <w:rPr>
          <w:rFonts w:hint="eastAsia" w:ascii="宋体" w:hAnsi="宋体" w:eastAsia="宋体" w:cs="宋体"/>
          <w:bCs/>
          <w:sz w:val="24"/>
          <w:szCs w:val="24"/>
          <w:lang w:eastAsia="zh-CN"/>
        </w:rPr>
        <w:t>，费用包含在设备报价中。</w:t>
      </w:r>
    </w:p>
    <w:p w14:paraId="053708C0">
      <w:pPr>
        <w:jc w:val="left"/>
        <w:rPr>
          <w:rFonts w:hint="eastAsia" w:ascii="宋体" w:hAnsi="宋体" w:eastAsia="宋体" w:cs="宋体"/>
          <w:sz w:val="24"/>
          <w:szCs w:val="24"/>
          <w:lang w:val="zh-CN"/>
        </w:rPr>
      </w:pPr>
      <w:r>
        <w:rPr>
          <w:rFonts w:hint="eastAsia" w:ascii="宋体" w:hAnsi="宋体" w:eastAsia="宋体" w:cs="宋体"/>
          <w:bCs/>
          <w:sz w:val="24"/>
          <w:szCs w:val="24"/>
          <w:lang w:val="en-US" w:eastAsia="zh-CN"/>
        </w:rPr>
        <w:t>17.提供配套试剂、校准品、质控品价格（报价仅作为参考，不计入本次设备报价中）</w:t>
      </w:r>
      <w:bookmarkEnd w:id="1"/>
    </w:p>
    <w:p w14:paraId="2511BE9A">
      <w:pPr>
        <w:pStyle w:val="5"/>
        <w:adjustRightInd w:val="0"/>
        <w:snapToGrid w:val="0"/>
        <w:spacing w:line="460" w:lineRule="exact"/>
        <w:ind w:left="0"/>
        <w:rPr>
          <w:rFonts w:ascii="宋体" w:hAnsi="宋体" w:cs="宋体"/>
          <w:bCs/>
          <w:lang w:eastAsia="zh-CN"/>
        </w:rPr>
      </w:pPr>
    </w:p>
    <w:p w14:paraId="7C174D08">
      <w:pPr>
        <w:pStyle w:val="5"/>
        <w:adjustRightInd w:val="0"/>
        <w:snapToGrid w:val="0"/>
        <w:spacing w:line="460" w:lineRule="exact"/>
        <w:ind w:left="0"/>
        <w:rPr>
          <w:rFonts w:ascii="宋体" w:hAnsi="宋体" w:cs="宋体"/>
          <w:bCs/>
          <w:lang w:eastAsia="zh-CN"/>
        </w:rPr>
      </w:pPr>
    </w:p>
    <w:p w14:paraId="72692C95">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7F587A"/>
    <w:rsid w:val="297F5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itle"/>
    <w:basedOn w:val="1"/>
    <w:qFormat/>
    <w:uiPriority w:val="10"/>
    <w:pPr>
      <w:widowControl/>
      <w:jc w:val="center"/>
    </w:pPr>
    <w:rPr>
      <w:rFonts w:ascii="Tahoma" w:hAnsi="Tahoma"/>
      <w:b/>
      <w:kern w:val="0"/>
      <w:sz w:val="24"/>
      <w:szCs w:val="20"/>
    </w:rPr>
  </w:style>
  <w:style w:type="paragraph" w:styleId="5">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2026-07-22T07:21:00Z</dcterms:created>
  <dc:creator>徐闫靖双</dc:creator>
  <cp:lastModifiedBy>徐闫靖双</cp:lastModifiedBy>
  <dcterms:modified xsi:type="dcterms:W3CDTF">2026-07-22T07:21:20Z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ED0818EAAB674F75813B2ECF69E07B56_11</vt:lpwstr>
  </property>
  <property fmtid="{D5CDD505-2E9C-101B-9397-08002B2CF9AE}" pid="4" name="KSOTemplateDocerSaveRecord">
    <vt:lpwstr>eyJoZGlkIjoiYzA1MTFjMGE5NjMwY2U1ODU1MGFhN2UxMjk1NDdlZjEiLCJ1c2VySWQiOiI0NTE5NDQwNTQifQ==</vt:lpwstr>
  </property>
</Properties>
</file>