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版本号：ZJCG2025-12-01.1B120260629001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西安市农村公路养护工程（未央区阁高路）</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ZJCG2025-12-01.1B1</w:t>
      </w:r>
      <w:r>
        <w:br/>
      </w:r>
      <w:r>
        <w:br/>
      </w:r>
      <w:r>
        <w:br/>
      </w:r>
    </w:p>
    <w:p>
      <w:pPr>
        <w:pStyle w:val="null3"/>
        <w:jc w:val="center"/>
        <w:outlineLvl w:val="2"/>
      </w:pPr>
      <w:r>
        <w:rPr>
          <w:rFonts w:ascii="仿宋_GB2312" w:hAnsi="仿宋_GB2312" w:cs="仿宋_GB2312" w:eastAsia="仿宋_GB2312"/>
          <w:sz w:val="28"/>
          <w:b/>
        </w:rPr>
        <w:t>西安市未央区公路管理站</w:t>
      </w:r>
    </w:p>
    <w:p>
      <w:pPr>
        <w:pStyle w:val="null3"/>
        <w:jc w:val="center"/>
        <w:outlineLvl w:val="2"/>
      </w:pPr>
      <w:r>
        <w:rPr>
          <w:rFonts w:ascii="仿宋_GB2312" w:hAnsi="仿宋_GB2312" w:cs="仿宋_GB2312" w:eastAsia="仿宋_GB2312"/>
          <w:sz w:val="28"/>
          <w:b/>
        </w:rPr>
        <w:t>陕西贞吉建设项目管理有限公司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陕西贞吉建设项目管理有限公司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西安市未央区公路管理站</w:t>
      </w:r>
      <w:r>
        <w:rPr>
          <w:rFonts w:ascii="仿宋_GB2312" w:hAnsi="仿宋_GB2312" w:cs="仿宋_GB2312" w:eastAsia="仿宋_GB2312"/>
        </w:rPr>
        <w:t>委托，拟对</w:t>
      </w:r>
      <w:r>
        <w:rPr>
          <w:rFonts w:ascii="仿宋_GB2312" w:hAnsi="仿宋_GB2312" w:cs="仿宋_GB2312" w:eastAsia="仿宋_GB2312"/>
        </w:rPr>
        <w:t>西安市农村公路养护工程（未央区阁高路）</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ZJCG2025-12-01.1B1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西安市农村公路养护工程（未央区阁高路）</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本工程为西安市农村公路养护工程(未央区阁高路)，项目地址位于西安市未央区阁高路，工程起点第一段起点K6+130位于李上壕村村东“十”字交叉口30米(2024年养护工程终点接茬处)，路线由西向东展线，在K6+759 (阁老门出村东)，交叉口处路线转向南，横跨未央湖，终点K7+149位于下穿北二环立交桥北头桥洞下，设计路段里程为1.019km。工程实施范围主要是道路工程的路面铣刨和重铺，重型龟裂和重型沉陷的路面拆除和新作;排水工程的雨水口的新作、标识标线、路缘石的拆除和新作、标识标牌等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税收缴纳证明：提供2026年至今已缴纳的1个月的纳税证明或完税证明，依法免税的单位应提供相关证明材料。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2、社会保障资金缴纳证明：提供2026年至今已缴纳的1个月的社会保障资金缴存单据或社保机构开具的社会保险参保缴费情况证明，依法不需要缴纳社会保障资金的单位应提供相关证明材料。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3、特定资格要求：供应商须具备交通运输主管部门颁发的公路养护工程施工三类及以上资质或具备公路养护作业（路基路面养护乙级及以上资质及交通安全设施养护资质）资质或住建部门颁发的市政公用工程施工总承包三级及以上资质，并具有合法有效的安全生产许可证，合法有效：供应商须具备交通运输主管部门颁发的公路养护工程施工三类及以上资质或具备公路养护作业（路基路面养护乙级及以上资质及交通安全设施养护资质）资质或住建部门颁发的市政公用工程施工总承包三级及以上资质，并具有合法有效的安全生产许可证：</w:t>
      </w:r>
    </w:p>
    <w:p>
      <w:pPr>
        <w:pStyle w:val="null3"/>
      </w:pPr>
      <w:r>
        <w:rPr>
          <w:rFonts w:ascii="仿宋_GB2312" w:hAnsi="仿宋_GB2312" w:cs="仿宋_GB2312" w:eastAsia="仿宋_GB2312"/>
        </w:rPr>
        <w:t>4、履行合同所必需的设备和专业技术能力：提供具有履行合同所必需的设备和专业技术能力的承诺。此项可提供基本资格条件承诺函。供应商需在项目电子化交易系统中按要求上传相应证明文件并进行电子签章。：履行合同所必需的设备和专业技术能力：提供具有履行合同所必需的设备和专业技术能力的承诺。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5、前三年无重大违法记录声明：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传相应证明文件并进行电子签章。：前三年无重大违法记录声明：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6、授权书及被授权人身份证：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授权书及被授权人身份证：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w:t>
      </w:r>
    </w:p>
    <w:p>
      <w:pPr>
        <w:pStyle w:val="null3"/>
      </w:pPr>
      <w:r>
        <w:rPr>
          <w:rFonts w:ascii="仿宋_GB2312" w:hAnsi="仿宋_GB2312" w:cs="仿宋_GB2312" w:eastAsia="仿宋_GB2312"/>
        </w:rPr>
        <w:t>7、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w:t>
      </w:r>
    </w:p>
    <w:p>
      <w:pPr>
        <w:pStyle w:val="null3"/>
      </w:pPr>
      <w:r>
        <w:rPr>
          <w:rFonts w:ascii="仿宋_GB2312" w:hAnsi="仿宋_GB2312" w:cs="仿宋_GB2312" w:eastAsia="仿宋_GB2312"/>
        </w:rPr>
        <w:t>8、是否接受联合体投标：本项目不接受联合体投标，供应商需在项目电子化交易系统中按要求上传相应证明文件并进行电子签章。：是否接受联合体投标：本项目不接受联合体投标，供应商需在项目电子化交易系统中按要求上传相应证明文件并进行电子签章。</w:t>
      </w:r>
    </w:p>
    <w:p>
      <w:pPr>
        <w:pStyle w:val="null3"/>
      </w:pPr>
      <w:r>
        <w:rPr>
          <w:rFonts w:ascii="仿宋_GB2312" w:hAnsi="仿宋_GB2312" w:cs="仿宋_GB2312" w:eastAsia="仿宋_GB2312"/>
        </w:rPr>
        <w:t>9、有效的主体资格证明：具有独立承担民事责任能力的法人、其他组织或自然人，并出具合法有效的相关证明材料。供应商需在项目电子化交易系统中按要求上传相应证明文件并进行电子签章。：有效的主体资格证明：具有独立承担民事责任能力的法人、其他组织或自然人，并出具合法有效的相关证明材料。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西安市未央区公路管理站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西安市未央区方新路西段18号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西安市未央区公路管理站经办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13572903376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陕西贞吉建设项目管理有限公司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西安市经济技术开发区赛高国际D座6层603室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陈工、姜工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029-86679931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采购包1：925,133.00元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由中标人支付，参照国家计委颁发的《招标代理服务收费管理暂行办法》（计价格[2002]1980号）、国家发展和改革委员会办公厅颁发的《关于招标代理服务收费有关问题的通知》（发改办价格[2003] 857号）、《国家发展改革委关于降低部分建设项目收费标准规范收费行为等有关问题的通知》（发改价格[2011]534号）有关规定，向招标代理机构一次支付招标代理服务费，招标代理费用不足捌仟元（￥：8000元）时按捌仟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西安市未央区公路管理站</w:t>
      </w:r>
      <w:r>
        <w:rPr>
          <w:rFonts w:ascii="仿宋_GB2312" w:hAnsi="仿宋_GB2312" w:cs="仿宋_GB2312" w:eastAsia="仿宋_GB2312"/>
        </w:rPr>
        <w:t>和</w:t>
      </w:r>
      <w:r>
        <w:rPr>
          <w:rFonts w:ascii="仿宋_GB2312" w:hAnsi="仿宋_GB2312" w:cs="仿宋_GB2312" w:eastAsia="仿宋_GB2312"/>
        </w:rPr>
        <w:t>陕西贞吉建设项目管理有限公司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西安市未央区公路管理站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陕西贞吉建设项目管理有限公司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西安市未央区公路管理站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陕西贞吉建设项目管理有限公司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陕西贞吉建设项目管理有限公司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陕西贞吉建设项目管理有限公司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陕西贞吉建设项目管理有限公司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联系人：陈洪雅 / 姜培栋</w:t>
      </w:r>
    </w:p>
    <w:p>
      <w:pPr>
        <w:pStyle w:val="null3"/>
      </w:pPr>
      <w:r>
        <w:rPr>
          <w:rFonts w:ascii="仿宋_GB2312" w:hAnsi="仿宋_GB2312" w:cs="仿宋_GB2312" w:eastAsia="仿宋_GB2312"/>
        </w:rPr>
        <w:t>联系电话：029-86679931</w:t>
      </w:r>
    </w:p>
    <w:p>
      <w:pPr>
        <w:pStyle w:val="null3"/>
      </w:pPr>
      <w:r>
        <w:rPr>
          <w:rFonts w:ascii="仿宋_GB2312" w:hAnsi="仿宋_GB2312" w:cs="仿宋_GB2312" w:eastAsia="仿宋_GB2312"/>
        </w:rPr>
        <w:t>地址：西安市经济技术开发区赛高国际D座6层603室</w:t>
      </w:r>
    </w:p>
    <w:p>
      <w:pPr>
        <w:pStyle w:val="null3"/>
      </w:pPr>
      <w:r>
        <w:rPr>
          <w:rFonts w:ascii="仿宋_GB2312" w:hAnsi="仿宋_GB2312" w:cs="仿宋_GB2312" w:eastAsia="仿宋_GB2312"/>
        </w:rPr>
        <w:t>邮编：710021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工程为西安市2025年农村公路养护工程(未央区阁高路)，项目地址位于西安市未央区阁高路，工程起点第一段起点K6+130位于李上壕村村东“十”字交叉口30米(2024年养护工程终点接茬处)，路线由西向东展线，在K6+759 (阁老门出村东)，交叉口处路线转向南，横跨未央湖，终点K7+149位于下穿北二环立交桥北头桥洞下，设计路段里程为1.019km。工程实施范围主要是道路工程的路面铣刨和重铺，重型龟裂和重型沉陷的路面拆除和新作;排水工程的雨水口的新作、标识标线、路缘石的拆除和新作、标识标牌等内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925,133.00</w:t>
      </w:r>
    </w:p>
    <w:p>
      <w:pPr>
        <w:pStyle w:val="null3"/>
      </w:pPr>
      <w:r>
        <w:rPr>
          <w:rFonts w:ascii="仿宋_GB2312" w:hAnsi="仿宋_GB2312" w:cs="仿宋_GB2312" w:eastAsia="仿宋_GB2312"/>
        </w:rPr>
        <w:t>采购包最高限价（元）: 925,133.00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西安市农村公路养护工程（未央区阁高路）</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925,133.00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标的名称：西安市农村公路养护工程（未央区阁高路）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1.项目概况及总体要求</w:t>
            </w:r>
          </w:p>
          <w:p>
            <w:pPr>
              <w:pStyle w:val="null3"/>
            </w:pPr>
            <w:r>
              <w:rPr>
                <w:rFonts w:ascii="仿宋_GB2312" w:hAnsi="仿宋_GB2312" w:cs="仿宋_GB2312" w:eastAsia="仿宋_GB2312"/>
              </w:rPr>
              <w:t>本工程为西安市</w:t>
            </w:r>
            <w:r>
              <w:rPr>
                <w:rFonts w:ascii="仿宋_GB2312" w:hAnsi="仿宋_GB2312" w:cs="仿宋_GB2312" w:eastAsia="仿宋_GB2312"/>
              </w:rPr>
              <w:t>农村公路养护工程(未央区阁高路)，项目地址位于西安市未央区阁高路，工程起点第一段起点K6+130位于李上壕村村东“十”字交叉口30米(2024年养护工程终点接茬处)，路线由西向东展线，在K6+759 (阁老门出村东)，交叉口处路线转向南，横跨未央湖，终点K7+149位于下穿北二环立交桥北头桥洞下，设计路段里程为1.019km。工程实施范围主要是道路工程的路面铣刨和重铺，重型龟裂和重型沉陷的路面拆除和新作;排水工程的雨水口的新作、标识标线、路缘石的拆除和新作、标识标牌等内容。</w:t>
            </w:r>
          </w:p>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2.服务内容与要求</w:t>
            </w:r>
          </w:p>
          <w:p>
            <w:pPr>
              <w:pStyle w:val="null3"/>
            </w:pPr>
            <w:r>
              <w:rPr>
                <w:rFonts w:ascii="仿宋_GB2312" w:hAnsi="仿宋_GB2312" w:cs="仿宋_GB2312" w:eastAsia="仿宋_GB2312"/>
              </w:rPr>
              <w:t>2.1 服务需求</w:t>
            </w:r>
          </w:p>
          <w:p>
            <w:pPr>
              <w:pStyle w:val="null3"/>
            </w:pPr>
            <w:r>
              <w:rPr>
                <w:rFonts w:ascii="仿宋_GB2312" w:hAnsi="仿宋_GB2312" w:cs="仿宋_GB2312" w:eastAsia="仿宋_GB2312"/>
              </w:rPr>
              <w:t>（</w:t>
            </w:r>
            <w:r>
              <w:rPr>
                <w:rFonts w:ascii="仿宋_GB2312" w:hAnsi="仿宋_GB2312" w:cs="仿宋_GB2312" w:eastAsia="仿宋_GB2312"/>
              </w:rPr>
              <w:t>1）供应商必须有良好得社会信誉，具备履行合同必需的设备。</w:t>
            </w:r>
          </w:p>
          <w:p>
            <w:pPr>
              <w:pStyle w:val="null3"/>
            </w:pPr>
            <w:r>
              <w:rPr>
                <w:rFonts w:ascii="仿宋_GB2312" w:hAnsi="仿宋_GB2312" w:cs="仿宋_GB2312" w:eastAsia="仿宋_GB2312"/>
              </w:rPr>
              <w:t>（</w:t>
            </w:r>
            <w:r>
              <w:rPr>
                <w:rFonts w:ascii="仿宋_GB2312" w:hAnsi="仿宋_GB2312" w:cs="仿宋_GB2312" w:eastAsia="仿宋_GB2312"/>
              </w:rPr>
              <w:t>2）供应商须具备保证施工质量的管理体系。</w:t>
            </w:r>
          </w:p>
          <w:p>
            <w:pPr>
              <w:pStyle w:val="null3"/>
            </w:pPr>
            <w:r>
              <w:rPr>
                <w:rFonts w:ascii="仿宋_GB2312" w:hAnsi="仿宋_GB2312" w:cs="仿宋_GB2312" w:eastAsia="仿宋_GB2312"/>
              </w:rPr>
              <w:t>（</w:t>
            </w:r>
            <w:r>
              <w:rPr>
                <w:rFonts w:ascii="仿宋_GB2312" w:hAnsi="仿宋_GB2312" w:cs="仿宋_GB2312" w:eastAsia="仿宋_GB2312"/>
              </w:rPr>
              <w:t>3）成交后，在各具体项目实施过程中，供应商应按要求配备相应的管理班子和必要的设备。</w:t>
            </w:r>
          </w:p>
          <w:p>
            <w:pPr>
              <w:pStyle w:val="null3"/>
            </w:pPr>
            <w:r>
              <w:rPr>
                <w:rFonts w:ascii="仿宋_GB2312" w:hAnsi="仿宋_GB2312" w:cs="仿宋_GB2312" w:eastAsia="仿宋_GB2312"/>
              </w:rPr>
              <w:t>（</w:t>
            </w:r>
            <w:r>
              <w:rPr>
                <w:rFonts w:ascii="仿宋_GB2312" w:hAnsi="仿宋_GB2312" w:cs="仿宋_GB2312" w:eastAsia="仿宋_GB2312"/>
              </w:rPr>
              <w:t>4）供应商须承诺其承担的项目在合同期内全部验收合格。</w:t>
            </w:r>
          </w:p>
          <w:p>
            <w:pPr>
              <w:pStyle w:val="null3"/>
            </w:pPr>
            <w:r>
              <w:rPr>
                <w:rFonts w:ascii="仿宋_GB2312" w:hAnsi="仿宋_GB2312" w:cs="仿宋_GB2312" w:eastAsia="仿宋_GB2312"/>
              </w:rPr>
              <w:t>（</w:t>
            </w:r>
            <w:r>
              <w:rPr>
                <w:rFonts w:ascii="仿宋_GB2312" w:hAnsi="仿宋_GB2312" w:cs="仿宋_GB2312" w:eastAsia="仿宋_GB2312"/>
              </w:rPr>
              <w:t>5）供应商的人员配备、道路养护器械能够满足道路养护质量要求。</w:t>
            </w:r>
          </w:p>
          <w:p>
            <w:pPr>
              <w:pStyle w:val="null3"/>
            </w:pPr>
            <w:r>
              <w:rPr>
                <w:rFonts w:ascii="仿宋_GB2312" w:hAnsi="仿宋_GB2312" w:cs="仿宋_GB2312" w:eastAsia="仿宋_GB2312"/>
              </w:rPr>
              <w:t>（</w:t>
            </w:r>
            <w:r>
              <w:rPr>
                <w:rFonts w:ascii="仿宋_GB2312" w:hAnsi="仿宋_GB2312" w:cs="仿宋_GB2312" w:eastAsia="仿宋_GB2312"/>
              </w:rPr>
              <w:t>6）道路养护质量标准须执行国家、陕西省及西安市农村道路管理养护的相关政策及采购人要求。</w:t>
            </w:r>
          </w:p>
          <w:p>
            <w:pPr>
              <w:pStyle w:val="null3"/>
            </w:pPr>
            <w:r>
              <w:rPr>
                <w:rFonts w:ascii="仿宋_GB2312" w:hAnsi="仿宋_GB2312" w:cs="仿宋_GB2312" w:eastAsia="仿宋_GB2312"/>
              </w:rPr>
              <w:t>2</w:t>
            </w:r>
            <w:r>
              <w:rPr>
                <w:rFonts w:ascii="仿宋_GB2312" w:hAnsi="仿宋_GB2312" w:cs="仿宋_GB2312" w:eastAsia="仿宋_GB2312"/>
                <w:shd w:fill="FFFF00" w:val="clear"/>
              </w:rPr>
              <w:t>.2服务内容</w:t>
            </w:r>
          </w:p>
          <w:p>
            <w:pPr>
              <w:pStyle w:val="null3"/>
              <w:ind w:firstLine="420"/>
              <w:jc w:val="both"/>
            </w:pPr>
            <w:r>
              <w:rPr>
                <w:rFonts w:ascii="仿宋_GB2312" w:hAnsi="仿宋_GB2312" w:cs="仿宋_GB2312" w:eastAsia="仿宋_GB2312"/>
                <w:sz w:val="21"/>
              </w:rPr>
              <w:t>工程起点第一段起点</w:t>
            </w:r>
            <w:r>
              <w:rPr>
                <w:rFonts w:ascii="仿宋_GB2312" w:hAnsi="仿宋_GB2312" w:cs="仿宋_GB2312" w:eastAsia="仿宋_GB2312"/>
                <w:sz w:val="21"/>
              </w:rPr>
              <w:t>K6+130位于李上壕村村东“十”字交叉口30米(2024年养护工程终点接茬处)，路线由西向东展线，在K6+759 (阁老门出村东)，交叉口处路线转向南，横跨未央湖，终点K7+149位于下穿北二环立交桥北头桥洞下，设计路段里程为1.019km。工程实施范围主要是道路工程的路面铣刨和重铺，重型龟裂和重型沉陷的路面拆除和新作;排水工程的雨水口的新作、标识标线、路缘石的拆除和新作、标识标牌等内容。</w:t>
            </w:r>
          </w:p>
          <w:p>
            <w:pPr>
              <w:pStyle w:val="null3"/>
            </w:pPr>
            <w:r>
              <w:rPr>
                <w:rFonts w:ascii="仿宋_GB2312" w:hAnsi="仿宋_GB2312" w:cs="仿宋_GB2312" w:eastAsia="仿宋_GB2312"/>
              </w:rPr>
              <w:t>2.3人员、机械满足考核要求。</w:t>
            </w:r>
          </w:p>
          <w:p>
            <w:pPr>
              <w:pStyle w:val="null3"/>
            </w:pPr>
            <w:r>
              <w:rPr>
                <w:rFonts w:ascii="仿宋_GB2312" w:hAnsi="仿宋_GB2312" w:cs="仿宋_GB2312" w:eastAsia="仿宋_GB2312"/>
              </w:rPr>
              <w:t>2.4服务、产品（如有）执行的标准、规范：</w:t>
            </w:r>
          </w:p>
          <w:p>
            <w:pPr>
              <w:pStyle w:val="null3"/>
            </w:pPr>
            <w:r>
              <w:rPr>
                <w:rFonts w:ascii="仿宋_GB2312" w:hAnsi="仿宋_GB2312" w:cs="仿宋_GB2312" w:eastAsia="仿宋_GB2312"/>
              </w:rPr>
              <w:t>国家标准、规范。</w:t>
            </w:r>
          </w:p>
          <w:p>
            <w:pPr>
              <w:pStyle w:val="null3"/>
            </w:pPr>
            <w:r>
              <w:rPr>
                <w:rFonts w:ascii="仿宋_GB2312" w:hAnsi="仿宋_GB2312" w:cs="仿宋_GB2312" w:eastAsia="仿宋_GB2312"/>
              </w:rPr>
              <w:t>2.5本章2.4条未明确服务（产品）执行标准、规范的，按下列方法进行选择：</w:t>
            </w:r>
          </w:p>
          <w:p>
            <w:pPr>
              <w:pStyle w:val="null3"/>
            </w:pPr>
            <w:r>
              <w:rPr>
                <w:rFonts w:ascii="仿宋_GB2312" w:hAnsi="仿宋_GB2312" w:cs="仿宋_GB2312" w:eastAsia="仿宋_GB2312"/>
              </w:rPr>
              <w:t xml:space="preserve">       </w:t>
            </w:r>
            <w:r>
              <w:rPr>
                <w:rFonts w:ascii="仿宋_GB2312" w:hAnsi="仿宋_GB2312" w:cs="仿宋_GB2312" w:eastAsia="仿宋_GB2312"/>
              </w:rPr>
              <w:t>□ 顺序执行：国家标准→行业标准→地方标准→企业标准（有国家标准按国家标准执行，没有国家标准按行业标准，以此类推）；</w:t>
            </w:r>
          </w:p>
          <w:p>
            <w:pPr>
              <w:pStyle w:val="null3"/>
            </w:pPr>
            <w:r>
              <w:rPr>
                <w:rFonts w:ascii="仿宋_GB2312" w:hAnsi="仿宋_GB2312" w:cs="仿宋_GB2312" w:eastAsia="仿宋_GB2312"/>
              </w:rPr>
              <w:t xml:space="preserve">       </w:t>
            </w:r>
            <w:r>
              <w:rPr>
                <w:rFonts w:ascii="仿宋_GB2312" w:hAnsi="仿宋_GB2312" w:cs="仿宋_GB2312" w:eastAsia="仿宋_GB2312"/>
              </w:rPr>
              <w:t>√ 最高标准执行：国家标准，行业标准，地方标准，企业标准（</w:t>
            </w:r>
            <w:r>
              <w:rPr>
                <w:rFonts w:ascii="仿宋_GB2312" w:hAnsi="仿宋_GB2312" w:cs="仿宋_GB2312" w:eastAsia="仿宋_GB2312"/>
              </w:rPr>
              <w:t>以高标准为准</w:t>
            </w:r>
            <w:r>
              <w:rPr>
                <w:rFonts w:ascii="仿宋_GB2312" w:hAnsi="仿宋_GB2312" w:cs="仿宋_GB2312" w:eastAsia="仿宋_GB2312"/>
              </w:rPr>
              <w:t>）</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 必须执行：国家、行业强制性标准。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3.服务期限</w:t>
            </w:r>
          </w:p>
          <w:p>
            <w:pPr>
              <w:pStyle w:val="null3"/>
              <w:jc w:val="both"/>
            </w:pPr>
            <w:r>
              <w:rPr>
                <w:rFonts w:ascii="仿宋_GB2312" w:hAnsi="仿宋_GB2312" w:cs="仿宋_GB2312" w:eastAsia="仿宋_GB2312"/>
                <w:sz w:val="21"/>
              </w:rPr>
              <w:t>自合同签订之日起一年。</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4.质量要求</w:t>
            </w:r>
          </w:p>
          <w:p>
            <w:pPr>
              <w:pStyle w:val="null3"/>
            </w:pPr>
            <w:r>
              <w:rPr>
                <w:rFonts w:ascii="仿宋_GB2312" w:hAnsi="仿宋_GB2312" w:cs="仿宋_GB2312" w:eastAsia="仿宋_GB2312"/>
                <w:sz w:val="21"/>
              </w:rPr>
              <w:t>合格。</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拟投入人员须满足完成采购内容要求的所有事项</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拟投设施设备须满足完成采购内容要求的所有事项</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1.符合竞争性磋商文件规定 2.最高限价：总预算：925,133.00元 供应商采购包报价高于采购包采购预算的，其响应文件将按无效处理。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 10 个日历日/工作日内甲方向乙方支付合同款总价款的30%预付款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工程施工进度至80%时，经甲方、监理方(若无监理方可删除)确认后，甲方向乙方支付至合同总价款的 70 %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工程施工进度至100%时，甲方向乙方支付至合同总价款的 97 %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27.00</w:t>
      </w:r>
      <w:r>
        <w:rPr>
          <w:rFonts w:ascii="仿宋_GB2312" w:hAnsi="仿宋_GB2312" w:cs="仿宋_GB2312" w:eastAsia="仿宋_GB2312"/>
        </w:rPr>
        <w:t>%。</w:t>
      </w:r>
    </w:p>
    <w:p>
      <w:pPr>
        <w:pStyle w:val="null3"/>
        <w:ind w:firstLine="1200"/>
      </w:pPr>
      <w:r>
        <w:rPr>
          <w:rFonts w:ascii="仿宋_GB2312" w:hAnsi="仿宋_GB2312" w:cs="仿宋_GB2312" w:eastAsia="仿宋_GB2312"/>
        </w:rPr>
        <w:t>4、</w:t>
      </w:r>
      <w:r>
        <w:rPr>
          <w:rFonts w:ascii="仿宋_GB2312" w:hAnsi="仿宋_GB2312" w:cs="仿宋_GB2312" w:eastAsia="仿宋_GB2312"/>
        </w:rPr>
        <w:t xml:space="preserve"> 付款条件说明： </w:t>
      </w:r>
      <w:r>
        <w:rPr>
          <w:rFonts w:ascii="仿宋_GB2312" w:hAnsi="仿宋_GB2312" w:cs="仿宋_GB2312" w:eastAsia="仿宋_GB2312"/>
        </w:rPr>
        <w:t>待工程竣工验收质量达到合同要求的质量等级后10个日历日/工作日内，甲方向乙方支付至合同总价款的100%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3.00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保障政府采购电子化交易平台项目实施，供应商需要在线提交所有通过电子化交易平台实施的政府采购项目的响应文件，同时，中标单位应在项目中标后无偿线下提交响应文件正本壹套、副本贰套、电子版(U盘贰套标明供应商名称，单独密封）。若电子响应文件与纸质响应文件不一致的，以电子响应文件为准，若正本和副本不符，以正本为准。线下递交文件时间：详见本项目磋商公告响应文件递交截止时间：以代理机构通知为准。线下递交文件地点:西安市经济技术开发区赛高国际D座6层603室。 2、如磋商文件中融资相关内容与新政策要求有出入，按照最新要求执行。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提供2026年至今已缴纳的1个月的纳税证明或完税证明，依法免税的单位应提供相关证明材料。此项可提供基本资格条件承诺函。供应商需在项目电子化交易系统中按要求上传相应证明文件并进行电子签章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至今已缴纳的1个月的社会保障资金缴存单据或社保机构开具的社会保险参保缴费情况证明，依法不需要缴纳社会保障资金的单位应提供相关证明材料。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格要求：供应商须具备交通运输主管部门颁发的公路养护工程施工三类及以上资质或具备公路养护作业（路基路面养护乙级及以上资质及交通安全设施养护资质）资质或住建部门颁发的市政公用工程施工总承包三级及以上资质，并具有合法有效的安全生产许可证，合法有效</w:t>
            </w:r>
          </w:p>
        </w:tc>
        <w:tc>
          <w:tcPr>
            <w:tcW w:type="dxa" w:w="3322"/>
          </w:tcPr>
          <w:p>
            <w:pPr>
              <w:pStyle w:val="null3"/>
            </w:pPr>
            <w:r>
              <w:rPr>
                <w:rFonts w:ascii="仿宋_GB2312" w:hAnsi="仿宋_GB2312" w:cs="仿宋_GB2312" w:eastAsia="仿宋_GB2312"/>
              </w:rPr>
              <w:t>供应商须具备交通运输主管部门颁发的公路养护工程施工三类及以上资质或具备公路养护作业（路基路面养护乙级及以上资质及交通安全设施养护资质）资质或住建部门颁发的市政公用工程施工总承包三级及以上资质，并具有合法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履行合同所必需的设备和专业技术能力：提供具有履行合同所必需的设备和专业技术能力的承诺。此项可提供基本资格条件承诺函。供应商需在项目电子化交易系统中按要求上传相应证明文件并进行电子签章。</w:t>
            </w:r>
          </w:p>
        </w:tc>
        <w:tc>
          <w:tcPr>
            <w:tcW w:type="dxa" w:w="3322"/>
          </w:tcPr>
          <w:p>
            <w:pPr>
              <w:pStyle w:val="null3"/>
            </w:pPr>
            <w:r>
              <w:rPr>
                <w:rFonts w:ascii="仿宋_GB2312" w:hAnsi="仿宋_GB2312" w:cs="仿宋_GB2312" w:eastAsia="仿宋_GB2312"/>
              </w:rPr>
              <w:t>履行合同所必需的设备和专业技术能力：提供具有履行合同所必需的设备和专业技术能力的承诺。此项可提供基本资格条件承诺函。供应商需在项目电子化交易系统中按要求上传相应证明文件并进行电子签章。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前三年无重大违法记录声明：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传相应证明文件并进行电子签章。</w:t>
            </w:r>
          </w:p>
        </w:tc>
        <w:tc>
          <w:tcPr>
            <w:tcW w:type="dxa" w:w="3322"/>
          </w:tcPr>
          <w:p>
            <w:pPr>
              <w:pStyle w:val="null3"/>
            </w:pPr>
            <w:r>
              <w:rPr>
                <w:rFonts w:ascii="仿宋_GB2312" w:hAnsi="仿宋_GB2312" w:cs="仿宋_GB2312" w:eastAsia="仿宋_GB2312"/>
              </w:rPr>
              <w:t>前三年无重大违法记录声明：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书及被授权人身份证：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w:t>
            </w:r>
          </w:p>
        </w:tc>
        <w:tc>
          <w:tcPr>
            <w:tcW w:type="dxa" w:w="3322"/>
          </w:tcPr>
          <w:p>
            <w:pPr>
              <w:pStyle w:val="null3"/>
            </w:pPr>
            <w:r>
              <w:rPr>
                <w:rFonts w:ascii="仿宋_GB2312" w:hAnsi="仿宋_GB2312" w:cs="仿宋_GB2312" w:eastAsia="仿宋_GB2312"/>
              </w:rPr>
              <w:t>授权书及被授权人身份证：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w:t>
            </w:r>
          </w:p>
        </w:tc>
        <w:tc>
          <w:tcPr>
            <w:tcW w:type="dxa" w:w="3322"/>
          </w:tcPr>
          <w:p>
            <w:pPr>
              <w:pStyle w:val="null3"/>
            </w:pPr>
            <w:r>
              <w:rPr>
                <w:rFonts w:ascii="仿宋_GB2312" w:hAnsi="仿宋_GB2312" w:cs="仿宋_GB2312" w:eastAsia="仿宋_GB2312"/>
              </w:rPr>
              <w:t>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是否接受联合体投标：本项目不接受联合体投标，供应商需在项目电子化交易系统中按要求上传相应证明文件并进行电子签章。</w:t>
            </w:r>
          </w:p>
        </w:tc>
        <w:tc>
          <w:tcPr>
            <w:tcW w:type="dxa" w:w="3322"/>
          </w:tcPr>
          <w:p>
            <w:pPr>
              <w:pStyle w:val="null3"/>
            </w:pPr>
            <w:r>
              <w:rPr>
                <w:rFonts w:ascii="仿宋_GB2312" w:hAnsi="仿宋_GB2312" w:cs="仿宋_GB2312" w:eastAsia="仿宋_GB2312"/>
              </w:rPr>
              <w:t>是否接受联合体投标：本项目不接受联合体投标，供应商需在项目电子化交易系统中按要求上传相应证明文件并进行电子签章。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有效的主体资格证明：具有独立承担民事责任能力的法人、其他组织或自然人，并出具合法有效的相关证明材料。供应商需在项目电子化交易系统中按要求上传相应证明文件并进行电子签章。</w:t>
            </w:r>
          </w:p>
        </w:tc>
        <w:tc>
          <w:tcPr>
            <w:tcW w:type="dxa" w:w="3322"/>
          </w:tcPr>
          <w:p>
            <w:pPr>
              <w:pStyle w:val="null3"/>
            </w:pPr>
            <w:r>
              <w:rPr>
                <w:rFonts w:ascii="仿宋_GB2312" w:hAnsi="仿宋_GB2312" w:cs="仿宋_GB2312" w:eastAsia="仿宋_GB2312"/>
              </w:rPr>
              <w:t>有效的主体资格证明：具有独立承担民事责任能力的法人、其他组织或自然人，并出具合法有效的相关证明材料。供应商需在项目电子化交易系统中按要求上传相应证明文件并进行电子签章。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未超过项目最高限价，无选择性报价</w:t>
            </w:r>
          </w:p>
        </w:tc>
        <w:tc>
          <w:tcPr>
            <w:tcW w:type="dxa" w:w="1661"/>
          </w:tcPr>
          <w:p>
            <w:pPr>
              <w:pStyle w:val="null3"/>
            </w:pPr>
            <w:r>
              <w:rPr>
                <w:rFonts w:ascii="仿宋_GB2312" w:hAnsi="仿宋_GB2312" w:cs="仿宋_GB2312" w:eastAsia="仿宋_GB2312"/>
              </w:rPr>
              <w:t>商务应答表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自磋商响应文件递交截止之日起90个日历日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质量要求</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商务应答表 偏离表.docx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法律法规规定的废标情况</w:t>
            </w:r>
          </w:p>
        </w:tc>
        <w:tc>
          <w:tcPr>
            <w:tcW w:type="dxa" w:w="1661"/>
          </w:tcPr>
          <w:p>
            <w:pPr>
              <w:pStyle w:val="null3"/>
            </w:pPr>
            <w:r>
              <w:rPr>
                <w:rFonts w:ascii="仿宋_GB2312" w:hAnsi="仿宋_GB2312" w:cs="仿宋_GB2312" w:eastAsia="仿宋_GB2312"/>
              </w:rPr>
              <w:t>响应文件封面 中小企业声明函 残疾人福利性单位声明函 其他资料.docx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商务响应及合同条款响应</w:t>
            </w:r>
          </w:p>
        </w:tc>
        <w:tc>
          <w:tcPr>
            <w:tcW w:type="dxa" w:w="3322"/>
          </w:tcPr>
          <w:p>
            <w:pPr>
              <w:pStyle w:val="null3"/>
            </w:pPr>
            <w:r>
              <w:rPr>
                <w:rFonts w:ascii="仿宋_GB2312" w:hAnsi="仿宋_GB2312" w:cs="仿宋_GB2312" w:eastAsia="仿宋_GB2312"/>
              </w:rPr>
              <w:t>完全响应</w:t>
            </w:r>
          </w:p>
        </w:tc>
        <w:tc>
          <w:tcPr>
            <w:tcW w:type="dxa" w:w="1661"/>
          </w:tcPr>
          <w:p>
            <w:pPr>
              <w:pStyle w:val="null3"/>
            </w:pPr>
            <w:r>
              <w:rPr>
                <w:rFonts w:ascii="仿宋_GB2312" w:hAnsi="仿宋_GB2312" w:cs="仿宋_GB2312" w:eastAsia="仿宋_GB2312"/>
              </w:rPr>
              <w:t>服务内容及服务邀请应答表 商务应答表 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节能、环保、环境标志产品鼓励优惠政策</w:t>
            </w:r>
          </w:p>
        </w:tc>
        <w:tc>
          <w:tcPr>
            <w:tcW w:type="dxa" w:w="2492"/>
          </w:tcPr>
          <w:p>
            <w:pPr>
              <w:pStyle w:val="null3"/>
            </w:pPr>
            <w:r>
              <w:rPr>
                <w:rFonts w:ascii="仿宋_GB2312" w:hAnsi="仿宋_GB2312" w:cs="仿宋_GB2312" w:eastAsia="仿宋_GB2312"/>
              </w:rPr>
              <w:t>投标产品具有国家节能环保部门提供的认证证书，每提供一个，得1分，本项最高得1分。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vMerge/>
          </w:tcPr>
          <w:p/>
        </w:tc>
        <w:tc>
          <w:tcPr>
            <w:tcW w:type="dxa" w:w="1661"/>
          </w:tcPr>
          <w:p>
            <w:pPr>
              <w:pStyle w:val="null3"/>
            </w:pPr>
            <w:r>
              <w:rPr>
                <w:rFonts w:ascii="仿宋_GB2312" w:hAnsi="仿宋_GB2312" w:cs="仿宋_GB2312" w:eastAsia="仿宋_GB2312"/>
              </w:rPr>
              <w:t>组织方案</w:t>
            </w:r>
          </w:p>
        </w:tc>
        <w:tc>
          <w:tcPr>
            <w:tcW w:type="dxa" w:w="2492"/>
          </w:tcPr>
          <w:p>
            <w:pPr>
              <w:pStyle w:val="null3"/>
            </w:pPr>
            <w:r>
              <w:rPr>
                <w:rFonts w:ascii="仿宋_GB2312" w:hAnsi="仿宋_GB2312" w:cs="仿宋_GB2312" w:eastAsia="仿宋_GB2312"/>
              </w:rPr>
              <w:t>根据供应商提供的施工组织设计方案进行评审，方案至少应包含：施工总体部署、主要工序施工工艺（路面铣刨、重铺、拆除新作等）、质量保证体系及措施、安全保障体系及措施。 1. 方案内容完整，包含上述所有要素，且各项措施具体、可行，有针对性，得15-20分。 2. 方案内容较为完整，包含上述大部分要素，措施基本可行，得7-14分。 3. 方案内容缺失两个及以上关键要素，或措施缺乏可行性，得0-6分。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质量与验收管理方案</w:t>
            </w:r>
          </w:p>
        </w:tc>
        <w:tc>
          <w:tcPr>
            <w:tcW w:type="dxa" w:w="2492"/>
          </w:tcPr>
          <w:p>
            <w:pPr>
              <w:pStyle w:val="null3"/>
            </w:pPr>
            <w:r>
              <w:rPr>
                <w:rFonts w:ascii="仿宋_GB2312" w:hAnsi="仿宋_GB2312" w:cs="仿宋_GB2312" w:eastAsia="仿宋_GB2312"/>
              </w:rPr>
              <w:t>1. 提供详细的质量检查、验收流程及记录表样。方案明确各工序验收标准、责任人及资料归档要求，得7-10分，但流程或记录表不够清晰，得4-6分。 3. 方案不完整或缺失，得0-3分。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 项目负责人：具有市政或公路工程相关专业中级及以上职称，得2分。 2. 专职安全管理人员：提供有效的安全生产考核合格证书（C证），得2分。 3. 技术负责人：具有市政或公路工程相关专业中级及以上职称，得2分。 4. 为拟投入本项目所有人员购买意外伤害保险，提供承诺函（格式自拟），得2分。 （以上均需提供相关证书复印件或承诺函并加盖公章）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项目人员组成.docx</w:t>
            </w:r>
          </w:p>
        </w:tc>
      </w:tr>
      <w:tr>
        <w:tc>
          <w:tcPr>
            <w:tcW w:type="dxa" w:w="831"/>
            <w:vMerge/>
          </w:tcPr>
          <w:p/>
        </w:tc>
        <w:tc>
          <w:tcPr>
            <w:tcW w:type="dxa" w:w="1661"/>
          </w:tcPr>
          <w:p>
            <w:pPr>
              <w:pStyle w:val="null3"/>
            </w:pPr>
            <w:r>
              <w:rPr>
                <w:rFonts w:ascii="仿宋_GB2312" w:hAnsi="仿宋_GB2312" w:cs="仿宋_GB2312" w:eastAsia="仿宋_GB2312"/>
              </w:rPr>
              <w:t>机械设备配置</w:t>
            </w:r>
          </w:p>
        </w:tc>
        <w:tc>
          <w:tcPr>
            <w:tcW w:type="dxa" w:w="2492"/>
          </w:tcPr>
          <w:p>
            <w:pPr>
              <w:pStyle w:val="null3"/>
            </w:pPr>
            <w:r>
              <w:rPr>
                <w:rFonts w:ascii="仿宋_GB2312" w:hAnsi="仿宋_GB2312" w:cs="仿宋_GB2312" w:eastAsia="仿宋_GB2312"/>
              </w:rPr>
              <w:t>1. 承诺为本项目投入铣刨机、摊铺机、压路机、沥青洒布车等主要设备，且提供自有设备发票或租赁合同（含意向书）复印件，得7分。 2. 仅提供设备清单但无证明材料，得3分。 3. 未提供设备清单或无证明材料，得0分。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2023年1月1日至今（以合同签订时间为准），供应商承担过公路养护工程或类似市政道路维修工程业绩，每提供一个得4分，满分12分。 （响应文件中须提供中标通知书和合同复印件并加盖公章）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近年承接的类似项目情况表.docx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 承诺按时完成养护任务，并提交详细进度计划表，得2分。 2. 承诺养护过程符合国家、省、行业相关技术规范及标准，得2分。 3. 承诺提供合同期限内7x24小时应急服务响应，得2分。 （提供承诺函，格式自拟）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履约能力评价</w:t>
            </w:r>
          </w:p>
        </w:tc>
        <w:tc>
          <w:tcPr>
            <w:tcW w:type="dxa" w:w="2492"/>
          </w:tcPr>
          <w:p>
            <w:pPr>
              <w:pStyle w:val="null3"/>
            </w:pPr>
            <w:r>
              <w:rPr>
                <w:rFonts w:ascii="仿宋_GB2312" w:hAnsi="仿宋_GB2312" w:cs="仿宋_GB2312" w:eastAsia="仿宋_GB2312"/>
              </w:rPr>
              <w:t>供应商提供针对本项目的施工进度计划表（甘特图/横道图）得3分；提供完整的质量检验制度及记录表单模板得3分。提供即得分，不提供不得分。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满足磋商文件要求且磋商价格最低的磋商报价为评审基准价，其价格分为满分。其他投标供应商的价格分统一按照下列公式计算：投标报价得分=（评标基准价/投标报价）×30%×100 计算分数时四舍五入取小数点后两位。 注：1、评委会二分之一以上专家认为供应商的报价明显低于其他供应商的报价，可能影响工程质量或者不能诚信履约的，应当要求其在评标现场合理的时间内提供书面说明，必要时提交相关证明材料；供应商不能证明其报价合理性的，评标委员会应当将其作为无效处理。 2、（根据《政府采购促进中小企业发展暂行办法》的相关规定，对小型和微型企业制造（生产）产品的价格给予10%的扣除，用扣除后的价格参与评审）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详见附件：近年承接的类似项目情况表.docx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详见附件：项目人员组成.docx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详见附件：阁高路合同.docx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