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版本号：SYCG-CS-2601220260513001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三原县人武部兵役工作站及库房建设项目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SYCG-CS-26012</w:t>
      </w:r>
      <w:r>
        <w:br/>
      </w:r>
      <w:r>
        <w:br/>
      </w:r>
      <w:r>
        <w:br/>
      </w:r>
    </w:p>
    <w:p>
      <w:pPr>
        <w:pStyle w:val="null3"/>
        <w:jc w:val="center"/>
        <w:outlineLvl w:val="2"/>
      </w:pPr>
      <w:r>
        <w:rPr>
          <w:rFonts w:ascii="仿宋_GB2312" w:hAnsi="仿宋_GB2312" w:cs="仿宋_GB2312" w:eastAsia="仿宋_GB2312"/>
          <w:sz w:val="28"/>
          <w:b/>
        </w:rPr>
        <w:t>三原县机关事务管理局</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三原县机关事务管理局</w:t>
      </w:r>
      <w:r>
        <w:rPr>
          <w:rFonts w:ascii="仿宋_GB2312" w:hAnsi="仿宋_GB2312" w:cs="仿宋_GB2312" w:eastAsia="仿宋_GB2312"/>
        </w:rPr>
        <w:t>委托，拟对</w:t>
      </w:r>
      <w:r>
        <w:rPr>
          <w:rFonts w:ascii="仿宋_GB2312" w:hAnsi="仿宋_GB2312" w:cs="仿宋_GB2312" w:eastAsia="仿宋_GB2312"/>
        </w:rPr>
        <w:t>三原县人武部兵役工作站及库房建设项目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SYCG-CS-26012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三原县人武部兵役工作站及库房建设项目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是为适应新时代新要求，加快推进兵役退役军人工作服务站运行制度化、规范化、常态化，构建“为战谋战、布局合理、管理规范、保障有力”的规范化库室，有力推动全县国防动员和后备力量建设，创建一流窗口人武部，拟建设约100㎡的工作服务大厅和约260㎡规范化综合库室，总建筑面积约380㎡，建设内容包含土建工程、电气工程、给排水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采购包1（三原县人武部兵役工作站及库房建设项目）：属于专门面向中小企业采购。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2、法定代表人授权委托书：法定代表人授权委托书（附法定代表人身份证复印件及被授权人身份证复印件）；法定代表 人直接参加投标只须提供法定代表人资格证明书（附法定代表人身份证复印件）；采购文件凡是法定代表人之处，非法人单位的负责人均参照执行；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3、财务状况报告：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4、税收缴纳证明：提供截止开标日期以前六个月以内已缴纳的任意一个月的纳税证明或完税证明（时间以税款所属日期为准、税种须包含增值税或企业所得税），依法免税的单位应提供相关证明材料。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5、社会保障资金缴纳证明：提供截止开标日期以前六个月以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6、专业技术能力：提供具有履行本合同所必需的设备和专业技术能力的声明</w:t>
      </w:r>
    </w:p>
    <w:p>
      <w:pPr>
        <w:pStyle w:val="null3"/>
      </w:pPr>
      <w:r>
        <w:rPr>
          <w:rFonts w:ascii="仿宋_GB2312" w:hAnsi="仿宋_GB2312" w:cs="仿宋_GB2312" w:eastAsia="仿宋_GB2312"/>
        </w:rPr>
        <w:t>7、信用中国：不得为“信用中国”网站(http://www.creditchina.gov.cn)列入“失信被执行人（ 页面跳转至“中国执行信息公开网”http://zxgk.court.gov.cn/shixin/）、重大税 收违法失信主体、政府采购严重违法失信行为记录名单”的供应商；不得为中国政府采购网(http://www.ccgp.gov.cn)“政府采购严重违法失信行为记录名单”中的 供应商；</w:t>
      </w:r>
    </w:p>
    <w:p>
      <w:pPr>
        <w:pStyle w:val="null3"/>
      </w:pPr>
      <w:r>
        <w:rPr>
          <w:rFonts w:ascii="仿宋_GB2312" w:hAnsi="仿宋_GB2312" w:cs="仿宋_GB2312" w:eastAsia="仿宋_GB2312"/>
        </w:rPr>
        <w:t>8、无重大违法声明：供应商参加采购活动近3年内经营活动中没有重大违法记录声明，以及未被列入失信被执行人、重大税收违法案件当事人名单、政府采购严重违法失信行为记录名单的书面声明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9、非联合体声明：本项目不接受联合体投标，单位负责人为同一人或者存在直接控股、管理关系的不 同投标人，不得参加同一合同项下的政府采购活动（提供非联合体投标声明，包括 控股管理声明）</w:t>
      </w:r>
    </w:p>
    <w:p>
      <w:pPr>
        <w:pStyle w:val="null3"/>
      </w:pPr>
      <w:r>
        <w:rPr>
          <w:rFonts w:ascii="仿宋_GB2312" w:hAnsi="仿宋_GB2312" w:cs="仿宋_GB2312" w:eastAsia="仿宋_GB2312"/>
        </w:rPr>
        <w:t>10、公司资质：供应商具备建设行政主管部门颁发的建筑工程施工总承包三级（含三级）以上资质并具有有效的安全生产许可证</w:t>
      </w:r>
    </w:p>
    <w:p>
      <w:pPr>
        <w:pStyle w:val="null3"/>
      </w:pPr>
      <w:r>
        <w:rPr>
          <w:rFonts w:ascii="仿宋_GB2312" w:hAnsi="仿宋_GB2312" w:cs="仿宋_GB2312" w:eastAsia="仿宋_GB2312"/>
        </w:rPr>
        <w:t>11、项目经理资质：拟派往项目经理须具备建筑工程专业二级及以上注册建造师执业资格，并持有有效的安全生产考核合格证书（B证），且未担任其他在建工程项目的项目经理。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三原县机关事务管理局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三原县县委院内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三原县机关事务管理局经办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029-32281808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采购包1：768,775.27元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三原县机关事务管理局</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三原县机关事务管理局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三原县机关事务管理局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以采购需求、预算清单、合同约定及国家现行建筑工程施工规范为依据，对工程建设内容、质量、功能、安全等进行全面核查，供应商须全面履行合同约定义务，工程质量合格且符合招标文件及合同要求方可通过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768,775.27</w:t>
      </w:r>
    </w:p>
    <w:p>
      <w:pPr>
        <w:pStyle w:val="null3"/>
      </w:pPr>
      <w:r>
        <w:rPr>
          <w:rFonts w:ascii="仿宋_GB2312" w:hAnsi="仿宋_GB2312" w:cs="仿宋_GB2312" w:eastAsia="仿宋_GB2312"/>
        </w:rPr>
        <w:t>采购包最高限价（元）: 768,775.27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包含工作服务大厅及规范化综合库室</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768,775.27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标的名称：包含工作服务大厅及规范化综合库室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1.本项目总建筑面积约 380㎡，包含约 100㎡工作服务大厅、约 260㎡规范化综合库室，须完成土建工程、电气工程、给排水工程全部施工内容，满足指挥通信、防暴处突、抗洪抢险、防火抗震等使用功能。</w:t>
            </w:r>
          </w:p>
          <w:p>
            <w:pPr>
              <w:pStyle w:val="null3"/>
            </w:pPr>
            <w:r>
              <w:rPr>
                <w:rFonts w:ascii="仿宋_GB2312" w:hAnsi="仿宋_GB2312" w:cs="仿宋_GB2312" w:eastAsia="仿宋_GB2312"/>
              </w:rPr>
              <w:t>2.工程施工须符合国家现行建筑工程施工质量验收统一标准、规范及施工图要求，施工工艺、材料质量、结构安全均达到合格标准。</w:t>
            </w:r>
          </w:p>
          <w:p>
            <w:pPr>
              <w:pStyle w:val="null3"/>
            </w:pPr>
            <w:r>
              <w:rPr>
                <w:rFonts w:ascii="仿宋_GB2312" w:hAnsi="仿宋_GB2312" w:cs="仿宋_GB2312" w:eastAsia="仿宋_GB2312"/>
              </w:rPr>
              <w:t>3.建筑地基基础与主体结构工程须达到设计文件规定的合理使用年限；卫生间、房间、外墙防水工程防渗漏标准不低于 5 年；供热与供冷系统满足 2 个采暖期、供冷期正常使用；电气管线、给排水管道、设备安装及装修工程符合 2 年使用标准。</w:t>
            </w:r>
          </w:p>
          <w:p>
            <w:pPr>
              <w:pStyle w:val="null3"/>
            </w:pPr>
            <w:r>
              <w:rPr>
                <w:rFonts w:ascii="仿宋_GB2312" w:hAnsi="仿宋_GB2312" w:cs="仿宋_GB2312" w:eastAsia="仿宋_GB2312"/>
              </w:rPr>
              <w:t>4.给排水系统安装规范、通水通畅，无渗漏、堵塞；电气设备安装符合安全规范，线路排布规整，通电正常，满足使用负荷与安全要求。</w:t>
            </w:r>
          </w:p>
          <w:p>
            <w:pPr>
              <w:pStyle w:val="null3"/>
            </w:pPr>
            <w:r>
              <w:rPr>
                <w:rFonts w:ascii="仿宋_GB2312" w:hAnsi="仿宋_GB2312" w:cs="仿宋_GB2312" w:eastAsia="仿宋_GB2312"/>
              </w:rPr>
              <w:t>5.工程完工后须提供完整的施工资料、检验报告、竣工资料等，配合验收，整体工程质量、功能、安全、外观均达到采购人与合同约定要求。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我方承诺，三原县人武部兵役工作站及库房建设项目施工全过程严格执行国家及行业现行技术规范标准，工程质量全面符合国家及行业验收合格标准，满足项目使用功能与安全要求，确保一次性验收合格。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 人直接参加投标只须提供法定代表人资格证明书（附法定代表人身份证复印件）；采购文件凡是法定代表人之处，非法人单位的负责人均参照执行；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提供截止开标日期以前六个月以内已缴纳的任意一个月的纳税证明或完税证明（时间以税款所属日期为准、税种须包含增值税或企业所得税），依法免税的单位应提供相关证明材料。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提供截止开标日期以前六个月以内已缴存的任意一个月的社会保障资金缴存单据或社保机构开具的社会保险参保缴费情况证明，依法不需要缴纳社会保障资金的单位应提供相关证明材料。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 页面跳转至“中国执行信息公开网”http://zxgk.court.gov.cn/shixin/）、重大税 收违法失信主体、政府采购严重违法失信行为记录名单”的供应商；不得为中国政府采购网(http://www.ccgp.gov.cn)“政府采购严重违法失信行为记录名单”中的 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 同投标人，不得参加同一合同项下的政府采购活动（提供非联合体投标声明，包括 控股管理声明）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公司资质</w:t>
            </w:r>
          </w:p>
        </w:tc>
        <w:tc>
          <w:tcPr>
            <w:tcW w:type="dxa" w:w="3322"/>
          </w:tcPr>
          <w:p>
            <w:pPr>
              <w:pStyle w:val="null3"/>
            </w:pPr>
            <w:r>
              <w:rPr>
                <w:rFonts w:ascii="仿宋_GB2312" w:hAnsi="仿宋_GB2312" w:cs="仿宋_GB2312" w:eastAsia="仿宋_GB2312"/>
              </w:rPr>
              <w:t>供应商具备建设行政主管部门颁发的建筑工程施工总承包三级（含三级）以上资质并具有有效的安全生产许可证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拟派往项目经理须具备建筑工程专业二级及以上注册建造师执业资格，并持有有效的安全生产考核合格证书（B证），且未担任其他在建工程项目的项目经理。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报价唯一，且没有超过采购预算(最高限价）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招标有效期是否满足招标最低要求90天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响应文件的签署、加盖印章合格有效；提供的各种证明文件、数据、资料真实有效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针对本项目提供的项目施工方案，内容包括但不限于①前期筹备全面部署②施工流程科学规划及成本控制精准高③安全管理全程覆盖 ④工程质量保证措施⑤施工机械设备配备⑥劳动力计划及主要材料供应计划效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针对本项目提供的项目管理机构及项目经理部组成，内容包括但不限于①项目管理机构②项目经理部组成③专业化项目经理部组建原则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针对本项目确保安全生产的技术组织措施及应急预案，内容包括但不限于①确保安全生产的技术组织措施②应急预案③危险源分级管控与技术防护体系④安全防护与文明施工措施⑤多场景应急处置预案与演练机制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针对本项目确保文明施工的技术措施及环境保护措施，内容包括但不限于①确保文明施工的技术措施②环境保护措施③施工区域标准化封闭管理措施④精细化扬尘与噪音防控技术方案⑤施工废弃物分类处理与资源化利用措施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针对本项目施工进度计划及确保工期的技术措施，内容包括但不限于①施工进度计划②确保工期的技术措施③分阶段精细化施工进度计划编制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针对本项目雨季施工管理防范措施，内容包括但不限于①场地排水系统升级与动态监测措施②工序优化与防雨作业保障机制③雨季施工管理防范措施 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针对本项目垃圾清运方案，内容包括但不限于①清运管控与环境防护措施②垃圾清运方案 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针对本项目服务承诺，内容包括但不限于①服务过程中的相关承诺②投入材料质量承诺③质量保修期内的服务承诺④合理化建议 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3年以来类似项目业绩；每提供1份计2分，最高得8分。业绩证明（以合同或中标/成交通知书为准，须在磋商响应文件中附以上证明材料的扫描件加盖单位公章，原件备查）弄虚作假者，取消其成交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