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7BA02">
      <w:pPr>
        <w:spacing w:line="360" w:lineRule="auto"/>
        <w:jc w:val="center"/>
        <w:rPr>
          <w:rFonts w:hint="eastAsia" w:ascii="宋体" w:hAnsi="宋体" w:eastAsia="宋体" w:cs="宋体"/>
          <w:b/>
          <w:bCs/>
          <w:sz w:val="32"/>
          <w:szCs w:val="32"/>
          <w:u w:val="single"/>
        </w:rPr>
      </w:pPr>
    </w:p>
    <w:p w14:paraId="4F95DE71">
      <w:pPr>
        <w:spacing w:line="360" w:lineRule="auto"/>
        <w:jc w:val="center"/>
        <w:rPr>
          <w:rFonts w:hint="eastAsia" w:ascii="宋体" w:hAnsi="宋体" w:eastAsia="宋体" w:cs="宋体"/>
          <w:b/>
          <w:bCs/>
          <w:sz w:val="32"/>
          <w:szCs w:val="32"/>
          <w:lang w:eastAsia="zh-CN"/>
        </w:rPr>
      </w:pPr>
      <w:r>
        <w:rPr>
          <w:rFonts w:hint="eastAsia" w:ascii="宋体" w:hAnsi="宋体" w:eastAsia="宋体" w:cs="宋体"/>
          <w:b/>
          <w:bCs/>
          <w:sz w:val="32"/>
          <w:szCs w:val="32"/>
          <w:u w:val="single"/>
        </w:rPr>
        <w:t>西安市灞桥区人民法院</w:t>
      </w:r>
      <w:r>
        <w:rPr>
          <w:rFonts w:hint="eastAsia" w:ascii="宋体" w:hAnsi="宋体" w:eastAsia="宋体" w:cs="宋体"/>
          <w:b/>
          <w:bCs/>
          <w:sz w:val="32"/>
          <w:szCs w:val="32"/>
          <w:u w:val="single"/>
          <w:lang w:eastAsia="zh-CN"/>
        </w:rPr>
        <w:t>档案寄存托管服务</w:t>
      </w:r>
    </w:p>
    <w:p w14:paraId="39475545">
      <w:pPr>
        <w:spacing w:line="360" w:lineRule="auto"/>
        <w:rPr>
          <w:rFonts w:hint="eastAsia" w:ascii="宋体" w:hAnsi="宋体" w:eastAsia="宋体" w:cs="宋体"/>
          <w:sz w:val="32"/>
          <w:szCs w:val="32"/>
        </w:rPr>
      </w:pPr>
    </w:p>
    <w:p w14:paraId="6CC26848">
      <w:pPr>
        <w:spacing w:line="360" w:lineRule="auto"/>
        <w:rPr>
          <w:rFonts w:hint="eastAsia" w:ascii="宋体" w:hAnsi="宋体" w:eastAsia="宋体" w:cs="宋体"/>
          <w:sz w:val="32"/>
          <w:szCs w:val="32"/>
        </w:rPr>
      </w:pPr>
    </w:p>
    <w:p w14:paraId="15361BC4">
      <w:pPr>
        <w:spacing w:line="360" w:lineRule="auto"/>
        <w:rPr>
          <w:rFonts w:hint="eastAsia" w:ascii="宋体" w:hAnsi="宋体" w:eastAsia="宋体" w:cs="宋体"/>
          <w:sz w:val="32"/>
          <w:szCs w:val="32"/>
        </w:rPr>
      </w:pPr>
    </w:p>
    <w:p w14:paraId="43DCDE2B">
      <w:pPr>
        <w:spacing w:line="360" w:lineRule="auto"/>
        <w:rPr>
          <w:rFonts w:hint="eastAsia" w:ascii="宋体" w:hAnsi="宋体" w:eastAsia="宋体" w:cs="宋体"/>
          <w:sz w:val="32"/>
          <w:szCs w:val="32"/>
        </w:rPr>
      </w:pPr>
    </w:p>
    <w:p w14:paraId="31595EE0">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（示范文本）</w:t>
      </w:r>
    </w:p>
    <w:p w14:paraId="772FDBE9">
      <w:pPr>
        <w:spacing w:line="360" w:lineRule="auto"/>
        <w:jc w:val="center"/>
        <w:rPr>
          <w:rFonts w:hint="eastAsia" w:ascii="宋体" w:hAnsi="宋体" w:eastAsia="宋体" w:cs="宋体"/>
          <w:b/>
          <w:sz w:val="32"/>
          <w:szCs w:val="32"/>
        </w:rPr>
      </w:pPr>
    </w:p>
    <w:p w14:paraId="70EFE29F">
      <w:pPr>
        <w:spacing w:line="360" w:lineRule="auto"/>
        <w:jc w:val="center"/>
        <w:rPr>
          <w:rFonts w:hint="eastAsia" w:ascii="宋体" w:hAnsi="宋体" w:eastAsia="宋体" w:cs="宋体"/>
          <w:b/>
          <w:sz w:val="32"/>
          <w:szCs w:val="32"/>
        </w:rPr>
      </w:pPr>
    </w:p>
    <w:p w14:paraId="5957F79A">
      <w:pPr>
        <w:spacing w:before="120" w:beforeLines="50" w:line="360" w:lineRule="auto"/>
        <w:rPr>
          <w:rFonts w:hint="eastAsia" w:ascii="宋体" w:hAnsi="宋体" w:eastAsia="宋体" w:cs="宋体"/>
          <w:bCs/>
          <w:sz w:val="32"/>
          <w:szCs w:val="32"/>
        </w:rPr>
      </w:pPr>
    </w:p>
    <w:p w14:paraId="605208F5">
      <w:pPr>
        <w:spacing w:before="120" w:beforeLines="50" w:line="360" w:lineRule="auto"/>
        <w:jc w:val="center"/>
        <w:rPr>
          <w:rFonts w:hint="eastAsia" w:ascii="宋体" w:hAnsi="宋体" w:eastAsia="宋体" w:cs="宋体"/>
          <w:b/>
          <w:bCs/>
          <w:sz w:val="32"/>
          <w:szCs w:val="32"/>
        </w:rPr>
      </w:pPr>
    </w:p>
    <w:p w14:paraId="656B5225">
      <w:pPr>
        <w:pStyle w:val="2"/>
        <w:spacing w:line="360" w:lineRule="auto"/>
        <w:rPr>
          <w:rFonts w:hint="eastAsia" w:ascii="宋体" w:hAnsi="宋体" w:eastAsia="宋体" w:cs="宋体"/>
          <w:sz w:val="32"/>
          <w:szCs w:val="32"/>
        </w:rPr>
      </w:pPr>
    </w:p>
    <w:p w14:paraId="75AE7850">
      <w:pPr>
        <w:pStyle w:val="2"/>
        <w:spacing w:line="360" w:lineRule="auto"/>
        <w:rPr>
          <w:rFonts w:hint="eastAsia" w:ascii="宋体" w:hAnsi="宋体" w:eastAsia="宋体" w:cs="宋体"/>
          <w:sz w:val="32"/>
          <w:szCs w:val="32"/>
        </w:rPr>
      </w:pPr>
    </w:p>
    <w:p w14:paraId="17B26B2B">
      <w:pPr>
        <w:spacing w:line="360" w:lineRule="auto"/>
        <w:rPr>
          <w:rFonts w:hint="eastAsia" w:ascii="宋体" w:hAnsi="宋体" w:eastAsia="宋体" w:cs="宋体"/>
          <w:sz w:val="32"/>
          <w:szCs w:val="32"/>
        </w:rPr>
      </w:pPr>
    </w:p>
    <w:p w14:paraId="0B34E9E6">
      <w:pPr>
        <w:keepNext w:val="0"/>
        <w:keepLines w:val="0"/>
        <w:widowControl/>
        <w:suppressLineNumbers w:val="0"/>
        <w:ind w:firstLine="1928" w:firstLineChars="600"/>
        <w:jc w:val="left"/>
      </w:pPr>
      <w:r>
        <w:rPr>
          <w:rFonts w:hint="eastAsia" w:ascii="宋体" w:hAnsi="宋体" w:eastAsia="宋体" w:cs="宋体"/>
          <w:b/>
          <w:bCs/>
          <w:sz w:val="32"/>
          <w:szCs w:val="32"/>
        </w:rPr>
        <w:t>采购人</w:t>
      </w:r>
      <w:r>
        <w:rPr>
          <w:rFonts w:hint="eastAsia" w:ascii="宋体" w:hAnsi="宋体" w:eastAsia="宋体" w:cs="宋体"/>
          <w:b/>
          <w:bCs/>
          <w:sz w:val="32"/>
          <w:szCs w:val="32"/>
        </w:rPr>
        <w:t xml:space="preserve">： </w:t>
      </w:r>
      <w:r>
        <w:rPr>
          <w:rFonts w:hint="eastAsia" w:ascii="宋体" w:hAnsi="宋体" w:eastAsia="宋体" w:cs="宋体"/>
          <w:b/>
          <w:bCs/>
          <w:sz w:val="32"/>
          <w:szCs w:val="32"/>
          <w:lang w:val="en-US" w:eastAsia="zh-CN"/>
        </w:rPr>
        <w:t>西安市灞桥区人民法院</w:t>
      </w:r>
    </w:p>
    <w:p w14:paraId="5E112248">
      <w:pPr>
        <w:spacing w:line="360" w:lineRule="auto"/>
        <w:ind w:firstLine="1928" w:firstLineChars="600"/>
        <w:rPr>
          <w:rFonts w:hint="eastAsia" w:ascii="宋体" w:hAnsi="宋体" w:eastAsia="宋体" w:cs="宋体"/>
          <w:b/>
          <w:bCs/>
          <w:sz w:val="32"/>
          <w:szCs w:val="32"/>
        </w:rPr>
      </w:pPr>
      <w:r>
        <w:rPr>
          <w:rFonts w:hint="eastAsia" w:ascii="宋体" w:hAnsi="宋体" w:eastAsia="宋体" w:cs="宋体"/>
          <w:b/>
          <w:bCs/>
          <w:sz w:val="32"/>
          <w:szCs w:val="32"/>
        </w:rPr>
        <w:t xml:space="preserve"> </w:t>
      </w:r>
    </w:p>
    <w:p w14:paraId="1324BBF0">
      <w:pPr>
        <w:spacing w:line="360" w:lineRule="auto"/>
        <w:ind w:firstLine="1928" w:firstLineChars="600"/>
        <w:jc w:val="left"/>
        <w:rPr>
          <w:rFonts w:hint="eastAsia" w:ascii="宋体" w:hAnsi="宋体" w:eastAsia="宋体" w:cs="宋体"/>
          <w:b/>
          <w:bCs/>
          <w:sz w:val="32"/>
          <w:szCs w:val="32"/>
          <w:u w:val="single"/>
        </w:rPr>
      </w:pPr>
      <w:r>
        <w:rPr>
          <w:rFonts w:hint="eastAsia" w:ascii="宋体" w:hAnsi="宋体" w:eastAsia="宋体" w:cs="宋体"/>
          <w:b/>
          <w:bCs/>
          <w:sz w:val="32"/>
          <w:szCs w:val="32"/>
        </w:rPr>
        <w:t>供应商：</w:t>
      </w:r>
    </w:p>
    <w:p w14:paraId="7992EE9C">
      <w:pPr>
        <w:spacing w:line="360" w:lineRule="auto"/>
        <w:ind w:firstLine="3534" w:firstLineChars="1100"/>
        <w:rPr>
          <w:rFonts w:hint="eastAsia" w:ascii="宋体" w:hAnsi="宋体" w:eastAsia="宋体" w:cs="宋体"/>
          <w:b/>
          <w:bCs/>
          <w:sz w:val="24"/>
          <w:szCs w:val="24"/>
        </w:rPr>
      </w:pPr>
      <w:r>
        <w:rPr>
          <w:rFonts w:hint="eastAsia" w:ascii="宋体" w:hAnsi="宋体" w:eastAsia="宋体" w:cs="宋体"/>
          <w:b/>
          <w:bCs/>
          <w:sz w:val="32"/>
          <w:szCs w:val="32"/>
        </w:rPr>
        <w:t>二〇二</w:t>
      </w:r>
      <w:r>
        <w:rPr>
          <w:rFonts w:hint="eastAsia" w:ascii="宋体" w:hAnsi="宋体" w:eastAsia="宋体" w:cs="宋体"/>
          <w:b/>
          <w:bCs/>
          <w:sz w:val="32"/>
          <w:szCs w:val="32"/>
          <w:lang w:val="en-US" w:eastAsia="zh-CN"/>
        </w:rPr>
        <w:t>六</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四</w:t>
      </w:r>
      <w:r>
        <w:rPr>
          <w:rFonts w:hint="eastAsia" w:ascii="宋体" w:hAnsi="宋体" w:eastAsia="宋体" w:cs="宋体"/>
          <w:b/>
          <w:bCs/>
          <w:sz w:val="32"/>
          <w:szCs w:val="32"/>
        </w:rPr>
        <w:t>月</w:t>
      </w:r>
      <w:r>
        <w:rPr>
          <w:rFonts w:hint="eastAsia" w:ascii="宋体" w:hAnsi="宋体" w:eastAsia="宋体" w:cs="宋体"/>
          <w:b/>
          <w:bCs/>
          <w:sz w:val="32"/>
          <w:szCs w:val="32"/>
        </w:rPr>
        <w:br w:type="page"/>
      </w:r>
      <w:r>
        <w:rPr>
          <w:rFonts w:hint="eastAsia" w:ascii="宋体" w:hAnsi="宋体" w:eastAsia="宋体" w:cs="宋体"/>
          <w:b/>
          <w:bCs/>
          <w:sz w:val="24"/>
          <w:szCs w:val="24"/>
        </w:rPr>
        <w:t xml:space="preserve">                     第一部分  协议书</w:t>
      </w:r>
    </w:p>
    <w:p w14:paraId="59134412">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bCs/>
          <w:sz w:val="24"/>
          <w:szCs w:val="24"/>
        </w:rPr>
        <w:t>甲方（采购人）：</w:t>
      </w:r>
      <w:r>
        <w:rPr>
          <w:rFonts w:hint="eastAsia" w:ascii="宋体" w:hAnsi="宋体" w:eastAsia="宋体" w:cs="宋体"/>
          <w:bCs/>
          <w:sz w:val="24"/>
          <w:szCs w:val="24"/>
          <w:u w:val="single"/>
        </w:rPr>
        <w:t xml:space="preserve">  西安市灞桥区人民法院</w:t>
      </w:r>
      <w:r>
        <w:rPr>
          <w:rFonts w:hint="eastAsia" w:ascii="宋体" w:hAnsi="宋体" w:eastAsia="宋体" w:cs="宋体"/>
          <w:color w:val="000000"/>
          <w:sz w:val="24"/>
          <w:szCs w:val="24"/>
          <w:u w:val="single"/>
        </w:rPr>
        <w:t xml:space="preserve"> </w:t>
      </w:r>
    </w:p>
    <w:p w14:paraId="5A6906CA">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乙方（成交供应商）：</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 xml:space="preserve"> </w:t>
      </w:r>
    </w:p>
    <w:p w14:paraId="482EB3CF">
      <w:pPr>
        <w:autoSpaceDE w:val="0"/>
        <w:autoSpaceDN w:val="0"/>
        <w:adjustRightInd w:val="0"/>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sz w:val="24"/>
          <w:szCs w:val="24"/>
          <w:u w:val="single"/>
        </w:rPr>
        <w:t>西安市灞桥区人民法院档案寄存托管服务</w:t>
      </w:r>
      <w:r>
        <w:rPr>
          <w:rFonts w:hint="eastAsia" w:ascii="宋体" w:hAnsi="宋体" w:eastAsia="宋体" w:cs="宋体"/>
          <w:bCs/>
          <w:sz w:val="24"/>
          <w:szCs w:val="24"/>
        </w:rPr>
        <w:t>由</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组织公开招标，</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(以下简称“甲方”)确定</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（以下简称“乙方”）为该项目的中标供应商。</w:t>
      </w:r>
    </w:p>
    <w:p w14:paraId="3CC1A9A3">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依据《中华人民共和国民法典》和《中华人民共和国政府采购法》之规定，经双方在平等、自愿、互利的基础上，签订本合同</w:t>
      </w:r>
      <w:bookmarkStart w:id="0" w:name="_GoBack"/>
      <w:bookmarkEnd w:id="0"/>
      <w:r>
        <w:rPr>
          <w:rFonts w:hint="eastAsia" w:ascii="宋体" w:hAnsi="宋体" w:eastAsia="宋体" w:cs="宋体"/>
          <w:bCs/>
          <w:sz w:val="24"/>
          <w:szCs w:val="24"/>
        </w:rPr>
        <w:t>，共同信守。</w:t>
      </w:r>
    </w:p>
    <w:p w14:paraId="1944DC1A">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   服务项目事项</w:t>
      </w:r>
    </w:p>
    <w:p w14:paraId="7366E20A">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经甲乙双方协商，甲方将本单位业务档案及相关工作资料委托乙方进行</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档案安全存管服务，委托服务的项目包括但不限于以下内容：</w:t>
      </w:r>
    </w:p>
    <w:p w14:paraId="19E77AB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1、提供满足国家、省、市档案管理安全防护规定要求的库房。库房坐落于</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277E51A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2、根据甲方要求：乙方提供</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档案安全存管服务。</w:t>
      </w:r>
    </w:p>
    <w:p w14:paraId="6DDD614F">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以上服务项目已经确定的按本合同相关规定执行，尚未开展的按照甲方工作需要由双方另行约定，并签订协议作为本合同的附件和结算依据。</w:t>
      </w:r>
    </w:p>
    <w:p w14:paraId="193D150C">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乙方提供如下服务：</w:t>
      </w:r>
    </w:p>
    <w:p w14:paraId="3395ADE4">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1、根据甲方要求：乙方提供规定数量的历史档案的整理装箱，提供托管诉讼档案的搬迁服务，制作装箱清单资料的人工服务。</w:t>
      </w:r>
    </w:p>
    <w:p w14:paraId="29BCD7DF">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2、根据甲方要求：乙方提供规定数量的定制的档案专用箱及封箱材料。</w:t>
      </w:r>
    </w:p>
    <w:p w14:paraId="730DA35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3、根据甲方要求：乙方提供每月</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次日常调阅服务。</w:t>
      </w:r>
    </w:p>
    <w:p w14:paraId="6B25DFD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4、根据甲方要求：乙方提供档案存量、入库量、调阅量库房管理等档案管理信息报表服务。</w:t>
      </w:r>
    </w:p>
    <w:p w14:paraId="02522C8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5、根据甲方要求：乙方提供档案存放环境监测数据信息报表服务。</w:t>
      </w:r>
    </w:p>
    <w:p w14:paraId="25BF61DE">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6、根据甲方要求：乙方提供档案管理工作的相关的技术服务、人员服务及管理软件服务。</w:t>
      </w:r>
    </w:p>
    <w:p w14:paraId="07A6E6F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7、根据甲方要求：乙方提供档案管理工作服务相关的专用装具、材料。</w:t>
      </w:r>
    </w:p>
    <w:p w14:paraId="302E215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以下尚未开展的服务项目，根据甲方工作要求按实际发生的数量及成本，另行据实结算。</w:t>
      </w:r>
    </w:p>
    <w:p w14:paraId="67F4B9F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1、根据甲方要求：乙方提供超出规定数量的历史档案的整理装箱，制作装箱清单资料的人工服务。</w:t>
      </w:r>
    </w:p>
    <w:p w14:paraId="2F987C4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2、根据甲方要求：乙方提供超出规定的定制的档案专用箱及封箱材料。</w:t>
      </w:r>
    </w:p>
    <w:p w14:paraId="5375615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3、根据甲方要求：乙方提供每月超过</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次日常调阅及加急调阅服务。</w:t>
      </w:r>
    </w:p>
    <w:p w14:paraId="37998908">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    服务期限</w:t>
      </w:r>
    </w:p>
    <w:p w14:paraId="36432F08">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服务期限：</w:t>
      </w:r>
      <w:r>
        <w:rPr>
          <w:rFonts w:hint="eastAsia" w:ascii="宋体" w:hAnsi="宋体" w:eastAsia="宋体" w:cs="宋体"/>
          <w:kern w:val="0"/>
          <w:sz w:val="24"/>
          <w:szCs w:val="24"/>
        </w:rPr>
        <w:t>合同签订生效日期起一年。</w:t>
      </w:r>
    </w:p>
    <w:p w14:paraId="6B993E4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款项结算</w:t>
      </w:r>
    </w:p>
    <w:p w14:paraId="50D122EA">
      <w:pPr>
        <w:pStyle w:val="3"/>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1、合同签订后采购人按寄存量一次性向供应商支付总价款，总价款不超过合同总金额。</w:t>
      </w:r>
    </w:p>
    <w:p w14:paraId="22171A94">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2、结算方式：银行转账。</w:t>
      </w:r>
    </w:p>
    <w:p w14:paraId="00FCDF90">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3、结算单位：乙方需向甲方出具合法有效的完税发票，甲方进行支付结算。</w:t>
      </w:r>
    </w:p>
    <w:p w14:paraId="32A8DB7E">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第四条   甲方的权利及义务 </w:t>
      </w:r>
    </w:p>
    <w:p w14:paraId="34366CD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1、拥有托管档案的所有权并且具有按本合同的条款存储档案的完全自主权。</w:t>
      </w:r>
    </w:p>
    <w:p w14:paraId="53A0AC1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2、有权对乙方存管档案的库房及档案安全防护措施定期进行现场检查（具体时间另行安排），并有权建议乙方及时整改。</w:t>
      </w:r>
    </w:p>
    <w:p w14:paraId="00C40931">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3、按本合同约定入库、出库、查阅托管档案。</w:t>
      </w:r>
    </w:p>
    <w:p w14:paraId="771C465E">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4、按本合同约定支付相关服务费用。</w:t>
      </w:r>
    </w:p>
    <w:p w14:paraId="17377DE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乙方的权利及义务</w:t>
      </w:r>
    </w:p>
    <w:p w14:paraId="60595F07">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乙方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14:paraId="09DE44C5">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2、乙方在档案保管、运输过程中因人为因素造成甲方档案丢失、受损等情况，乙方须承担赔偿责任。甲方有权从未付款项中扣除赔偿金额，赔偿金额包括甲方由此遭受的全部直接损失和间接损失。</w:t>
      </w:r>
    </w:p>
    <w:p w14:paraId="0E960ACD">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3、乙方应对甲方开展的方案库房检查工作进行积极配合。</w:t>
      </w:r>
    </w:p>
    <w:p w14:paraId="45C9C899">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4、对甲方托管的档案履行保密义务，并与甲方签订保密协议书。</w:t>
      </w:r>
    </w:p>
    <w:p w14:paraId="05F722AA">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5、如乙方发生任何违反中华人民共和国的法律法规的事项，或发生违反中华人民共和国档案管理法规的事项，或违反档案管理行业通行规则的事项等，则甲方均有权单方面解除合同。甲方解除合同的，乙方向甲方支付合同价款10%作为违约金。</w:t>
      </w:r>
    </w:p>
    <w:p w14:paraId="1BD43D28">
      <w:pPr>
        <w:spacing w:line="360" w:lineRule="auto"/>
        <w:ind w:firstLine="482" w:firstLineChars="200"/>
        <w:jc w:val="left"/>
        <w:rPr>
          <w:rFonts w:hint="eastAsia" w:ascii="宋体" w:hAnsi="宋体" w:eastAsia="宋体" w:cs="宋体"/>
          <w:bCs/>
          <w:sz w:val="24"/>
          <w:szCs w:val="24"/>
        </w:rPr>
      </w:pPr>
      <w:r>
        <w:rPr>
          <w:rFonts w:hint="eastAsia" w:ascii="宋体" w:hAnsi="宋体" w:eastAsia="宋体" w:cs="宋体"/>
          <w:b/>
          <w:sz w:val="24"/>
          <w:szCs w:val="24"/>
        </w:rPr>
        <w:t>第六条   违约责任、合同终止或解除</w:t>
      </w:r>
    </w:p>
    <w:p w14:paraId="43E10D05">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 xml:space="preserve">甲乙双方应以合同精神为宗旨，合同生效后，双方均应按约履行；守约方有权要求违约方承担继续履行、支付违约金、赔偿损失等违约责任。 </w:t>
      </w:r>
    </w:p>
    <w:p w14:paraId="3FCE5B73">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1、对于档案库房防盗、防火、防漏、防水、防虫、防鼠、防尘、防光、防潮、防腐、防高温等措施不符合国家相关标准的，自甲方发出书面通知后10个工作日内完成整改并达标。</w:t>
      </w:r>
    </w:p>
    <w:p w14:paraId="6BC15F0F">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2、对于库房温湿度等条件不符合国家相关标准的，自甲方发出书面通知后10个工作日内完成整改并达标。</w:t>
      </w:r>
    </w:p>
    <w:p w14:paraId="1EDC90DB">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3、对于其他整改要求，自甲方发出书面通知后，在通知书中记载的合理期限内完成整改并达标。</w:t>
      </w:r>
    </w:p>
    <w:p w14:paraId="68D8F30C">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如乙方违反保密承诺书的规定，发生由乙方或乙方员工导致的泄密，乙方向甲方支付合同价款10%作为违约金并承担由此产生的全部责任。甲方有权从未付款中扣除违约金和赔偿金额，赔偿金额包括甲方由此遭受的全部直接损失。</w:t>
      </w:r>
    </w:p>
    <w:p w14:paraId="10135CEC">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 xml:space="preserve"> 5、除以上情形外，甲乙双方协商一致并签订书面协议，可提前终止本合同。</w:t>
      </w:r>
    </w:p>
    <w:p w14:paraId="7DB05912">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 xml:space="preserve"> 6、如甲乙双方协商提前终止合同或合同有限期满后双方不续签合同，乙方对甲方交存其保管的档案不得留置。任何违约责任或合同终止或解除情况下，甲方拥有托管档案的所有权并且具有按合同的条款存储档案的完全自主权，乙方对甲方交存其保管的档案不得留置。</w:t>
      </w:r>
    </w:p>
    <w:p w14:paraId="495D6392">
      <w:pPr>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第七条   不可抗力</w:t>
      </w:r>
    </w:p>
    <w:p w14:paraId="294073CC">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由于发生不可抗力事件而导致本合同不能继续履行的。双方应及时会商，并在提供相关证明文件后，本合同可提前终止，双方互不承担责任。</w:t>
      </w:r>
    </w:p>
    <w:p w14:paraId="1B3D3C39">
      <w:pPr>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第八条   项目联系人</w:t>
      </w:r>
    </w:p>
    <w:p w14:paraId="7F3FC7C8">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在本合同有限期内，甲乙双方需指定项目联系人，项目联系人承担以下责任：</w:t>
      </w:r>
    </w:p>
    <w:p w14:paraId="7EFBB68C">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1、负责双方的联络工作。</w:t>
      </w:r>
    </w:p>
    <w:p w14:paraId="158840E3">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2、负责完成合同所需条件的准备工作。</w:t>
      </w:r>
    </w:p>
    <w:p w14:paraId="18B4C233">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3、负责合同执行过程中双方相关事物的处理，并定期就执行过程中遇到的问题进行沟通，就沟通内容形成纪要。</w:t>
      </w:r>
    </w:p>
    <w:p w14:paraId="77ABFCCA">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4、负责合同审阅验收、付款等工作。</w:t>
      </w:r>
    </w:p>
    <w:p w14:paraId="5C1AAB55">
      <w:pPr>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第九条    授权</w:t>
      </w:r>
    </w:p>
    <w:p w14:paraId="4327DA1D">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1、甲方向甲方指定人员授权。</w:t>
      </w:r>
    </w:p>
    <w:p w14:paraId="7086ECBB">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1.1甲方向乙方提供授权委托指定人员，乙方只可以向记录在授权表内人员提供服务。乙方在确认被授权人身份后，可提供如资料的查阅、递送、接受、销毁等已经达成协议的服务。</w:t>
      </w:r>
    </w:p>
    <w:p w14:paraId="17B18C5C">
      <w:pPr>
        <w:spacing w:line="360" w:lineRule="auto"/>
        <w:jc w:val="left"/>
        <w:rPr>
          <w:rFonts w:hint="eastAsia" w:ascii="宋体" w:hAnsi="宋体" w:eastAsia="宋体" w:cs="宋体"/>
          <w:bCs/>
          <w:sz w:val="24"/>
          <w:szCs w:val="24"/>
        </w:rPr>
      </w:pPr>
      <w:r>
        <w:rPr>
          <w:rFonts w:hint="eastAsia" w:ascii="宋体" w:hAnsi="宋体" w:eastAsia="宋体" w:cs="宋体"/>
          <w:bCs/>
          <w:sz w:val="24"/>
          <w:szCs w:val="24"/>
        </w:rPr>
        <w:t xml:space="preserve">    1.2甲方应该确保所提供授权表内容的准确性。若甲方未在授权内提供详细信息，乙方有权拒绝向没有在授权表内登记资料不全的甲方人员提供有关数据资料的服务或相关信息。</w:t>
      </w:r>
    </w:p>
    <w:p w14:paraId="3373DD74">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2、甲方向乙方指定人员授权</w:t>
      </w:r>
    </w:p>
    <w:p w14:paraId="39934099">
      <w:pPr>
        <w:spacing w:line="360" w:lineRule="auto"/>
        <w:ind w:firstLine="480" w:firstLineChars="200"/>
        <w:jc w:val="left"/>
        <w:rPr>
          <w:rFonts w:hint="eastAsia" w:ascii="宋体" w:hAnsi="宋体" w:eastAsia="宋体" w:cs="宋体"/>
          <w:bCs/>
          <w:sz w:val="24"/>
          <w:szCs w:val="24"/>
        </w:rPr>
      </w:pPr>
      <w:r>
        <w:rPr>
          <w:rFonts w:hint="eastAsia" w:ascii="宋体" w:hAnsi="宋体" w:eastAsia="宋体" w:cs="宋体"/>
          <w:bCs/>
          <w:sz w:val="24"/>
          <w:szCs w:val="24"/>
        </w:rPr>
        <w:t>甲方向乙方指定人员授权，有根据甲方服务需求打开档案箱解除甲方单件档案的权限。</w:t>
      </w:r>
    </w:p>
    <w:p w14:paraId="083DB7EB">
      <w:pPr>
        <w:spacing w:line="360" w:lineRule="auto"/>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第十条    通知和送达</w:t>
      </w:r>
    </w:p>
    <w:p w14:paraId="1471FFDF">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bCs/>
          <w:sz w:val="24"/>
          <w:szCs w:val="24"/>
        </w:rPr>
        <w:t>一方按照合同所示地址发送给另一方的通知或信件于送达时视为到达。更改地址、执照内容、项目联系人、授权调阅人需在24小时内书面通知对方。否则任何一方按照本合同约定的地址及项目联系人所发出的有关书面/邮件通知，均视为送达对方。</w:t>
      </w:r>
    </w:p>
    <w:p w14:paraId="51B20BDB">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第十一条    其他事项</w:t>
      </w:r>
    </w:p>
    <w:p w14:paraId="18B6CDC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（一）乙方不得转让、分包给其它单位或个人。</w:t>
      </w:r>
    </w:p>
    <w:p w14:paraId="18A53928">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（二）乙方的投标文件和承诺等内容将列入合同。</w:t>
      </w:r>
    </w:p>
    <w:p w14:paraId="1F7D7E98">
      <w:pPr>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第十二条    验收</w:t>
      </w:r>
    </w:p>
    <w:p w14:paraId="1C3A9882">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（一）本项目验收费用，由乙方自行承担。</w:t>
      </w:r>
    </w:p>
    <w:p w14:paraId="4E0533C1">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二）服务期满后，由乙方向甲方递交验收通知书，经甲方确认后，组织乙方进行系统验收（必要时采购人可委托具有相关资质的第三方检测机构/技术专家对本次服务进行系统验收，需要国家法定检验部门进行检验或验收的由乙方负责联系）。验收合格后，填写政府采购项目验收单作为对本次服务的最终认可。</w:t>
      </w:r>
    </w:p>
    <w:p w14:paraId="770C0AD5">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（三）验收依据：</w:t>
      </w:r>
    </w:p>
    <w:p w14:paraId="39A60388">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1、本合同及附加文本；</w:t>
      </w:r>
    </w:p>
    <w:p w14:paraId="3DFFE9A3">
      <w:pPr>
        <w:autoSpaceDE w:val="0"/>
        <w:autoSpaceDN w:val="0"/>
        <w:adjustRightInd w:val="0"/>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2、招标文件、成交供应商的投标文件及澄清（承诺）函；</w:t>
      </w:r>
    </w:p>
    <w:p w14:paraId="1F7BF683">
      <w:pPr>
        <w:snapToGri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3、国家相应的标准、规范。</w:t>
      </w:r>
    </w:p>
    <w:p w14:paraId="6A1C8202">
      <w:pPr>
        <w:snapToGrid w:val="0"/>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第十三条    违约责任</w:t>
      </w:r>
    </w:p>
    <w:p w14:paraId="037DDDE2">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w:t>
      </w:r>
      <w:r>
        <w:rPr>
          <w:rFonts w:hint="eastAsia" w:ascii="宋体" w:hAnsi="宋体" w:eastAsia="宋体" w:cs="宋体"/>
          <w:bCs/>
          <w:sz w:val="24"/>
          <w:szCs w:val="24"/>
        </w:rPr>
        <w:t>中华人民共和国民法典</w:t>
      </w:r>
      <w:r>
        <w:rPr>
          <w:rFonts w:hint="eastAsia" w:ascii="宋体" w:hAnsi="宋体" w:eastAsia="宋体" w:cs="宋体"/>
          <w:sz w:val="24"/>
          <w:szCs w:val="24"/>
        </w:rPr>
        <w:t>》中的相关条款执行。</w:t>
      </w:r>
    </w:p>
    <w:p w14:paraId="4AF9D770">
      <w:pPr>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1FB0D03E">
      <w:pPr>
        <w:autoSpaceDE w:val="0"/>
        <w:autoSpaceDN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第十四条    合同生效</w:t>
      </w:r>
    </w:p>
    <w:p w14:paraId="23BF8A95">
      <w:pPr>
        <w:autoSpaceDE w:val="0"/>
        <w:autoSpaceDN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（一）本合同须经甲、乙双方的法定代表人（授权代表）在合同书上签字并加盖本单位公章后正式生效。</w:t>
      </w:r>
    </w:p>
    <w:p w14:paraId="2B2A20A9">
      <w:pPr>
        <w:autoSpaceDE w:val="0"/>
        <w:autoSpaceDN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00293798">
      <w:pPr>
        <w:autoSpaceDE w:val="0"/>
        <w:autoSpaceDN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份，甲乙双方各执</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14:paraId="05A94B1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（四）本合同如有未尽事宜，甲、乙双方协商解决。</w:t>
      </w:r>
    </w:p>
    <w:p w14:paraId="4E2BCDA2">
      <w:pPr>
        <w:pStyle w:val="4"/>
        <w:numPr>
          <w:ilvl w:val="3"/>
          <w:numId w:val="0"/>
        </w:numPr>
        <w:spacing w:line="360" w:lineRule="auto"/>
        <w:ind w:leftChars="0"/>
        <w:rPr>
          <w:rFonts w:hint="eastAsia" w:ascii="宋体" w:hAnsi="宋体" w:eastAsia="宋体" w:cs="宋体"/>
          <w:sz w:val="24"/>
          <w:szCs w:val="24"/>
        </w:rPr>
      </w:pPr>
    </w:p>
    <w:p w14:paraId="30A26762">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采购人：</w:t>
      </w:r>
      <w:r>
        <w:rPr>
          <w:rFonts w:hint="eastAsia" w:ascii="宋体" w:hAnsi="宋体" w:eastAsia="宋体" w:cs="宋体"/>
          <w:sz w:val="24"/>
          <w:szCs w:val="24"/>
          <w:u w:val="single"/>
        </w:rPr>
        <w:t xml:space="preserve">   （盖章）      </w:t>
      </w:r>
      <w:r>
        <w:rPr>
          <w:rFonts w:hint="eastAsia" w:ascii="宋体" w:hAnsi="宋体" w:eastAsia="宋体" w:cs="宋体"/>
          <w:sz w:val="24"/>
          <w:szCs w:val="24"/>
        </w:rPr>
        <w:t xml:space="preserve">            供应商：</w:t>
      </w:r>
      <w:r>
        <w:rPr>
          <w:rFonts w:hint="eastAsia" w:ascii="宋体" w:hAnsi="宋体" w:eastAsia="宋体" w:cs="宋体"/>
          <w:sz w:val="24"/>
          <w:szCs w:val="24"/>
          <w:u w:val="single"/>
        </w:rPr>
        <w:t xml:space="preserve">   （盖章）         </w:t>
      </w:r>
    </w:p>
    <w:p w14:paraId="3EFEE55E">
      <w:pPr>
        <w:adjustRightInd w:val="0"/>
        <w:snapToGrid w:val="0"/>
        <w:spacing w:line="360" w:lineRule="auto"/>
        <w:ind w:firstLine="475" w:firstLineChars="198"/>
        <w:rPr>
          <w:rFonts w:hint="eastAsia" w:ascii="宋体" w:hAnsi="宋体" w:eastAsia="宋体" w:cs="宋体"/>
          <w:sz w:val="24"/>
          <w:szCs w:val="24"/>
          <w:u w:val="single"/>
        </w:rPr>
      </w:pPr>
      <w:r>
        <w:rPr>
          <w:rFonts w:hint="eastAsia" w:ascii="宋体" w:hAnsi="宋体" w:eastAsia="宋体" w:cs="宋体"/>
          <w:sz w:val="24"/>
          <w:szCs w:val="24"/>
        </w:rPr>
        <w:t xml:space="preserve">地 址：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地  址：</w:t>
      </w:r>
      <w:r>
        <w:rPr>
          <w:rFonts w:hint="eastAsia" w:ascii="宋体" w:hAnsi="宋体" w:eastAsia="宋体" w:cs="宋体"/>
          <w:sz w:val="24"/>
          <w:szCs w:val="24"/>
          <w:u w:val="single"/>
        </w:rPr>
        <w:t xml:space="preserve">                    </w:t>
      </w:r>
    </w:p>
    <w:p w14:paraId="7A563760">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 xml:space="preserve">法定代表人或其授权                   法定代表人或其授权 </w:t>
      </w:r>
    </w:p>
    <w:p w14:paraId="7C32FF3A">
      <w:pPr>
        <w:adjustRightInd w:val="0"/>
        <w:snapToGrid w:val="0"/>
        <w:spacing w:line="360" w:lineRule="auto"/>
        <w:ind w:firstLine="475" w:firstLineChars="198"/>
        <w:rPr>
          <w:rFonts w:hint="eastAsia" w:ascii="宋体" w:hAnsi="宋体" w:eastAsia="宋体" w:cs="宋体"/>
          <w:sz w:val="24"/>
          <w:szCs w:val="24"/>
        </w:rPr>
      </w:pPr>
      <w:r>
        <w:rPr>
          <w:rFonts w:hint="eastAsia" w:ascii="宋体" w:hAnsi="宋体" w:eastAsia="宋体" w:cs="宋体"/>
          <w:sz w:val="24"/>
          <w:szCs w:val="24"/>
        </w:rPr>
        <w:t>的代理人：</w:t>
      </w:r>
      <w:r>
        <w:rPr>
          <w:rFonts w:hint="eastAsia" w:ascii="宋体" w:hAnsi="宋体" w:eastAsia="宋体" w:cs="宋体"/>
          <w:sz w:val="24"/>
          <w:szCs w:val="24"/>
          <w:u w:val="single"/>
        </w:rPr>
        <w:t xml:space="preserve">（签字）      </w:t>
      </w:r>
      <w:r>
        <w:rPr>
          <w:rFonts w:hint="eastAsia" w:ascii="宋体" w:hAnsi="宋体" w:eastAsia="宋体" w:cs="宋体"/>
          <w:sz w:val="24"/>
          <w:szCs w:val="24"/>
        </w:rPr>
        <w:t xml:space="preserve">             的代理人：</w:t>
      </w:r>
      <w:r>
        <w:rPr>
          <w:rFonts w:hint="eastAsia" w:ascii="宋体" w:hAnsi="宋体" w:eastAsia="宋体" w:cs="宋体"/>
          <w:sz w:val="24"/>
          <w:szCs w:val="24"/>
          <w:u w:val="single"/>
        </w:rPr>
        <w:t xml:space="preserve">（签字）           </w:t>
      </w:r>
    </w:p>
    <w:p w14:paraId="2F485ECC">
      <w:pPr>
        <w:ind w:firstLine="480" w:firstLineChars="200"/>
        <w:rPr>
          <w:rFonts w:hint="eastAsia" w:ascii="宋体" w:hAnsi="宋体" w:eastAsia="宋体" w:cs="宋体"/>
        </w:rPr>
      </w:pPr>
      <w:r>
        <w:rPr>
          <w:rFonts w:hint="eastAsia" w:ascii="宋体" w:hAnsi="宋体" w:eastAsia="宋体" w:cs="宋体"/>
          <w:sz w:val="24"/>
          <w:szCs w:val="24"/>
        </w:rPr>
        <w:t>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订立时间：</w:t>
      </w:r>
      <w:r>
        <w:rPr>
          <w:rFonts w:hint="eastAsia" w:ascii="宋体" w:hAnsi="宋体" w:eastAsia="宋体" w:cs="宋体"/>
          <w:sz w:val="24"/>
          <w:szCs w:val="24"/>
          <w:u w:val="single"/>
        </w:rPr>
        <w:t xml:space="preserve">                 </w:t>
      </w:r>
    </w:p>
    <w:p w14:paraId="7EE32B99">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4"/>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9F2D68"/>
    <w:rsid w:val="71AD7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annotation text"/>
    <w:basedOn w:val="1"/>
    <w:qFormat/>
    <w:uiPriority w:val="0"/>
    <w:pPr>
      <w:jc w:val="left"/>
    </w:pPr>
  </w:style>
  <w:style w:type="paragraph" w:styleId="4">
    <w:name w:val="Body Text"/>
    <w:basedOn w:val="1"/>
    <w:uiPriority w:val="0"/>
    <w:pPr>
      <w:numPr>
        <w:ilvl w:val="3"/>
        <w:numId w:val="1"/>
      </w:numPr>
      <w:spacing w:line="460" w:lineRule="exact"/>
    </w:pPr>
    <w:rPr>
      <w:rFonts w:cs="Times New Roman"/>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2026-04-20T09:54:46Z</dcterms:created>
  <dc:creator>LIKE</dc:creator>
  <cp:lastModifiedBy>WPS_1677747551</cp:lastModifiedBy>
  <dcterms:modified xsi:type="dcterms:W3CDTF">2026-04-20T10:00:02Z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eyJoZGlkIjoiYzI3ODE1NDViNmVkMWMxYzM2ZTNlYWRjNTljYzA3MWYiLCJ1c2VySWQiOiIxNDc3MTY5NjI0In0=</vt:lpwstr>
  </property>
  <property fmtid="{D5CDD505-2E9C-101B-9397-08002B2CF9AE}" pid="4" name="ICV">
    <vt:lpwstr>7F4CEABDA331455AAC3C1A9BB0DC3EE2_12</vt:lpwstr>
  </property>
</Properties>
</file>