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65"/>
        <w:gridCol w:w="1036"/>
        <w:gridCol w:w="6693"/>
      </w:tblGrid>
      <w:tr w14:paraId="13FE1E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65" w:type="dxa"/>
          </w:tcPr>
          <w:p w14:paraId="04140EBA">
            <w:pPr>
              <w:pStyle w:val="5"/>
              <w:jc w:val="center"/>
            </w:pPr>
            <w:r>
              <w:rPr>
                <w:rFonts w:ascii="仿宋_GB2312" w:hAnsi="仿宋_GB2312" w:eastAsia="仿宋_GB2312" w:cs="仿宋_GB2312"/>
              </w:rPr>
              <w:t>序号</w:t>
            </w:r>
          </w:p>
        </w:tc>
        <w:tc>
          <w:tcPr>
            <w:tcW w:w="1036" w:type="dxa"/>
          </w:tcPr>
          <w:p w14:paraId="5BEC8855">
            <w:pPr>
              <w:pStyle w:val="5"/>
              <w:jc w:val="center"/>
            </w:pPr>
            <w:r>
              <w:rPr>
                <w:rFonts w:ascii="仿宋_GB2312" w:hAnsi="仿宋_GB2312" w:eastAsia="仿宋_GB2312" w:cs="仿宋_GB2312"/>
              </w:rPr>
              <w:t>参数性质</w:t>
            </w:r>
          </w:p>
        </w:tc>
        <w:tc>
          <w:tcPr>
            <w:tcW w:w="6606" w:type="dxa"/>
          </w:tcPr>
          <w:p w14:paraId="2497CB0F">
            <w:pPr>
              <w:pStyle w:val="5"/>
              <w:jc w:val="center"/>
            </w:pPr>
            <w:r>
              <w:rPr>
                <w:rFonts w:ascii="仿宋_GB2312" w:hAnsi="仿宋_GB2312" w:eastAsia="仿宋_GB2312" w:cs="仿宋_GB2312"/>
              </w:rPr>
              <w:t>技术参数与性能指标</w:t>
            </w:r>
          </w:p>
        </w:tc>
      </w:tr>
      <w:tr w14:paraId="76A6F86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65" w:type="dxa"/>
          </w:tcPr>
          <w:p w14:paraId="0459FA0F">
            <w:pPr>
              <w:pStyle w:val="5"/>
              <w:jc w:val="center"/>
            </w:pPr>
            <w:r>
              <w:rPr>
                <w:rFonts w:ascii="仿宋_GB2312" w:hAnsi="仿宋_GB2312" w:eastAsia="仿宋_GB2312" w:cs="仿宋_GB2312"/>
              </w:rPr>
              <w:t>1</w:t>
            </w:r>
          </w:p>
        </w:tc>
        <w:tc>
          <w:tcPr>
            <w:tcW w:w="1036" w:type="dxa"/>
          </w:tcPr>
          <w:p w14:paraId="30CECE69">
            <w:pPr>
              <w:pStyle w:val="5"/>
              <w:jc w:val="center"/>
              <w:rPr>
                <w:rFonts w:ascii="仿宋_GB2312" w:hAnsi="仿宋_GB2312" w:eastAsia="仿宋_GB2312" w:cs="仿宋_GB2312"/>
              </w:rPr>
            </w:pPr>
          </w:p>
        </w:tc>
        <w:tc>
          <w:tcPr>
            <w:tcW w:w="6606" w:type="dxa"/>
          </w:tcPr>
          <w:p w14:paraId="76B09834">
            <w:pPr>
              <w:pStyle w:val="5"/>
              <w:jc w:val="left"/>
              <w:rPr>
                <w:rFonts w:hint="eastAsia" w:ascii="仿宋_GB2312" w:hAnsi="仿宋_GB2312" w:eastAsia="仿宋_GB2312" w:cs="仿宋_GB2312"/>
              </w:rPr>
            </w:pPr>
            <w:r>
              <w:rPr>
                <w:rFonts w:hint="eastAsia" w:ascii="仿宋_GB2312" w:hAnsi="仿宋_GB2312" w:eastAsia="仿宋_GB2312" w:cs="仿宋_GB2312"/>
              </w:rPr>
              <w:t>一、项目概况</w:t>
            </w:r>
          </w:p>
          <w:p w14:paraId="621BD965">
            <w:pPr>
              <w:pStyle w:val="5"/>
              <w:jc w:val="left"/>
              <w:rPr>
                <w:rFonts w:ascii="仿宋_GB2312" w:hAnsi="仿宋_GB2312" w:eastAsia="仿宋_GB2312" w:cs="仿宋_GB2312"/>
              </w:rPr>
            </w:pPr>
            <w:r>
              <w:rPr>
                <w:rFonts w:hint="eastAsia" w:ascii="仿宋_GB2312" w:hAnsi="仿宋_GB2312" w:eastAsia="仿宋_GB2312" w:cs="仿宋_GB2312"/>
              </w:rPr>
              <w:t>收费公路通行费电子票据业务服务通过采购专业服务机构的信息化服务，实现电子票据客服、申领、分发、开具、存档管理，满足通行费电子票据服务综合需求。通过专业化服务采购，提升全省政府还贷一级公路通行费电子票据公共服务水平，为用户提供便捷、高效的电子票据获取与使用体验；同时借助服务方的专业能力，降低项目整体运营成本，并强化财政票据全流程监管，保障票据使用的合规性，助力财政票据管理工作规范化、高效化开展。</w:t>
            </w:r>
          </w:p>
        </w:tc>
      </w:tr>
      <w:tr w14:paraId="474C0C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65" w:type="dxa"/>
          </w:tcPr>
          <w:p w14:paraId="5DF74BBB">
            <w:pPr>
              <w:pStyle w:val="5"/>
              <w:jc w:val="center"/>
            </w:pPr>
            <w:r>
              <w:rPr>
                <w:rFonts w:ascii="仿宋_GB2312" w:hAnsi="仿宋_GB2312" w:eastAsia="仿宋_GB2312" w:cs="仿宋_GB2312"/>
              </w:rPr>
              <w:t>2</w:t>
            </w:r>
          </w:p>
        </w:tc>
        <w:tc>
          <w:tcPr>
            <w:tcW w:w="1036" w:type="dxa"/>
          </w:tcPr>
          <w:p w14:paraId="1EF0E17A">
            <w:pPr>
              <w:jc w:val="center"/>
            </w:pPr>
          </w:p>
        </w:tc>
        <w:tc>
          <w:tcPr>
            <w:tcW w:w="6606" w:type="dxa"/>
          </w:tcPr>
          <w:p w14:paraId="1279E6B8">
            <w:pPr>
              <w:pStyle w:val="5"/>
              <w:jc w:val="left"/>
              <w:rPr>
                <w:rFonts w:hint="eastAsia" w:ascii="仿宋_GB2312" w:hAnsi="仿宋_GB2312" w:eastAsia="仿宋_GB2312" w:cs="仿宋_GB2312"/>
              </w:rPr>
            </w:pPr>
            <w:r>
              <w:rPr>
                <w:rFonts w:hint="eastAsia" w:ascii="仿宋_GB2312" w:hAnsi="仿宋_GB2312" w:eastAsia="仿宋_GB2312" w:cs="仿宋_GB2312"/>
                <w:lang w:val="en-US" w:eastAsia="zh-CN"/>
              </w:rPr>
              <w:t>二、</w:t>
            </w:r>
            <w:r>
              <w:rPr>
                <w:rFonts w:hint="eastAsia" w:ascii="仿宋_GB2312" w:hAnsi="仿宋_GB2312" w:eastAsia="仿宋_GB2312" w:cs="仿宋_GB2312"/>
              </w:rPr>
              <w:t>服务范围</w:t>
            </w:r>
          </w:p>
          <w:p w14:paraId="176095AE">
            <w:pPr>
              <w:pStyle w:val="5"/>
              <w:jc w:val="left"/>
              <w:rPr>
                <w:rFonts w:hint="eastAsia" w:ascii="仿宋_GB2312" w:hAnsi="仿宋_GB2312" w:eastAsia="仿宋_GB2312" w:cs="仿宋_GB2312"/>
              </w:rPr>
            </w:pPr>
            <w:r>
              <w:rPr>
                <w:rFonts w:hint="eastAsia" w:ascii="仿宋_GB2312" w:hAnsi="仿宋_GB2312" w:eastAsia="仿宋_GB2312" w:cs="仿宋_GB2312"/>
              </w:rPr>
              <w:t>1.开票服务：支持各收费站点并发使用，含通行记录预览、票据填写、票据生成等50项核心功能。</w:t>
            </w:r>
          </w:p>
          <w:p w14:paraId="6C4E4FF4">
            <w:pPr>
              <w:pStyle w:val="5"/>
              <w:jc w:val="left"/>
              <w:rPr>
                <w:rFonts w:hint="eastAsia" w:ascii="仿宋_GB2312" w:hAnsi="仿宋_GB2312" w:eastAsia="仿宋_GB2312" w:cs="仿宋_GB2312"/>
              </w:rPr>
            </w:pPr>
            <w:r>
              <w:rPr>
                <w:rFonts w:hint="eastAsia" w:ascii="仿宋_GB2312" w:hAnsi="仿宋_GB2312" w:eastAsia="仿宋_GB2312" w:cs="仿宋_GB2312"/>
              </w:rPr>
              <w:t>2.票据管理服务：支持各收费站站点相关管理人员并发使用、含票据统计、报表可视化、用户行为分析、通行记录查询、票据查询等30项核心功能。</w:t>
            </w:r>
          </w:p>
          <w:p w14:paraId="2F238048">
            <w:pPr>
              <w:pStyle w:val="5"/>
              <w:jc w:val="left"/>
              <w:rPr>
                <w:rFonts w:hint="eastAsia" w:ascii="仿宋_GB2312" w:hAnsi="仿宋_GB2312" w:eastAsia="仿宋_GB2312" w:cs="仿宋_GB2312"/>
              </w:rPr>
            </w:pPr>
            <w:r>
              <w:rPr>
                <w:rFonts w:hint="eastAsia" w:ascii="仿宋_GB2312" w:hAnsi="仿宋_GB2312" w:eastAsia="仿宋_GB2312" w:cs="仿宋_GB2312"/>
              </w:rPr>
              <w:t>3.客服服务：提供1名专职客服人员和在线问答客服功能。</w:t>
            </w:r>
          </w:p>
        </w:tc>
      </w:tr>
      <w:tr w14:paraId="19794E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65" w:type="dxa"/>
          </w:tcPr>
          <w:p w14:paraId="566BB955">
            <w:pPr>
              <w:pStyle w:val="5"/>
              <w:jc w:val="center"/>
            </w:pPr>
            <w:r>
              <w:rPr>
                <w:rFonts w:ascii="仿宋_GB2312" w:hAnsi="仿宋_GB2312" w:eastAsia="仿宋_GB2312" w:cs="仿宋_GB2312"/>
              </w:rPr>
              <w:t>3</w:t>
            </w:r>
          </w:p>
        </w:tc>
        <w:tc>
          <w:tcPr>
            <w:tcW w:w="1036" w:type="dxa"/>
          </w:tcPr>
          <w:p w14:paraId="2CB09D71">
            <w:pPr>
              <w:jc w:val="center"/>
            </w:pPr>
          </w:p>
        </w:tc>
        <w:tc>
          <w:tcPr>
            <w:tcW w:w="6606" w:type="dxa"/>
          </w:tcPr>
          <w:p w14:paraId="107684E7">
            <w:pPr>
              <w:pStyle w:val="5"/>
              <w:jc w:val="left"/>
              <w:rPr>
                <w:rFonts w:hint="eastAsia" w:ascii="仿宋_GB2312" w:hAnsi="仿宋_GB2312" w:eastAsia="仿宋_GB2312" w:cs="仿宋_GB2312"/>
              </w:rPr>
            </w:pPr>
            <w:r>
              <w:rPr>
                <w:rFonts w:hint="eastAsia" w:ascii="仿宋_GB2312" w:hAnsi="仿宋_GB2312" w:eastAsia="仿宋_GB2312" w:cs="仿宋_GB2312"/>
                <w:lang w:val="en-US" w:eastAsia="zh-CN"/>
              </w:rPr>
              <w:t>三</w:t>
            </w:r>
            <w:r>
              <w:rPr>
                <w:rFonts w:hint="eastAsia" w:ascii="仿宋_GB2312" w:hAnsi="仿宋_GB2312" w:eastAsia="仿宋_GB2312" w:cs="仿宋_GB2312"/>
              </w:rPr>
              <w:t>、服务内容</w:t>
            </w:r>
          </w:p>
          <w:p w14:paraId="4FF9FD9A">
            <w:pPr>
              <w:pStyle w:val="5"/>
              <w:ind w:firstLine="400" w:firstLineChars="200"/>
              <w:jc w:val="left"/>
              <w:rPr>
                <w:rFonts w:hint="eastAsia" w:ascii="仿宋_GB2312" w:hAnsi="仿宋_GB2312" w:eastAsia="仿宋_GB2312" w:cs="仿宋_GB2312"/>
                <w:lang w:eastAsia="zh-CN"/>
              </w:rPr>
            </w:pPr>
            <w:r>
              <w:rPr>
                <w:rFonts w:hint="eastAsia" w:ascii="仿宋_GB2312" w:hAnsi="仿宋_GB2312" w:eastAsia="仿宋_GB2312" w:cs="仿宋_GB2312"/>
              </w:rPr>
              <w:t>供应商为项目提供全年专业化服务，全面满足电子票据全业务场景需求。运维服务详细内容</w:t>
            </w:r>
            <w:r>
              <w:rPr>
                <w:rFonts w:hint="eastAsia" w:ascii="仿宋_GB2312" w:hAnsi="仿宋_GB2312" w:eastAsia="仿宋_GB2312" w:cs="仿宋_GB2312"/>
                <w:lang w:val="en-US" w:eastAsia="zh-CN"/>
              </w:rPr>
              <w:t>如下：</w:t>
            </w:r>
          </w:p>
          <w:tbl>
            <w:tblPr>
              <w:tblStyle w:val="3"/>
              <w:tblW w:w="6467" w:type="dxa"/>
              <w:tblInd w:w="-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2"/>
              <w:gridCol w:w="665"/>
              <w:gridCol w:w="3366"/>
              <w:gridCol w:w="1684"/>
            </w:tblGrid>
            <w:tr w14:paraId="4CC86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trPr>
              <w:tc>
                <w:tcPr>
                  <w:tcW w:w="581" w:type="pct"/>
                  <w:shd w:val="clear" w:color="000000" w:fill="auto"/>
                  <w:noWrap w:val="0"/>
                  <w:vAlign w:val="center"/>
                </w:tcPr>
                <w:p w14:paraId="665A891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kern w:val="0"/>
                      <w:sz w:val="20"/>
                      <w:szCs w:val="20"/>
                      <w:lang w:val="en-US" w:eastAsia="zh-CN"/>
                    </w:rPr>
                  </w:pPr>
                  <w:r>
                    <w:rPr>
                      <w:rFonts w:hint="eastAsia" w:ascii="仿宋_GB2312" w:hAnsi="仿宋_GB2312" w:eastAsia="仿宋_GB2312" w:cs="仿宋_GB2312"/>
                      <w:kern w:val="0"/>
                      <w:sz w:val="20"/>
                      <w:szCs w:val="20"/>
                      <w:lang w:val="en-US" w:eastAsia="zh-CN"/>
                    </w:rPr>
                    <w:t>服务</w:t>
                  </w:r>
                </w:p>
                <w:p w14:paraId="045BC2C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kern w:val="0"/>
                      <w:sz w:val="20"/>
                      <w:szCs w:val="20"/>
                      <w:lang w:val="en-US" w:eastAsia="zh-CN"/>
                    </w:rPr>
                  </w:pPr>
                  <w:r>
                    <w:rPr>
                      <w:rFonts w:hint="eastAsia" w:ascii="仿宋_GB2312" w:hAnsi="仿宋_GB2312" w:eastAsia="仿宋_GB2312" w:cs="仿宋_GB2312"/>
                      <w:kern w:val="0"/>
                      <w:sz w:val="20"/>
                      <w:szCs w:val="20"/>
                      <w:lang w:val="en-US" w:eastAsia="zh-CN"/>
                    </w:rPr>
                    <w:t>内容</w:t>
                  </w:r>
                </w:p>
              </w:tc>
              <w:tc>
                <w:tcPr>
                  <w:tcW w:w="514" w:type="pct"/>
                  <w:shd w:val="clear" w:color="000000" w:fill="auto"/>
                  <w:noWrap w:val="0"/>
                  <w:vAlign w:val="center"/>
                </w:tcPr>
                <w:p w14:paraId="113FF57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kern w:val="0"/>
                      <w:sz w:val="20"/>
                      <w:szCs w:val="20"/>
                      <w:lang w:val="en-US" w:eastAsia="zh-CN"/>
                    </w:rPr>
                  </w:pPr>
                  <w:r>
                    <w:rPr>
                      <w:rFonts w:hint="eastAsia" w:ascii="仿宋_GB2312" w:hAnsi="仿宋_GB2312" w:eastAsia="仿宋_GB2312" w:cs="仿宋_GB2312"/>
                      <w:kern w:val="0"/>
                      <w:sz w:val="20"/>
                      <w:szCs w:val="20"/>
                      <w:lang w:val="en-US" w:eastAsia="zh-Hans"/>
                    </w:rPr>
                    <w:t>服务</w:t>
                  </w:r>
                  <w:r>
                    <w:rPr>
                      <w:rFonts w:hint="eastAsia" w:ascii="仿宋_GB2312" w:hAnsi="仿宋_GB2312" w:eastAsia="仿宋_GB2312" w:cs="仿宋_GB2312"/>
                      <w:kern w:val="0"/>
                      <w:sz w:val="20"/>
                      <w:szCs w:val="20"/>
                      <w:lang w:val="en-US" w:eastAsia="zh-CN"/>
                    </w:rPr>
                    <w:t>分类</w:t>
                  </w:r>
                </w:p>
              </w:tc>
              <w:tc>
                <w:tcPr>
                  <w:tcW w:w="2601" w:type="pct"/>
                  <w:shd w:val="clear" w:color="000000" w:fill="auto"/>
                  <w:noWrap w:val="0"/>
                  <w:vAlign w:val="center"/>
                </w:tcPr>
                <w:p w14:paraId="17BD9B3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kern w:val="0"/>
                      <w:sz w:val="20"/>
                      <w:szCs w:val="20"/>
                      <w:lang w:val="en-US" w:eastAsia="zh-Hans"/>
                    </w:rPr>
                  </w:pPr>
                  <w:r>
                    <w:rPr>
                      <w:rFonts w:hint="eastAsia" w:ascii="仿宋_GB2312" w:hAnsi="仿宋_GB2312" w:eastAsia="仿宋_GB2312" w:cs="仿宋_GB2312"/>
                      <w:kern w:val="0"/>
                      <w:sz w:val="20"/>
                      <w:szCs w:val="20"/>
                      <w:lang w:val="en-US" w:eastAsia="zh-Hans"/>
                    </w:rPr>
                    <w:t>服务描述</w:t>
                  </w:r>
                </w:p>
              </w:tc>
              <w:tc>
                <w:tcPr>
                  <w:tcW w:w="1301" w:type="pct"/>
                  <w:shd w:val="clear" w:color="000000" w:fill="auto"/>
                  <w:noWrap w:val="0"/>
                  <w:vAlign w:val="center"/>
                </w:tcPr>
                <w:p w14:paraId="2BF094B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kern w:val="0"/>
                      <w:sz w:val="20"/>
                      <w:szCs w:val="20"/>
                      <w:lang w:val="en-US" w:eastAsia="zh-CN"/>
                    </w:rPr>
                  </w:pPr>
                  <w:r>
                    <w:rPr>
                      <w:rFonts w:hint="eastAsia" w:ascii="仿宋_GB2312" w:hAnsi="仿宋_GB2312" w:eastAsia="仿宋_GB2312" w:cs="仿宋_GB2312"/>
                      <w:kern w:val="0"/>
                      <w:sz w:val="20"/>
                      <w:szCs w:val="20"/>
                      <w:lang w:val="en-US" w:eastAsia="zh-CN"/>
                    </w:rPr>
                    <w:t>备注</w:t>
                  </w:r>
                </w:p>
              </w:tc>
            </w:tr>
            <w:tr w14:paraId="7E74A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81" w:type="pct"/>
                  <w:vMerge w:val="restart"/>
                  <w:shd w:val="clear" w:color="000000" w:fill="auto"/>
                  <w:noWrap w:val="0"/>
                  <w:vAlign w:val="center"/>
                </w:tcPr>
                <w:p w14:paraId="73C6FDE1">
                  <w:pPr>
                    <w:snapToGrid w:val="0"/>
                    <w:ind w:firstLine="0"/>
                    <w:jc w:val="left"/>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开票服务</w:t>
                  </w:r>
                </w:p>
              </w:tc>
              <w:tc>
                <w:tcPr>
                  <w:tcW w:w="514" w:type="pct"/>
                  <w:shd w:val="clear" w:color="000000" w:fill="auto"/>
                  <w:noWrap w:val="0"/>
                  <w:vAlign w:val="center"/>
                </w:tcPr>
                <w:p w14:paraId="18740A18">
                  <w:pPr>
                    <w:keepNext w:val="0"/>
                    <w:keepLines w:val="0"/>
                    <w:widowControl/>
                    <w:suppressLineNumbers w:val="0"/>
                    <w:jc w:val="center"/>
                    <w:textAlignment w:val="center"/>
                    <w:rPr>
                      <w:color w:val="auto"/>
                      <w:highlight w:val="none"/>
                    </w:rPr>
                  </w:pPr>
                  <w:r>
                    <w:rPr>
                      <w:rFonts w:hint="default" w:ascii="仿宋" w:hAnsi="仿宋" w:eastAsia="仿宋" w:cs="仿宋"/>
                      <w:i w:val="0"/>
                      <w:iCs w:val="0"/>
                      <w:color w:val="auto"/>
                      <w:kern w:val="0"/>
                      <w:sz w:val="20"/>
                      <w:szCs w:val="20"/>
                      <w:highlight w:val="none"/>
                      <w:u w:val="none"/>
                      <w:lang w:val="en-US" w:eastAsia="zh-CN" w:bidi="ar"/>
                    </w:rPr>
                    <w:t>票据开票</w:t>
                  </w:r>
                </w:p>
              </w:tc>
              <w:tc>
                <w:tcPr>
                  <w:tcW w:w="2601" w:type="pct"/>
                  <w:shd w:val="clear" w:color="000000" w:fill="auto"/>
                  <w:noWrap w:val="0"/>
                  <w:vAlign w:val="center"/>
                </w:tcPr>
                <w:p w14:paraId="225C1D1C">
                  <w:pPr>
                    <w:widowControl/>
                    <w:numPr>
                      <w:ilvl w:val="0"/>
                      <w:numId w:val="0"/>
                    </w:numPr>
                    <w:snapToGrid/>
                    <w:ind w:left="0" w:leftChars="0" w:firstLine="0" w:firstLineChars="0"/>
                    <w:jc w:val="left"/>
                    <w:textAlignment w:val="center"/>
                    <w:rPr>
                      <w:rFonts w:hint="default" w:ascii="仿宋" w:hAnsi="仿宋" w:eastAsia="仿宋" w:cs="仿宋"/>
                      <w:color w:val="auto"/>
                      <w:sz w:val="20"/>
                      <w:szCs w:val="20"/>
                      <w:highlight w:val="none"/>
                      <w:u w:val="none"/>
                      <w:lang w:val="en-US" w:bidi="ar"/>
                    </w:rPr>
                  </w:pPr>
                  <w:r>
                    <w:rPr>
                      <w:rFonts w:hint="default" w:ascii="仿宋" w:hAnsi="仿宋" w:eastAsia="仿宋" w:cs="仿宋"/>
                      <w:i w:val="0"/>
                      <w:iCs w:val="0"/>
                      <w:color w:val="auto"/>
                      <w:kern w:val="0"/>
                      <w:sz w:val="20"/>
                      <w:szCs w:val="20"/>
                      <w:highlight w:val="none"/>
                      <w:u w:val="none"/>
                      <w:lang w:val="en-US" w:eastAsia="zh-CN" w:bidi="ar"/>
                    </w:rPr>
                    <w:t>功能包含：扫码识别与数据比对、通行信息展示、通行信息确认、票据抬头修改、企业信息验证、历史信息回填、票据生成。</w:t>
                  </w:r>
                </w:p>
              </w:tc>
              <w:tc>
                <w:tcPr>
                  <w:tcW w:w="1301" w:type="pct"/>
                  <w:vMerge w:val="restart"/>
                  <w:shd w:val="clear" w:color="000000" w:fill="auto"/>
                  <w:noWrap w:val="0"/>
                  <w:vAlign w:val="center"/>
                </w:tcPr>
                <w:p w14:paraId="3A594C0E">
                  <w:pPr>
                    <w:widowControl/>
                    <w:numPr>
                      <w:ilvl w:val="0"/>
                      <w:numId w:val="0"/>
                    </w:numPr>
                    <w:snapToGrid/>
                    <w:ind w:left="0" w:leftChars="0" w:firstLine="0" w:firstLineChars="0"/>
                    <w:jc w:val="left"/>
                    <w:textAlignment w:val="center"/>
                    <w:rPr>
                      <w:rFonts w:hint="default" w:ascii="仿宋" w:hAnsi="仿宋" w:eastAsia="仿宋" w:cs="仿宋"/>
                      <w:i w:val="0"/>
                      <w:iCs w:val="0"/>
                      <w:color w:val="auto"/>
                      <w:kern w:val="0"/>
                      <w:sz w:val="20"/>
                      <w:szCs w:val="20"/>
                      <w:highlight w:val="none"/>
                      <w:u w:val="none"/>
                      <w:lang w:val="en-US" w:eastAsia="zh-CN" w:bidi="ar"/>
                    </w:rPr>
                  </w:pPr>
                  <w:r>
                    <w:rPr>
                      <w:rFonts w:hint="default" w:ascii="仿宋" w:hAnsi="仿宋" w:eastAsia="仿宋" w:cs="仿宋"/>
                      <w:i w:val="0"/>
                      <w:iCs w:val="0"/>
                      <w:color w:val="auto"/>
                      <w:kern w:val="0"/>
                      <w:sz w:val="20"/>
                      <w:szCs w:val="20"/>
                      <w:highlight w:val="none"/>
                      <w:u w:val="none"/>
                      <w:lang w:val="en-US" w:eastAsia="zh-CN" w:bidi="ar"/>
                    </w:rPr>
                    <w:t>1.用户扫码结合收费站推送信息，生成通行记录展示完成开票、领票功能。</w:t>
                  </w:r>
                </w:p>
                <w:p w14:paraId="7070D40C">
                  <w:pPr>
                    <w:widowControl/>
                    <w:numPr>
                      <w:ilvl w:val="0"/>
                      <w:numId w:val="0"/>
                    </w:numPr>
                    <w:snapToGrid/>
                    <w:ind w:left="0" w:leftChars="0" w:firstLine="0" w:firstLineChars="0"/>
                    <w:jc w:val="left"/>
                    <w:textAlignment w:val="center"/>
                    <w:rPr>
                      <w:rFonts w:hint="default" w:ascii="仿宋" w:hAnsi="仿宋" w:eastAsia="仿宋" w:cs="仿宋"/>
                      <w:i w:val="0"/>
                      <w:iCs w:val="0"/>
                      <w:color w:val="auto"/>
                      <w:kern w:val="0"/>
                      <w:sz w:val="20"/>
                      <w:szCs w:val="20"/>
                      <w:highlight w:val="none"/>
                      <w:u w:val="none"/>
                      <w:lang w:val="en-US" w:eastAsia="zh-CN" w:bidi="ar"/>
                    </w:rPr>
                  </w:pPr>
                  <w:r>
                    <w:rPr>
                      <w:rFonts w:hint="default" w:ascii="仿宋" w:hAnsi="仿宋" w:eastAsia="仿宋" w:cs="仿宋"/>
                      <w:i w:val="0"/>
                      <w:iCs w:val="0"/>
                      <w:color w:val="auto"/>
                      <w:kern w:val="0"/>
                      <w:sz w:val="20"/>
                      <w:szCs w:val="20"/>
                      <w:highlight w:val="none"/>
                      <w:u w:val="none"/>
                      <w:lang w:val="en-US" w:eastAsia="zh-CN" w:bidi="ar"/>
                    </w:rPr>
                    <w:t>2.提供用户2种（至少）渠道完成用户票据管理，包括验证车辆后查询通行记录、查询已开过的票据、票据冲红、换票等操作。并提供用户多种获取票据路径，如发送邮箱、发送微信卡包、转发、直接下载等。</w:t>
                  </w:r>
                </w:p>
                <w:p w14:paraId="0F8697F1">
                  <w:pPr>
                    <w:widowControl/>
                    <w:numPr>
                      <w:ilvl w:val="0"/>
                      <w:numId w:val="0"/>
                    </w:numPr>
                    <w:snapToGrid/>
                    <w:ind w:left="0" w:leftChars="0" w:firstLine="0" w:firstLineChars="0"/>
                    <w:jc w:val="left"/>
                    <w:textAlignment w:val="center"/>
                    <w:rPr>
                      <w:rFonts w:hint="default" w:ascii="仿宋" w:hAnsi="仿宋" w:eastAsia="仿宋" w:cs="仿宋"/>
                      <w:i w:val="0"/>
                      <w:iCs w:val="0"/>
                      <w:color w:val="auto"/>
                      <w:kern w:val="0"/>
                      <w:sz w:val="20"/>
                      <w:szCs w:val="20"/>
                      <w:highlight w:val="none"/>
                      <w:u w:val="none"/>
                      <w:lang w:val="en-US" w:eastAsia="zh-CN" w:bidi="ar"/>
                    </w:rPr>
                  </w:pPr>
                  <w:r>
                    <w:rPr>
                      <w:rFonts w:hint="default" w:ascii="仿宋" w:hAnsi="仿宋" w:eastAsia="仿宋" w:cs="仿宋"/>
                      <w:i w:val="0"/>
                      <w:iCs w:val="0"/>
                      <w:color w:val="auto"/>
                      <w:kern w:val="0"/>
                      <w:sz w:val="20"/>
                      <w:szCs w:val="20"/>
                      <w:highlight w:val="none"/>
                      <w:u w:val="none"/>
                      <w:lang w:val="en-US" w:eastAsia="zh-CN" w:bidi="ar"/>
                    </w:rPr>
                    <w:t>3.支持日常30000个票据开具，并满足以上并发需求；年票据服务量不少于1300万张，票据业务流转时间不超过120秒。</w:t>
                  </w:r>
                </w:p>
              </w:tc>
            </w:tr>
            <w:tr w14:paraId="77028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81" w:type="pct"/>
                  <w:vMerge w:val="continue"/>
                  <w:shd w:val="clear" w:color="000000" w:fill="auto"/>
                  <w:noWrap w:val="0"/>
                  <w:vAlign w:val="center"/>
                </w:tcPr>
                <w:p w14:paraId="5B899DA9">
                  <w:pPr>
                    <w:snapToGrid w:val="0"/>
                    <w:jc w:val="left"/>
                    <w:rPr>
                      <w:rFonts w:hint="eastAsia" w:ascii="仿宋_GB2312" w:hAnsi="仿宋_GB2312" w:eastAsia="仿宋_GB2312" w:cs="仿宋_GB2312"/>
                      <w:color w:val="auto"/>
                      <w:szCs w:val="21"/>
                      <w:highlight w:val="none"/>
                    </w:rPr>
                  </w:pPr>
                </w:p>
              </w:tc>
              <w:tc>
                <w:tcPr>
                  <w:tcW w:w="514" w:type="pct"/>
                  <w:shd w:val="clear" w:color="000000" w:fill="auto"/>
                  <w:noWrap w:val="0"/>
                  <w:vAlign w:val="center"/>
                </w:tcPr>
                <w:p w14:paraId="0FB50E27">
                  <w:pPr>
                    <w:keepNext w:val="0"/>
                    <w:keepLines w:val="0"/>
                    <w:widowControl/>
                    <w:suppressLineNumbers w:val="0"/>
                    <w:jc w:val="center"/>
                    <w:textAlignment w:val="center"/>
                    <w:rPr>
                      <w:rFonts w:hint="eastAsia" w:ascii="仿宋_GB2312" w:hAnsi="仿宋_GB2312" w:eastAsia="仿宋_GB2312" w:cs="仿宋_GB2312"/>
                      <w:color w:val="auto"/>
                      <w:szCs w:val="21"/>
                      <w:highlight w:val="none"/>
                    </w:rPr>
                  </w:pPr>
                  <w:r>
                    <w:rPr>
                      <w:rFonts w:hint="default" w:ascii="仿宋" w:hAnsi="仿宋" w:eastAsia="仿宋" w:cs="仿宋"/>
                      <w:i w:val="0"/>
                      <w:iCs w:val="0"/>
                      <w:color w:val="auto"/>
                      <w:kern w:val="0"/>
                      <w:sz w:val="20"/>
                      <w:szCs w:val="20"/>
                      <w:highlight w:val="none"/>
                      <w:u w:val="none"/>
                      <w:lang w:val="en-US" w:eastAsia="zh-CN" w:bidi="ar"/>
                    </w:rPr>
                    <w:t>验证车辆</w:t>
                  </w:r>
                </w:p>
              </w:tc>
              <w:tc>
                <w:tcPr>
                  <w:tcW w:w="2601" w:type="pct"/>
                  <w:shd w:val="clear" w:color="000000" w:fill="auto"/>
                  <w:noWrap w:val="0"/>
                  <w:vAlign w:val="center"/>
                </w:tcPr>
                <w:p w14:paraId="243F4EC8">
                  <w:pPr>
                    <w:widowControl/>
                    <w:numPr>
                      <w:ilvl w:val="0"/>
                      <w:numId w:val="0"/>
                    </w:numPr>
                    <w:snapToGrid/>
                    <w:ind w:left="0" w:leftChars="0" w:firstLine="0" w:firstLineChars="0"/>
                    <w:jc w:val="left"/>
                    <w:textAlignment w:val="center"/>
                    <w:rPr>
                      <w:rFonts w:hint="default" w:ascii="仿宋" w:hAnsi="仿宋" w:eastAsia="仿宋" w:cs="仿宋"/>
                      <w:color w:val="auto"/>
                      <w:sz w:val="20"/>
                      <w:szCs w:val="20"/>
                      <w:highlight w:val="none"/>
                      <w:u w:val="none"/>
                      <w:lang w:val="en-US" w:bidi="ar"/>
                    </w:rPr>
                  </w:pPr>
                  <w:r>
                    <w:rPr>
                      <w:rFonts w:hint="default" w:ascii="仿宋" w:hAnsi="仿宋" w:eastAsia="仿宋" w:cs="仿宋"/>
                      <w:i w:val="0"/>
                      <w:iCs w:val="0"/>
                      <w:color w:val="auto"/>
                      <w:kern w:val="0"/>
                      <w:sz w:val="20"/>
                      <w:szCs w:val="20"/>
                      <w:highlight w:val="none"/>
                      <w:u w:val="none"/>
                      <w:lang w:val="en-US" w:eastAsia="zh-CN" w:bidi="ar"/>
                    </w:rPr>
                    <w:t>功能包含：合规验证车辆真伪、批量验证、选择默认查询车辆、取消验证。</w:t>
                  </w:r>
                </w:p>
              </w:tc>
              <w:tc>
                <w:tcPr>
                  <w:tcW w:w="1301" w:type="pct"/>
                  <w:vMerge w:val="continue"/>
                  <w:shd w:val="clear" w:color="000000" w:fill="auto"/>
                  <w:noWrap w:val="0"/>
                  <w:vAlign w:val="center"/>
                </w:tcPr>
                <w:p w14:paraId="7C932190">
                  <w:pPr>
                    <w:widowControl/>
                    <w:numPr>
                      <w:ilvl w:val="0"/>
                      <w:numId w:val="0"/>
                    </w:numPr>
                    <w:snapToGrid/>
                    <w:ind w:left="0" w:leftChars="0" w:firstLine="0" w:firstLineChars="0"/>
                    <w:jc w:val="left"/>
                    <w:textAlignment w:val="center"/>
                    <w:rPr>
                      <w:rFonts w:hint="default" w:ascii="仿宋" w:hAnsi="仿宋" w:eastAsia="仿宋" w:cs="仿宋"/>
                      <w:i w:val="0"/>
                      <w:iCs w:val="0"/>
                      <w:color w:val="auto"/>
                      <w:kern w:val="0"/>
                      <w:sz w:val="20"/>
                      <w:szCs w:val="20"/>
                      <w:highlight w:val="none"/>
                      <w:u w:val="none"/>
                      <w:lang w:val="en-US" w:eastAsia="zh-CN" w:bidi="ar"/>
                    </w:rPr>
                  </w:pPr>
                </w:p>
              </w:tc>
            </w:tr>
            <w:tr w14:paraId="46FB9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81" w:type="pct"/>
                  <w:vMerge w:val="continue"/>
                  <w:shd w:val="clear" w:color="000000" w:fill="auto"/>
                  <w:noWrap w:val="0"/>
                  <w:vAlign w:val="center"/>
                </w:tcPr>
                <w:p w14:paraId="5D175634">
                  <w:pPr>
                    <w:snapToGrid w:val="0"/>
                    <w:jc w:val="left"/>
                    <w:rPr>
                      <w:rFonts w:hint="eastAsia" w:ascii="仿宋_GB2312" w:hAnsi="仿宋_GB2312" w:eastAsia="仿宋_GB2312" w:cs="仿宋_GB2312"/>
                      <w:color w:val="auto"/>
                      <w:szCs w:val="21"/>
                      <w:highlight w:val="none"/>
                    </w:rPr>
                  </w:pPr>
                </w:p>
              </w:tc>
              <w:tc>
                <w:tcPr>
                  <w:tcW w:w="514" w:type="pct"/>
                  <w:shd w:val="clear" w:color="000000" w:fill="auto"/>
                  <w:noWrap w:val="0"/>
                  <w:vAlign w:val="center"/>
                </w:tcPr>
                <w:p w14:paraId="6583E1F8">
                  <w:pPr>
                    <w:keepNext w:val="0"/>
                    <w:keepLines w:val="0"/>
                    <w:widowControl/>
                    <w:suppressLineNumbers w:val="0"/>
                    <w:jc w:val="center"/>
                    <w:textAlignment w:val="center"/>
                    <w:rPr>
                      <w:rFonts w:hint="eastAsia" w:ascii="仿宋_GB2312" w:hAnsi="仿宋_GB2312" w:eastAsia="仿宋_GB2312" w:cs="仿宋_GB2312"/>
                      <w:color w:val="auto"/>
                      <w:szCs w:val="21"/>
                      <w:highlight w:val="none"/>
                    </w:rPr>
                  </w:pPr>
                  <w:r>
                    <w:rPr>
                      <w:rFonts w:hint="default" w:ascii="仿宋" w:hAnsi="仿宋" w:eastAsia="仿宋" w:cs="仿宋"/>
                      <w:i w:val="0"/>
                      <w:iCs w:val="0"/>
                      <w:color w:val="auto"/>
                      <w:kern w:val="0"/>
                      <w:sz w:val="20"/>
                      <w:szCs w:val="20"/>
                      <w:highlight w:val="none"/>
                      <w:u w:val="none"/>
                      <w:lang w:val="en-US" w:eastAsia="zh-CN" w:bidi="ar"/>
                    </w:rPr>
                    <w:t>我的抬头</w:t>
                  </w:r>
                </w:p>
              </w:tc>
              <w:tc>
                <w:tcPr>
                  <w:tcW w:w="2601" w:type="pct"/>
                  <w:shd w:val="clear" w:color="000000" w:fill="auto"/>
                  <w:noWrap w:val="0"/>
                  <w:vAlign w:val="center"/>
                </w:tcPr>
                <w:p w14:paraId="35268BE5">
                  <w:pPr>
                    <w:widowControl/>
                    <w:numPr>
                      <w:ilvl w:val="0"/>
                      <w:numId w:val="0"/>
                    </w:numPr>
                    <w:snapToGrid/>
                    <w:ind w:left="0" w:leftChars="0" w:firstLine="0" w:firstLineChars="0"/>
                    <w:jc w:val="left"/>
                    <w:textAlignment w:val="center"/>
                    <w:rPr>
                      <w:rFonts w:hint="default" w:ascii="仿宋" w:hAnsi="仿宋" w:eastAsia="仿宋" w:cs="仿宋"/>
                      <w:color w:val="auto"/>
                      <w:sz w:val="20"/>
                      <w:szCs w:val="20"/>
                      <w:highlight w:val="none"/>
                      <w:u w:val="none"/>
                      <w:lang w:val="en-US" w:bidi="ar"/>
                    </w:rPr>
                  </w:pPr>
                  <w:r>
                    <w:rPr>
                      <w:rFonts w:hint="default" w:ascii="仿宋" w:hAnsi="仿宋" w:eastAsia="仿宋" w:cs="仿宋"/>
                      <w:i w:val="0"/>
                      <w:iCs w:val="0"/>
                      <w:color w:val="auto"/>
                      <w:kern w:val="0"/>
                      <w:sz w:val="20"/>
                      <w:szCs w:val="20"/>
                      <w:highlight w:val="none"/>
                      <w:u w:val="none"/>
                      <w:lang w:val="en-US" w:eastAsia="zh-CN" w:bidi="ar"/>
                    </w:rPr>
                    <w:t>功能包含：新增抬头、抬头信息合规验证、抬头类型选择（个人/企业）、默认抬头、删除抬头、编辑抬头。</w:t>
                  </w:r>
                </w:p>
              </w:tc>
              <w:tc>
                <w:tcPr>
                  <w:tcW w:w="1301" w:type="pct"/>
                  <w:vMerge w:val="continue"/>
                  <w:shd w:val="clear" w:color="000000" w:fill="auto"/>
                  <w:noWrap w:val="0"/>
                  <w:vAlign w:val="center"/>
                </w:tcPr>
                <w:p w14:paraId="12F46D62">
                  <w:pPr>
                    <w:widowControl/>
                    <w:numPr>
                      <w:ilvl w:val="0"/>
                      <w:numId w:val="0"/>
                    </w:numPr>
                    <w:snapToGrid/>
                    <w:ind w:left="0" w:leftChars="0" w:firstLine="0" w:firstLineChars="0"/>
                    <w:jc w:val="left"/>
                    <w:textAlignment w:val="center"/>
                    <w:rPr>
                      <w:rFonts w:hint="default" w:ascii="仿宋" w:hAnsi="仿宋" w:eastAsia="仿宋" w:cs="仿宋"/>
                      <w:i w:val="0"/>
                      <w:iCs w:val="0"/>
                      <w:color w:val="auto"/>
                      <w:kern w:val="0"/>
                      <w:sz w:val="20"/>
                      <w:szCs w:val="20"/>
                      <w:highlight w:val="none"/>
                      <w:u w:val="none"/>
                      <w:lang w:val="en-US" w:eastAsia="zh-CN" w:bidi="ar"/>
                    </w:rPr>
                  </w:pPr>
                </w:p>
              </w:tc>
            </w:tr>
            <w:tr w14:paraId="296CC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81" w:type="pct"/>
                  <w:vMerge w:val="continue"/>
                  <w:shd w:val="clear" w:color="000000" w:fill="auto"/>
                  <w:noWrap w:val="0"/>
                  <w:vAlign w:val="center"/>
                </w:tcPr>
                <w:p w14:paraId="48EF4430">
                  <w:pPr>
                    <w:snapToGrid w:val="0"/>
                    <w:jc w:val="left"/>
                    <w:rPr>
                      <w:rFonts w:hint="eastAsia" w:ascii="仿宋_GB2312" w:hAnsi="仿宋_GB2312" w:eastAsia="仿宋_GB2312" w:cs="仿宋_GB2312"/>
                      <w:color w:val="auto"/>
                      <w:szCs w:val="21"/>
                      <w:highlight w:val="none"/>
                    </w:rPr>
                  </w:pPr>
                </w:p>
              </w:tc>
              <w:tc>
                <w:tcPr>
                  <w:tcW w:w="514" w:type="pct"/>
                  <w:shd w:val="clear" w:color="000000" w:fill="auto"/>
                  <w:noWrap w:val="0"/>
                  <w:vAlign w:val="center"/>
                </w:tcPr>
                <w:p w14:paraId="0D3E842F">
                  <w:pPr>
                    <w:keepNext w:val="0"/>
                    <w:keepLines w:val="0"/>
                    <w:widowControl/>
                    <w:suppressLineNumbers w:val="0"/>
                    <w:jc w:val="center"/>
                    <w:textAlignment w:val="center"/>
                    <w:rPr>
                      <w:rFonts w:hint="eastAsia" w:ascii="仿宋_GB2312" w:hAnsi="仿宋_GB2312" w:eastAsia="仿宋_GB2312" w:cs="仿宋_GB2312"/>
                      <w:color w:val="auto"/>
                      <w:szCs w:val="21"/>
                      <w:highlight w:val="none"/>
                    </w:rPr>
                  </w:pPr>
                  <w:r>
                    <w:rPr>
                      <w:rFonts w:hint="default" w:ascii="仿宋" w:hAnsi="仿宋" w:eastAsia="仿宋" w:cs="仿宋"/>
                      <w:i w:val="0"/>
                      <w:iCs w:val="0"/>
                      <w:color w:val="auto"/>
                      <w:kern w:val="0"/>
                      <w:sz w:val="20"/>
                      <w:szCs w:val="20"/>
                      <w:highlight w:val="none"/>
                      <w:u w:val="none"/>
                      <w:lang w:val="en-US" w:eastAsia="zh-CN" w:bidi="ar"/>
                    </w:rPr>
                    <w:t>用户领票</w:t>
                  </w:r>
                </w:p>
              </w:tc>
              <w:tc>
                <w:tcPr>
                  <w:tcW w:w="2601" w:type="pct"/>
                  <w:shd w:val="clear" w:color="000000" w:fill="auto"/>
                  <w:noWrap w:val="0"/>
                  <w:vAlign w:val="center"/>
                </w:tcPr>
                <w:p w14:paraId="0C06ACD1">
                  <w:pPr>
                    <w:widowControl/>
                    <w:numPr>
                      <w:ilvl w:val="0"/>
                      <w:numId w:val="0"/>
                    </w:numPr>
                    <w:snapToGrid/>
                    <w:ind w:left="0" w:leftChars="0" w:firstLine="0" w:firstLineChars="0"/>
                    <w:jc w:val="left"/>
                    <w:textAlignment w:val="center"/>
                    <w:rPr>
                      <w:rFonts w:hint="default" w:ascii="仿宋" w:hAnsi="仿宋" w:eastAsia="仿宋" w:cs="仿宋"/>
                      <w:color w:val="auto"/>
                      <w:sz w:val="20"/>
                      <w:szCs w:val="20"/>
                      <w:highlight w:val="none"/>
                      <w:u w:val="none"/>
                      <w:lang w:val="en-US" w:bidi="ar"/>
                    </w:rPr>
                  </w:pPr>
                  <w:r>
                    <w:rPr>
                      <w:rFonts w:hint="default" w:ascii="仿宋" w:hAnsi="仿宋" w:eastAsia="仿宋" w:cs="仿宋"/>
                      <w:i w:val="0"/>
                      <w:iCs w:val="0"/>
                      <w:color w:val="auto"/>
                      <w:kern w:val="0"/>
                      <w:sz w:val="20"/>
                      <w:szCs w:val="20"/>
                      <w:highlight w:val="none"/>
                      <w:u w:val="none"/>
                      <w:lang w:val="en-US" w:eastAsia="zh-CN" w:bidi="ar"/>
                    </w:rPr>
                    <w:t>功能包含：票据查询、票据详情、票据下载、票据分享、票据状态追踪、票据异常处理、发送邮箱。</w:t>
                  </w:r>
                </w:p>
              </w:tc>
              <w:tc>
                <w:tcPr>
                  <w:tcW w:w="1301" w:type="pct"/>
                  <w:vMerge w:val="continue"/>
                  <w:shd w:val="clear" w:color="000000" w:fill="auto"/>
                  <w:noWrap w:val="0"/>
                  <w:vAlign w:val="center"/>
                </w:tcPr>
                <w:p w14:paraId="57BB8985">
                  <w:pPr>
                    <w:widowControl/>
                    <w:numPr>
                      <w:ilvl w:val="0"/>
                      <w:numId w:val="0"/>
                    </w:numPr>
                    <w:snapToGrid/>
                    <w:ind w:left="0" w:leftChars="0" w:firstLine="0" w:firstLineChars="0"/>
                    <w:jc w:val="left"/>
                    <w:textAlignment w:val="center"/>
                    <w:rPr>
                      <w:rFonts w:hint="default" w:ascii="仿宋" w:hAnsi="仿宋" w:eastAsia="仿宋" w:cs="仿宋"/>
                      <w:i w:val="0"/>
                      <w:iCs w:val="0"/>
                      <w:color w:val="auto"/>
                      <w:kern w:val="0"/>
                      <w:sz w:val="20"/>
                      <w:szCs w:val="20"/>
                      <w:highlight w:val="none"/>
                      <w:u w:val="none"/>
                      <w:lang w:val="en-US" w:eastAsia="zh-CN" w:bidi="ar"/>
                    </w:rPr>
                  </w:pPr>
                </w:p>
              </w:tc>
            </w:tr>
            <w:tr w14:paraId="1BFD5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81" w:type="pct"/>
                  <w:vMerge w:val="continue"/>
                  <w:shd w:val="clear" w:color="000000" w:fill="auto"/>
                  <w:noWrap w:val="0"/>
                  <w:vAlign w:val="center"/>
                </w:tcPr>
                <w:p w14:paraId="37F88E0E">
                  <w:pPr>
                    <w:adjustRightInd w:val="0"/>
                    <w:snapToGrid w:val="0"/>
                    <w:jc w:val="left"/>
                    <w:rPr>
                      <w:rFonts w:hint="eastAsia" w:ascii="仿宋_GB2312" w:hAnsi="仿宋_GB2312" w:eastAsia="仿宋_GB2312" w:cs="仿宋_GB2312"/>
                      <w:color w:val="auto"/>
                      <w:szCs w:val="21"/>
                      <w:highlight w:val="none"/>
                    </w:rPr>
                  </w:pPr>
                </w:p>
              </w:tc>
              <w:tc>
                <w:tcPr>
                  <w:tcW w:w="514" w:type="pct"/>
                  <w:shd w:val="clear" w:color="000000" w:fill="auto"/>
                  <w:noWrap w:val="0"/>
                  <w:vAlign w:val="center"/>
                </w:tcPr>
                <w:p w14:paraId="324C33BD">
                  <w:pPr>
                    <w:keepNext w:val="0"/>
                    <w:keepLines w:val="0"/>
                    <w:widowControl/>
                    <w:suppressLineNumbers w:val="0"/>
                    <w:jc w:val="center"/>
                    <w:textAlignment w:val="center"/>
                    <w:rPr>
                      <w:rFonts w:hint="eastAsia" w:ascii="仿宋_GB2312" w:hAnsi="仿宋_GB2312" w:eastAsia="仿宋_GB2312" w:cs="仿宋_GB2312"/>
                      <w:color w:val="auto"/>
                      <w:szCs w:val="21"/>
                      <w:highlight w:val="none"/>
                    </w:rPr>
                  </w:pPr>
                  <w:r>
                    <w:rPr>
                      <w:rFonts w:hint="default" w:ascii="仿宋" w:hAnsi="仿宋" w:eastAsia="仿宋" w:cs="仿宋"/>
                      <w:i w:val="0"/>
                      <w:iCs w:val="0"/>
                      <w:color w:val="auto"/>
                      <w:kern w:val="0"/>
                      <w:sz w:val="20"/>
                      <w:szCs w:val="20"/>
                      <w:highlight w:val="none"/>
                      <w:u w:val="none"/>
                      <w:lang w:val="en-US" w:eastAsia="zh-CN" w:bidi="ar"/>
                    </w:rPr>
                    <w:t>票据冲红</w:t>
                  </w:r>
                </w:p>
              </w:tc>
              <w:tc>
                <w:tcPr>
                  <w:tcW w:w="2601" w:type="pct"/>
                  <w:shd w:val="clear" w:color="000000" w:fill="auto"/>
                  <w:noWrap w:val="0"/>
                  <w:vAlign w:val="center"/>
                </w:tcPr>
                <w:p w14:paraId="740F03D4">
                  <w:pPr>
                    <w:keepNext w:val="0"/>
                    <w:keepLines w:val="0"/>
                    <w:widowControl/>
                    <w:suppressLineNumbers w:val="0"/>
                    <w:jc w:val="left"/>
                    <w:textAlignment w:val="center"/>
                    <w:rPr>
                      <w:rFonts w:hint="eastAsia" w:ascii="仿宋_GB2312" w:hAnsi="仿宋_GB2312" w:eastAsia="仿宋_GB2312" w:cs="仿宋_GB2312"/>
                      <w:color w:val="auto"/>
                      <w:szCs w:val="21"/>
                      <w:highlight w:val="none"/>
                    </w:rPr>
                  </w:pPr>
                  <w:r>
                    <w:rPr>
                      <w:rFonts w:hint="default" w:ascii="仿宋" w:hAnsi="仿宋" w:eastAsia="仿宋" w:cs="仿宋"/>
                      <w:i w:val="0"/>
                      <w:iCs w:val="0"/>
                      <w:color w:val="auto"/>
                      <w:kern w:val="0"/>
                      <w:sz w:val="20"/>
                      <w:szCs w:val="20"/>
                      <w:highlight w:val="none"/>
                      <w:u w:val="none"/>
                      <w:lang w:val="en-US" w:eastAsia="zh-CN" w:bidi="ar"/>
                    </w:rPr>
                    <w:t>功能包含：冲红申请、冲红法律法规展示、冲红确认、冲红结果反馈、冲红票据生成。</w:t>
                  </w:r>
                </w:p>
              </w:tc>
              <w:tc>
                <w:tcPr>
                  <w:tcW w:w="1301" w:type="pct"/>
                  <w:vMerge w:val="continue"/>
                  <w:shd w:val="clear" w:color="000000" w:fill="auto"/>
                  <w:noWrap w:val="0"/>
                  <w:vAlign w:val="center"/>
                </w:tcPr>
                <w:p w14:paraId="48DFF05E">
                  <w:pPr>
                    <w:keepNext w:val="0"/>
                    <w:keepLines w:val="0"/>
                    <w:widowControl/>
                    <w:suppressLineNumbers w:val="0"/>
                    <w:jc w:val="left"/>
                    <w:textAlignment w:val="center"/>
                    <w:rPr>
                      <w:rFonts w:hint="default" w:ascii="仿宋" w:hAnsi="仿宋" w:eastAsia="仿宋" w:cs="仿宋"/>
                      <w:i w:val="0"/>
                      <w:iCs w:val="0"/>
                      <w:color w:val="auto"/>
                      <w:kern w:val="0"/>
                      <w:sz w:val="20"/>
                      <w:szCs w:val="20"/>
                      <w:highlight w:val="none"/>
                      <w:u w:val="none"/>
                      <w:lang w:val="en-US" w:eastAsia="zh-CN" w:bidi="ar"/>
                    </w:rPr>
                  </w:pPr>
                </w:p>
              </w:tc>
            </w:tr>
            <w:tr w14:paraId="5D327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81" w:type="pct"/>
                  <w:vMerge w:val="continue"/>
                  <w:shd w:val="clear" w:color="000000" w:fill="auto"/>
                  <w:noWrap w:val="0"/>
                  <w:vAlign w:val="center"/>
                </w:tcPr>
                <w:p w14:paraId="612F337D">
                  <w:pPr>
                    <w:adjustRightInd w:val="0"/>
                    <w:snapToGrid w:val="0"/>
                    <w:jc w:val="left"/>
                    <w:rPr>
                      <w:rFonts w:hint="eastAsia" w:ascii="仿宋_GB2312" w:hAnsi="仿宋_GB2312" w:eastAsia="仿宋_GB2312" w:cs="仿宋_GB2312"/>
                      <w:color w:val="auto"/>
                      <w:szCs w:val="21"/>
                      <w:highlight w:val="none"/>
                    </w:rPr>
                  </w:pPr>
                </w:p>
              </w:tc>
              <w:tc>
                <w:tcPr>
                  <w:tcW w:w="514" w:type="pct"/>
                  <w:shd w:val="clear" w:color="000000" w:fill="auto"/>
                  <w:noWrap w:val="0"/>
                  <w:vAlign w:val="center"/>
                </w:tcPr>
                <w:p w14:paraId="75408B23">
                  <w:pPr>
                    <w:keepNext w:val="0"/>
                    <w:keepLines w:val="0"/>
                    <w:widowControl/>
                    <w:suppressLineNumbers w:val="0"/>
                    <w:jc w:val="center"/>
                    <w:textAlignment w:val="center"/>
                    <w:rPr>
                      <w:rFonts w:hint="eastAsia" w:ascii="仿宋_GB2312" w:hAnsi="仿宋_GB2312" w:eastAsia="仿宋_GB2312" w:cs="仿宋_GB2312"/>
                      <w:color w:val="auto"/>
                      <w:szCs w:val="21"/>
                      <w:highlight w:val="none"/>
                    </w:rPr>
                  </w:pPr>
                  <w:r>
                    <w:rPr>
                      <w:rFonts w:hint="default" w:ascii="仿宋" w:hAnsi="仿宋" w:eastAsia="仿宋" w:cs="仿宋"/>
                      <w:i w:val="0"/>
                      <w:iCs w:val="0"/>
                      <w:color w:val="auto"/>
                      <w:kern w:val="0"/>
                      <w:sz w:val="20"/>
                      <w:szCs w:val="20"/>
                      <w:highlight w:val="none"/>
                      <w:u w:val="none"/>
                      <w:lang w:val="en-US" w:eastAsia="zh-CN" w:bidi="ar"/>
                    </w:rPr>
                    <w:t>票据换票</w:t>
                  </w:r>
                </w:p>
              </w:tc>
              <w:tc>
                <w:tcPr>
                  <w:tcW w:w="2601" w:type="pct"/>
                  <w:shd w:val="clear" w:color="000000" w:fill="auto"/>
                  <w:noWrap w:val="0"/>
                  <w:vAlign w:val="center"/>
                </w:tcPr>
                <w:p w14:paraId="5664F10D">
                  <w:pPr>
                    <w:keepNext w:val="0"/>
                    <w:keepLines w:val="0"/>
                    <w:widowControl/>
                    <w:suppressLineNumbers w:val="0"/>
                    <w:jc w:val="left"/>
                    <w:textAlignment w:val="center"/>
                    <w:rPr>
                      <w:rFonts w:hint="eastAsia" w:ascii="仿宋_GB2312" w:hAnsi="仿宋_GB2312" w:eastAsia="仿宋_GB2312" w:cs="仿宋_GB2312"/>
                      <w:color w:val="auto"/>
                      <w:szCs w:val="21"/>
                      <w:highlight w:val="none"/>
                    </w:rPr>
                  </w:pPr>
                  <w:r>
                    <w:rPr>
                      <w:rFonts w:hint="default" w:ascii="仿宋" w:hAnsi="仿宋" w:eastAsia="仿宋" w:cs="仿宋"/>
                      <w:i w:val="0"/>
                      <w:iCs w:val="0"/>
                      <w:color w:val="auto"/>
                      <w:kern w:val="0"/>
                      <w:sz w:val="20"/>
                      <w:szCs w:val="20"/>
                      <w:highlight w:val="none"/>
                      <w:u w:val="none"/>
                      <w:lang w:val="en-US" w:eastAsia="zh-CN" w:bidi="ar"/>
                    </w:rPr>
                    <w:t>功能包含：换票申请、换票法律法规展示、换票确认、换票结果反馈。</w:t>
                  </w:r>
                </w:p>
              </w:tc>
              <w:tc>
                <w:tcPr>
                  <w:tcW w:w="1301" w:type="pct"/>
                  <w:vMerge w:val="continue"/>
                  <w:shd w:val="clear" w:color="000000" w:fill="auto"/>
                  <w:noWrap w:val="0"/>
                  <w:vAlign w:val="center"/>
                </w:tcPr>
                <w:p w14:paraId="0DD6EFE9">
                  <w:pPr>
                    <w:keepNext w:val="0"/>
                    <w:keepLines w:val="0"/>
                    <w:widowControl/>
                    <w:suppressLineNumbers w:val="0"/>
                    <w:jc w:val="left"/>
                    <w:textAlignment w:val="center"/>
                    <w:rPr>
                      <w:rFonts w:hint="default" w:ascii="仿宋" w:hAnsi="仿宋" w:eastAsia="仿宋" w:cs="仿宋"/>
                      <w:i w:val="0"/>
                      <w:iCs w:val="0"/>
                      <w:color w:val="auto"/>
                      <w:kern w:val="0"/>
                      <w:sz w:val="20"/>
                      <w:szCs w:val="20"/>
                      <w:highlight w:val="none"/>
                      <w:u w:val="none"/>
                      <w:lang w:val="en-US" w:eastAsia="zh-CN" w:bidi="ar"/>
                    </w:rPr>
                  </w:pPr>
                </w:p>
              </w:tc>
            </w:tr>
            <w:tr w14:paraId="3FEA7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81" w:type="pct"/>
                  <w:vMerge w:val="continue"/>
                  <w:shd w:val="clear" w:color="000000" w:fill="auto"/>
                  <w:noWrap w:val="0"/>
                  <w:vAlign w:val="center"/>
                </w:tcPr>
                <w:p w14:paraId="22D5B1B4">
                  <w:pPr>
                    <w:adjustRightInd w:val="0"/>
                    <w:snapToGrid w:val="0"/>
                    <w:jc w:val="left"/>
                    <w:rPr>
                      <w:rFonts w:hint="eastAsia" w:ascii="仿宋_GB2312" w:hAnsi="仿宋_GB2312" w:eastAsia="仿宋_GB2312" w:cs="仿宋_GB2312"/>
                      <w:color w:val="auto"/>
                      <w:szCs w:val="21"/>
                      <w:highlight w:val="none"/>
                    </w:rPr>
                  </w:pPr>
                </w:p>
              </w:tc>
              <w:tc>
                <w:tcPr>
                  <w:tcW w:w="514" w:type="pct"/>
                  <w:shd w:val="clear" w:color="000000" w:fill="auto"/>
                  <w:noWrap w:val="0"/>
                  <w:vAlign w:val="center"/>
                </w:tcPr>
                <w:p w14:paraId="02BA1AF6">
                  <w:pPr>
                    <w:keepNext w:val="0"/>
                    <w:keepLines w:val="0"/>
                    <w:widowControl/>
                    <w:suppressLineNumbers w:val="0"/>
                    <w:jc w:val="center"/>
                    <w:textAlignment w:val="center"/>
                    <w:rPr>
                      <w:rFonts w:hint="eastAsia" w:ascii="仿宋_GB2312" w:hAnsi="仿宋_GB2312" w:eastAsia="仿宋_GB2312" w:cs="仿宋_GB2312"/>
                      <w:color w:val="auto"/>
                      <w:szCs w:val="21"/>
                      <w:highlight w:val="none"/>
                    </w:rPr>
                  </w:pPr>
                  <w:r>
                    <w:rPr>
                      <w:rFonts w:hint="default" w:ascii="仿宋" w:hAnsi="仿宋" w:eastAsia="仿宋" w:cs="仿宋"/>
                      <w:i w:val="0"/>
                      <w:iCs w:val="0"/>
                      <w:color w:val="auto"/>
                      <w:kern w:val="0"/>
                      <w:sz w:val="20"/>
                      <w:szCs w:val="20"/>
                      <w:highlight w:val="none"/>
                      <w:u w:val="none"/>
                      <w:lang w:val="en-US" w:eastAsia="zh-CN" w:bidi="ar"/>
                    </w:rPr>
                    <w:t>我的通行记录</w:t>
                  </w:r>
                </w:p>
              </w:tc>
              <w:tc>
                <w:tcPr>
                  <w:tcW w:w="2601" w:type="pct"/>
                  <w:shd w:val="clear" w:color="000000" w:fill="auto"/>
                  <w:noWrap w:val="0"/>
                  <w:vAlign w:val="center"/>
                </w:tcPr>
                <w:p w14:paraId="72751EE6">
                  <w:pPr>
                    <w:keepNext w:val="0"/>
                    <w:keepLines w:val="0"/>
                    <w:widowControl/>
                    <w:suppressLineNumbers w:val="0"/>
                    <w:jc w:val="left"/>
                    <w:textAlignment w:val="center"/>
                    <w:rPr>
                      <w:rFonts w:hint="eastAsia" w:ascii="仿宋_GB2312" w:hAnsi="仿宋_GB2312" w:eastAsia="仿宋_GB2312" w:cs="仿宋_GB2312"/>
                      <w:color w:val="auto"/>
                      <w:szCs w:val="21"/>
                      <w:highlight w:val="none"/>
                    </w:rPr>
                  </w:pPr>
                  <w:r>
                    <w:rPr>
                      <w:rFonts w:hint="default" w:ascii="仿宋" w:hAnsi="仿宋" w:eastAsia="仿宋" w:cs="仿宋"/>
                      <w:i w:val="0"/>
                      <w:iCs w:val="0"/>
                      <w:color w:val="auto"/>
                      <w:kern w:val="0"/>
                      <w:sz w:val="20"/>
                      <w:szCs w:val="20"/>
                      <w:highlight w:val="none"/>
                      <w:u w:val="none"/>
                      <w:lang w:val="en-US" w:eastAsia="zh-CN" w:bidi="ar"/>
                    </w:rPr>
                    <w:t>功能包含：通行记录查询、自动开具票据、默认抬头开具。</w:t>
                  </w:r>
                </w:p>
              </w:tc>
              <w:tc>
                <w:tcPr>
                  <w:tcW w:w="1301" w:type="pct"/>
                  <w:vMerge w:val="continue"/>
                  <w:shd w:val="clear" w:color="000000" w:fill="auto"/>
                  <w:noWrap w:val="0"/>
                  <w:vAlign w:val="center"/>
                </w:tcPr>
                <w:p w14:paraId="770B9A5C">
                  <w:pPr>
                    <w:keepNext w:val="0"/>
                    <w:keepLines w:val="0"/>
                    <w:widowControl/>
                    <w:suppressLineNumbers w:val="0"/>
                    <w:jc w:val="left"/>
                    <w:textAlignment w:val="center"/>
                    <w:rPr>
                      <w:rFonts w:hint="default" w:ascii="仿宋" w:hAnsi="仿宋" w:eastAsia="仿宋" w:cs="仿宋"/>
                      <w:i w:val="0"/>
                      <w:iCs w:val="0"/>
                      <w:color w:val="auto"/>
                      <w:kern w:val="0"/>
                      <w:sz w:val="20"/>
                      <w:szCs w:val="20"/>
                      <w:highlight w:val="none"/>
                      <w:u w:val="none"/>
                      <w:lang w:val="en-US" w:eastAsia="zh-CN" w:bidi="ar"/>
                    </w:rPr>
                  </w:pPr>
                </w:p>
              </w:tc>
            </w:tr>
            <w:tr w14:paraId="11F31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81" w:type="pct"/>
                  <w:vMerge w:val="continue"/>
                  <w:shd w:val="clear" w:color="000000" w:fill="auto"/>
                  <w:noWrap w:val="0"/>
                  <w:vAlign w:val="center"/>
                </w:tcPr>
                <w:p w14:paraId="42794460">
                  <w:pPr>
                    <w:adjustRightInd w:val="0"/>
                    <w:snapToGrid w:val="0"/>
                    <w:jc w:val="left"/>
                    <w:rPr>
                      <w:rFonts w:hint="eastAsia" w:ascii="仿宋_GB2312" w:hAnsi="仿宋_GB2312" w:eastAsia="仿宋_GB2312" w:cs="仿宋_GB2312"/>
                      <w:color w:val="auto"/>
                      <w:szCs w:val="21"/>
                      <w:highlight w:val="none"/>
                    </w:rPr>
                  </w:pPr>
                </w:p>
              </w:tc>
              <w:tc>
                <w:tcPr>
                  <w:tcW w:w="514" w:type="pct"/>
                  <w:shd w:val="clear" w:color="000000" w:fill="auto"/>
                  <w:noWrap w:val="0"/>
                  <w:vAlign w:val="center"/>
                </w:tcPr>
                <w:p w14:paraId="4327C612">
                  <w:pPr>
                    <w:keepNext w:val="0"/>
                    <w:keepLines w:val="0"/>
                    <w:widowControl/>
                    <w:suppressLineNumbers w:val="0"/>
                    <w:jc w:val="center"/>
                    <w:textAlignment w:val="center"/>
                    <w:rPr>
                      <w:rFonts w:hint="eastAsia" w:ascii="仿宋_GB2312" w:hAnsi="仿宋_GB2312" w:eastAsia="仿宋_GB2312" w:cs="仿宋_GB2312"/>
                      <w:color w:val="auto"/>
                      <w:szCs w:val="21"/>
                      <w:highlight w:val="none"/>
                    </w:rPr>
                  </w:pPr>
                  <w:r>
                    <w:rPr>
                      <w:rFonts w:hint="default" w:ascii="仿宋" w:hAnsi="仿宋" w:eastAsia="仿宋" w:cs="仿宋"/>
                      <w:i w:val="0"/>
                      <w:iCs w:val="0"/>
                      <w:color w:val="auto"/>
                      <w:kern w:val="0"/>
                      <w:sz w:val="20"/>
                      <w:szCs w:val="20"/>
                      <w:highlight w:val="none"/>
                      <w:u w:val="none"/>
                      <w:lang w:val="en-US" w:eastAsia="zh-CN" w:bidi="ar"/>
                    </w:rPr>
                    <w:t>状态提醒</w:t>
                  </w:r>
                </w:p>
              </w:tc>
              <w:tc>
                <w:tcPr>
                  <w:tcW w:w="2601" w:type="pct"/>
                  <w:shd w:val="clear" w:color="000000" w:fill="auto"/>
                  <w:noWrap w:val="0"/>
                  <w:vAlign w:val="center"/>
                </w:tcPr>
                <w:p w14:paraId="354C8E18">
                  <w:pPr>
                    <w:keepNext w:val="0"/>
                    <w:keepLines w:val="0"/>
                    <w:widowControl/>
                    <w:suppressLineNumbers w:val="0"/>
                    <w:jc w:val="left"/>
                    <w:textAlignment w:val="center"/>
                    <w:rPr>
                      <w:rFonts w:hint="eastAsia" w:ascii="仿宋_GB2312" w:hAnsi="仿宋_GB2312" w:eastAsia="仿宋_GB2312" w:cs="仿宋_GB2312"/>
                      <w:color w:val="auto"/>
                      <w:szCs w:val="21"/>
                      <w:highlight w:val="none"/>
                    </w:rPr>
                  </w:pPr>
                  <w:r>
                    <w:rPr>
                      <w:rFonts w:hint="default" w:ascii="仿宋" w:hAnsi="仿宋" w:eastAsia="仿宋" w:cs="仿宋"/>
                      <w:i w:val="0"/>
                      <w:iCs w:val="0"/>
                      <w:color w:val="auto"/>
                      <w:kern w:val="0"/>
                      <w:sz w:val="20"/>
                      <w:szCs w:val="20"/>
                      <w:highlight w:val="none"/>
                      <w:u w:val="none"/>
                      <w:lang w:val="en-US" w:eastAsia="zh-CN" w:bidi="ar"/>
                    </w:rPr>
                    <w:t>功能包含：票据开具、红票处理、异常反馈。</w:t>
                  </w:r>
                </w:p>
              </w:tc>
              <w:tc>
                <w:tcPr>
                  <w:tcW w:w="1301" w:type="pct"/>
                  <w:vMerge w:val="continue"/>
                  <w:shd w:val="clear" w:color="000000" w:fill="auto"/>
                  <w:noWrap w:val="0"/>
                  <w:vAlign w:val="center"/>
                </w:tcPr>
                <w:p w14:paraId="1179536E">
                  <w:pPr>
                    <w:keepNext w:val="0"/>
                    <w:keepLines w:val="0"/>
                    <w:widowControl/>
                    <w:suppressLineNumbers w:val="0"/>
                    <w:jc w:val="left"/>
                    <w:textAlignment w:val="center"/>
                    <w:rPr>
                      <w:rFonts w:hint="default" w:ascii="仿宋" w:hAnsi="仿宋" w:eastAsia="仿宋" w:cs="仿宋"/>
                      <w:i w:val="0"/>
                      <w:iCs w:val="0"/>
                      <w:color w:val="auto"/>
                      <w:kern w:val="0"/>
                      <w:sz w:val="20"/>
                      <w:szCs w:val="20"/>
                      <w:highlight w:val="none"/>
                      <w:u w:val="none"/>
                      <w:lang w:val="en-US" w:eastAsia="zh-CN" w:bidi="ar"/>
                    </w:rPr>
                  </w:pPr>
                </w:p>
              </w:tc>
            </w:tr>
            <w:tr w14:paraId="39008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81" w:type="pct"/>
                  <w:vMerge w:val="continue"/>
                  <w:shd w:val="clear" w:color="000000" w:fill="auto"/>
                  <w:noWrap w:val="0"/>
                  <w:vAlign w:val="center"/>
                </w:tcPr>
                <w:p w14:paraId="3D6AB0E2">
                  <w:pPr>
                    <w:adjustRightInd w:val="0"/>
                    <w:snapToGrid w:val="0"/>
                    <w:jc w:val="left"/>
                    <w:rPr>
                      <w:rFonts w:hint="eastAsia" w:ascii="仿宋_GB2312" w:hAnsi="仿宋_GB2312" w:eastAsia="仿宋_GB2312" w:cs="仿宋_GB2312"/>
                      <w:color w:val="auto"/>
                      <w:szCs w:val="21"/>
                      <w:highlight w:val="none"/>
                    </w:rPr>
                  </w:pPr>
                </w:p>
              </w:tc>
              <w:tc>
                <w:tcPr>
                  <w:tcW w:w="514" w:type="pct"/>
                  <w:shd w:val="clear" w:color="000000" w:fill="auto"/>
                  <w:noWrap w:val="0"/>
                  <w:vAlign w:val="center"/>
                </w:tcPr>
                <w:p w14:paraId="5F44FFEA">
                  <w:pPr>
                    <w:keepNext w:val="0"/>
                    <w:keepLines w:val="0"/>
                    <w:widowControl/>
                    <w:suppressLineNumbers w:val="0"/>
                    <w:jc w:val="center"/>
                    <w:textAlignment w:val="center"/>
                    <w:rPr>
                      <w:rFonts w:hint="eastAsia" w:ascii="仿宋_GB2312" w:hAnsi="仿宋_GB2312" w:eastAsia="仿宋_GB2312" w:cs="仿宋_GB2312"/>
                      <w:color w:val="auto"/>
                      <w:szCs w:val="21"/>
                      <w:highlight w:val="none"/>
                    </w:rPr>
                  </w:pPr>
                  <w:r>
                    <w:rPr>
                      <w:rFonts w:hint="default" w:ascii="仿宋" w:hAnsi="仿宋" w:eastAsia="仿宋" w:cs="仿宋"/>
                      <w:i w:val="0"/>
                      <w:iCs w:val="0"/>
                      <w:color w:val="auto"/>
                      <w:kern w:val="0"/>
                      <w:sz w:val="20"/>
                      <w:szCs w:val="20"/>
                      <w:highlight w:val="none"/>
                      <w:u w:val="none"/>
                      <w:lang w:val="en-US" w:eastAsia="zh-CN" w:bidi="ar"/>
                    </w:rPr>
                    <w:t>常见问题</w:t>
                  </w:r>
                </w:p>
              </w:tc>
              <w:tc>
                <w:tcPr>
                  <w:tcW w:w="2601" w:type="pct"/>
                  <w:shd w:val="clear" w:color="000000" w:fill="auto"/>
                  <w:noWrap w:val="0"/>
                  <w:vAlign w:val="center"/>
                </w:tcPr>
                <w:p w14:paraId="7AA466F2">
                  <w:pPr>
                    <w:keepNext w:val="0"/>
                    <w:keepLines w:val="0"/>
                    <w:widowControl/>
                    <w:suppressLineNumbers w:val="0"/>
                    <w:jc w:val="left"/>
                    <w:textAlignment w:val="center"/>
                    <w:rPr>
                      <w:rFonts w:hint="eastAsia" w:ascii="仿宋_GB2312" w:hAnsi="仿宋_GB2312" w:eastAsia="仿宋_GB2312" w:cs="仿宋_GB2312"/>
                      <w:color w:val="auto"/>
                      <w:szCs w:val="21"/>
                      <w:highlight w:val="none"/>
                    </w:rPr>
                  </w:pPr>
                  <w:r>
                    <w:rPr>
                      <w:rFonts w:hint="default" w:ascii="仿宋" w:hAnsi="仿宋" w:eastAsia="仿宋" w:cs="仿宋"/>
                      <w:i w:val="0"/>
                      <w:iCs w:val="0"/>
                      <w:color w:val="auto"/>
                      <w:kern w:val="0"/>
                      <w:sz w:val="20"/>
                      <w:szCs w:val="20"/>
                      <w:highlight w:val="none"/>
                      <w:u w:val="none"/>
                      <w:lang w:val="en-US" w:eastAsia="zh-CN" w:bidi="ar"/>
                    </w:rPr>
                    <w:t>功能包含：常见问题查询、问题分类、问题详情。</w:t>
                  </w:r>
                </w:p>
              </w:tc>
              <w:tc>
                <w:tcPr>
                  <w:tcW w:w="1301" w:type="pct"/>
                  <w:vMerge w:val="continue"/>
                  <w:shd w:val="clear" w:color="000000" w:fill="auto"/>
                  <w:noWrap w:val="0"/>
                  <w:vAlign w:val="center"/>
                </w:tcPr>
                <w:p w14:paraId="6A376CC2">
                  <w:pPr>
                    <w:keepNext w:val="0"/>
                    <w:keepLines w:val="0"/>
                    <w:widowControl/>
                    <w:suppressLineNumbers w:val="0"/>
                    <w:jc w:val="left"/>
                    <w:textAlignment w:val="center"/>
                    <w:rPr>
                      <w:rFonts w:hint="default" w:ascii="仿宋" w:hAnsi="仿宋" w:eastAsia="仿宋" w:cs="仿宋"/>
                      <w:i w:val="0"/>
                      <w:iCs w:val="0"/>
                      <w:color w:val="auto"/>
                      <w:kern w:val="0"/>
                      <w:sz w:val="20"/>
                      <w:szCs w:val="20"/>
                      <w:highlight w:val="none"/>
                      <w:u w:val="none"/>
                      <w:lang w:val="en-US" w:eastAsia="zh-CN" w:bidi="ar"/>
                    </w:rPr>
                  </w:pPr>
                </w:p>
              </w:tc>
            </w:tr>
            <w:tr w14:paraId="1C543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81" w:type="pct"/>
                  <w:vMerge w:val="continue"/>
                  <w:shd w:val="clear" w:color="000000" w:fill="auto"/>
                  <w:noWrap w:val="0"/>
                  <w:vAlign w:val="center"/>
                </w:tcPr>
                <w:p w14:paraId="5DCEF8DD">
                  <w:pPr>
                    <w:adjustRightInd w:val="0"/>
                    <w:snapToGrid w:val="0"/>
                    <w:jc w:val="left"/>
                    <w:rPr>
                      <w:rFonts w:hint="eastAsia" w:ascii="仿宋_GB2312" w:hAnsi="仿宋_GB2312" w:eastAsia="仿宋_GB2312" w:cs="仿宋_GB2312"/>
                      <w:color w:val="auto"/>
                      <w:szCs w:val="21"/>
                      <w:highlight w:val="none"/>
                    </w:rPr>
                  </w:pPr>
                </w:p>
              </w:tc>
              <w:tc>
                <w:tcPr>
                  <w:tcW w:w="514" w:type="pct"/>
                  <w:shd w:val="clear" w:color="000000" w:fill="auto"/>
                  <w:noWrap w:val="0"/>
                  <w:vAlign w:val="center"/>
                </w:tcPr>
                <w:p w14:paraId="0BAFD55F">
                  <w:pPr>
                    <w:keepNext w:val="0"/>
                    <w:keepLines w:val="0"/>
                    <w:widowControl/>
                    <w:suppressLineNumbers w:val="0"/>
                    <w:jc w:val="center"/>
                    <w:textAlignment w:val="center"/>
                    <w:rPr>
                      <w:rFonts w:hint="eastAsia" w:ascii="仿宋_GB2312" w:hAnsi="仿宋_GB2312" w:eastAsia="仿宋_GB2312" w:cs="仿宋_GB2312"/>
                      <w:color w:val="auto"/>
                      <w:szCs w:val="21"/>
                      <w:highlight w:val="none"/>
                    </w:rPr>
                  </w:pPr>
                  <w:r>
                    <w:rPr>
                      <w:rFonts w:hint="default" w:ascii="仿宋" w:hAnsi="仿宋" w:eastAsia="仿宋" w:cs="仿宋"/>
                      <w:i w:val="0"/>
                      <w:iCs w:val="0"/>
                      <w:color w:val="auto"/>
                      <w:kern w:val="0"/>
                      <w:sz w:val="20"/>
                      <w:szCs w:val="20"/>
                      <w:highlight w:val="none"/>
                      <w:u w:val="none"/>
                      <w:lang w:val="en-US" w:eastAsia="zh-CN" w:bidi="ar"/>
                    </w:rPr>
                    <w:t>操作指南</w:t>
                  </w:r>
                </w:p>
              </w:tc>
              <w:tc>
                <w:tcPr>
                  <w:tcW w:w="2601" w:type="pct"/>
                  <w:shd w:val="clear" w:color="000000" w:fill="auto"/>
                  <w:noWrap w:val="0"/>
                  <w:vAlign w:val="center"/>
                </w:tcPr>
                <w:p w14:paraId="664E1408">
                  <w:pPr>
                    <w:keepNext w:val="0"/>
                    <w:keepLines w:val="0"/>
                    <w:widowControl/>
                    <w:suppressLineNumbers w:val="0"/>
                    <w:jc w:val="left"/>
                    <w:textAlignment w:val="center"/>
                    <w:rPr>
                      <w:rFonts w:hint="eastAsia" w:ascii="仿宋_GB2312" w:hAnsi="仿宋_GB2312" w:eastAsia="仿宋_GB2312" w:cs="仿宋_GB2312"/>
                      <w:color w:val="auto"/>
                      <w:szCs w:val="21"/>
                      <w:highlight w:val="none"/>
                    </w:rPr>
                  </w:pPr>
                  <w:r>
                    <w:rPr>
                      <w:rFonts w:hint="default" w:ascii="仿宋" w:hAnsi="仿宋" w:eastAsia="仿宋" w:cs="仿宋"/>
                      <w:i w:val="0"/>
                      <w:iCs w:val="0"/>
                      <w:color w:val="auto"/>
                      <w:kern w:val="0"/>
                      <w:sz w:val="20"/>
                      <w:szCs w:val="20"/>
                      <w:highlight w:val="none"/>
                      <w:u w:val="none"/>
                      <w:lang w:val="en-US" w:eastAsia="zh-CN" w:bidi="ar"/>
                    </w:rPr>
                    <w:t>功能包含：票据开具流程、查看下载票据、换开票据、验证车辆、抬头设置指南。</w:t>
                  </w:r>
                </w:p>
              </w:tc>
              <w:tc>
                <w:tcPr>
                  <w:tcW w:w="1301" w:type="pct"/>
                  <w:vMerge w:val="continue"/>
                  <w:shd w:val="clear" w:color="000000" w:fill="auto"/>
                  <w:noWrap w:val="0"/>
                  <w:vAlign w:val="center"/>
                </w:tcPr>
                <w:p w14:paraId="02A8C52C">
                  <w:pPr>
                    <w:keepNext w:val="0"/>
                    <w:keepLines w:val="0"/>
                    <w:widowControl/>
                    <w:suppressLineNumbers w:val="0"/>
                    <w:jc w:val="left"/>
                    <w:textAlignment w:val="center"/>
                    <w:rPr>
                      <w:rFonts w:hint="default" w:ascii="仿宋" w:hAnsi="仿宋" w:eastAsia="仿宋" w:cs="仿宋"/>
                      <w:i w:val="0"/>
                      <w:iCs w:val="0"/>
                      <w:color w:val="auto"/>
                      <w:kern w:val="0"/>
                      <w:sz w:val="20"/>
                      <w:szCs w:val="20"/>
                      <w:highlight w:val="none"/>
                      <w:u w:val="none"/>
                      <w:lang w:val="en-US" w:eastAsia="zh-CN" w:bidi="ar"/>
                    </w:rPr>
                  </w:pPr>
                </w:p>
              </w:tc>
            </w:tr>
            <w:tr w14:paraId="6529C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81" w:type="pct"/>
                  <w:vMerge w:val="continue"/>
                  <w:shd w:val="clear" w:color="000000" w:fill="auto"/>
                  <w:noWrap w:val="0"/>
                  <w:vAlign w:val="center"/>
                </w:tcPr>
                <w:p w14:paraId="29B3E8EA">
                  <w:pPr>
                    <w:adjustRightInd w:val="0"/>
                    <w:snapToGrid w:val="0"/>
                    <w:jc w:val="left"/>
                    <w:rPr>
                      <w:rFonts w:hint="eastAsia" w:ascii="仿宋_GB2312" w:hAnsi="仿宋_GB2312" w:eastAsia="仿宋_GB2312" w:cs="仿宋_GB2312"/>
                      <w:color w:val="auto"/>
                      <w:szCs w:val="21"/>
                      <w:highlight w:val="none"/>
                    </w:rPr>
                  </w:pPr>
                </w:p>
              </w:tc>
              <w:tc>
                <w:tcPr>
                  <w:tcW w:w="514" w:type="pct"/>
                  <w:shd w:val="clear" w:color="000000" w:fill="auto"/>
                  <w:noWrap w:val="0"/>
                  <w:vAlign w:val="center"/>
                </w:tcPr>
                <w:p w14:paraId="4BD13D73">
                  <w:pPr>
                    <w:keepNext w:val="0"/>
                    <w:keepLines w:val="0"/>
                    <w:widowControl/>
                    <w:suppressLineNumbers w:val="0"/>
                    <w:jc w:val="center"/>
                    <w:textAlignment w:val="center"/>
                    <w:rPr>
                      <w:rFonts w:hint="eastAsia" w:ascii="仿宋_GB2312" w:hAnsi="仿宋_GB2312" w:eastAsia="仿宋_GB2312" w:cs="仿宋_GB2312"/>
                      <w:color w:val="auto"/>
                      <w:szCs w:val="21"/>
                      <w:highlight w:val="none"/>
                    </w:rPr>
                  </w:pPr>
                  <w:r>
                    <w:rPr>
                      <w:rFonts w:hint="default" w:ascii="仿宋" w:hAnsi="仿宋" w:eastAsia="仿宋" w:cs="仿宋"/>
                      <w:i w:val="0"/>
                      <w:iCs w:val="0"/>
                      <w:color w:val="auto"/>
                      <w:kern w:val="0"/>
                      <w:sz w:val="20"/>
                      <w:szCs w:val="20"/>
                      <w:highlight w:val="none"/>
                      <w:u w:val="none"/>
                      <w:lang w:val="en-US" w:eastAsia="zh-CN" w:bidi="ar"/>
                    </w:rPr>
                    <w:t>意见反馈</w:t>
                  </w:r>
                </w:p>
              </w:tc>
              <w:tc>
                <w:tcPr>
                  <w:tcW w:w="2601" w:type="pct"/>
                  <w:shd w:val="clear" w:color="000000" w:fill="auto"/>
                  <w:noWrap w:val="0"/>
                  <w:vAlign w:val="center"/>
                </w:tcPr>
                <w:p w14:paraId="19CA3400">
                  <w:pPr>
                    <w:keepNext w:val="0"/>
                    <w:keepLines w:val="0"/>
                    <w:widowControl/>
                    <w:suppressLineNumbers w:val="0"/>
                    <w:jc w:val="left"/>
                    <w:textAlignment w:val="center"/>
                    <w:rPr>
                      <w:rFonts w:hint="eastAsia" w:ascii="仿宋_GB2312" w:hAnsi="仿宋_GB2312" w:eastAsia="仿宋_GB2312" w:cs="仿宋_GB2312"/>
                      <w:color w:val="auto"/>
                      <w:szCs w:val="21"/>
                      <w:highlight w:val="none"/>
                    </w:rPr>
                  </w:pPr>
                  <w:r>
                    <w:rPr>
                      <w:rFonts w:hint="default" w:ascii="仿宋" w:hAnsi="仿宋" w:eastAsia="仿宋" w:cs="仿宋"/>
                      <w:i w:val="0"/>
                      <w:iCs w:val="0"/>
                      <w:color w:val="auto"/>
                      <w:kern w:val="0"/>
                      <w:sz w:val="20"/>
                      <w:szCs w:val="20"/>
                      <w:highlight w:val="none"/>
                      <w:u w:val="none"/>
                      <w:lang w:val="en-US" w:eastAsia="zh-CN" w:bidi="ar"/>
                    </w:rPr>
                    <w:t>功能包含：意见分类、内容提交（包含图片）。</w:t>
                  </w:r>
                </w:p>
              </w:tc>
              <w:tc>
                <w:tcPr>
                  <w:tcW w:w="1301" w:type="pct"/>
                  <w:vMerge w:val="continue"/>
                  <w:shd w:val="clear" w:color="000000" w:fill="auto"/>
                  <w:noWrap w:val="0"/>
                  <w:vAlign w:val="center"/>
                </w:tcPr>
                <w:p w14:paraId="064FCF73">
                  <w:pPr>
                    <w:keepNext w:val="0"/>
                    <w:keepLines w:val="0"/>
                    <w:widowControl/>
                    <w:suppressLineNumbers w:val="0"/>
                    <w:jc w:val="left"/>
                    <w:textAlignment w:val="center"/>
                    <w:rPr>
                      <w:rFonts w:hint="default" w:ascii="仿宋" w:hAnsi="仿宋" w:eastAsia="仿宋" w:cs="仿宋"/>
                      <w:i w:val="0"/>
                      <w:iCs w:val="0"/>
                      <w:color w:val="auto"/>
                      <w:kern w:val="0"/>
                      <w:sz w:val="20"/>
                      <w:szCs w:val="20"/>
                      <w:highlight w:val="none"/>
                      <w:u w:val="none"/>
                      <w:lang w:val="en-US" w:eastAsia="zh-CN" w:bidi="ar"/>
                    </w:rPr>
                  </w:pPr>
                </w:p>
              </w:tc>
            </w:tr>
            <w:tr w14:paraId="4CFBA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81" w:type="pct"/>
                  <w:vMerge w:val="continue"/>
                  <w:shd w:val="clear" w:color="000000" w:fill="auto"/>
                  <w:noWrap w:val="0"/>
                  <w:vAlign w:val="center"/>
                </w:tcPr>
                <w:p w14:paraId="0F2C2B50">
                  <w:pPr>
                    <w:adjustRightInd w:val="0"/>
                    <w:snapToGrid w:val="0"/>
                    <w:jc w:val="left"/>
                    <w:rPr>
                      <w:rFonts w:hint="eastAsia" w:ascii="仿宋_GB2312" w:hAnsi="仿宋_GB2312" w:eastAsia="仿宋_GB2312" w:cs="仿宋_GB2312"/>
                      <w:color w:val="auto"/>
                      <w:szCs w:val="21"/>
                      <w:highlight w:val="none"/>
                    </w:rPr>
                  </w:pPr>
                </w:p>
              </w:tc>
              <w:tc>
                <w:tcPr>
                  <w:tcW w:w="514" w:type="pct"/>
                  <w:shd w:val="clear" w:color="000000" w:fill="auto"/>
                  <w:noWrap w:val="0"/>
                  <w:vAlign w:val="center"/>
                </w:tcPr>
                <w:p w14:paraId="4552D57E">
                  <w:pPr>
                    <w:keepNext w:val="0"/>
                    <w:keepLines w:val="0"/>
                    <w:widowControl/>
                    <w:suppressLineNumbers w:val="0"/>
                    <w:jc w:val="center"/>
                    <w:textAlignment w:val="center"/>
                    <w:rPr>
                      <w:rFonts w:hint="eastAsia" w:ascii="仿宋_GB2312" w:hAnsi="仿宋_GB2312" w:eastAsia="仿宋_GB2312" w:cs="仿宋_GB2312"/>
                      <w:color w:val="auto"/>
                      <w:szCs w:val="21"/>
                      <w:highlight w:val="none"/>
                    </w:rPr>
                  </w:pPr>
                  <w:r>
                    <w:rPr>
                      <w:rFonts w:hint="default" w:ascii="仿宋" w:hAnsi="仿宋" w:eastAsia="仿宋" w:cs="仿宋"/>
                      <w:i w:val="0"/>
                      <w:iCs w:val="0"/>
                      <w:color w:val="auto"/>
                      <w:kern w:val="0"/>
                      <w:sz w:val="20"/>
                      <w:szCs w:val="20"/>
                      <w:highlight w:val="none"/>
                      <w:u w:val="none"/>
                      <w:lang w:val="en-US" w:eastAsia="zh-CN" w:bidi="ar"/>
                    </w:rPr>
                    <w:t>卡包授权</w:t>
                  </w:r>
                </w:p>
              </w:tc>
              <w:tc>
                <w:tcPr>
                  <w:tcW w:w="2601" w:type="pct"/>
                  <w:shd w:val="clear" w:color="000000" w:fill="auto"/>
                  <w:noWrap w:val="0"/>
                  <w:vAlign w:val="center"/>
                </w:tcPr>
                <w:p w14:paraId="2D06325C">
                  <w:pPr>
                    <w:keepNext w:val="0"/>
                    <w:keepLines w:val="0"/>
                    <w:widowControl/>
                    <w:suppressLineNumbers w:val="0"/>
                    <w:jc w:val="left"/>
                    <w:textAlignment w:val="center"/>
                    <w:rPr>
                      <w:rFonts w:hint="eastAsia" w:ascii="仿宋_GB2312" w:hAnsi="仿宋_GB2312" w:eastAsia="仿宋_GB2312" w:cs="仿宋_GB2312"/>
                      <w:color w:val="auto"/>
                      <w:szCs w:val="21"/>
                      <w:highlight w:val="none"/>
                    </w:rPr>
                  </w:pPr>
                  <w:r>
                    <w:rPr>
                      <w:rFonts w:hint="default" w:ascii="仿宋" w:hAnsi="仿宋" w:eastAsia="仿宋" w:cs="仿宋"/>
                      <w:i w:val="0"/>
                      <w:iCs w:val="0"/>
                      <w:color w:val="auto"/>
                      <w:kern w:val="0"/>
                      <w:sz w:val="20"/>
                      <w:szCs w:val="20"/>
                      <w:highlight w:val="none"/>
                      <w:u w:val="none"/>
                      <w:lang w:val="en-US" w:eastAsia="zh-CN" w:bidi="ar"/>
                    </w:rPr>
                    <w:t>功能包含：微信卡包授权</w:t>
                  </w:r>
                </w:p>
              </w:tc>
              <w:tc>
                <w:tcPr>
                  <w:tcW w:w="1301" w:type="pct"/>
                  <w:vMerge w:val="continue"/>
                  <w:shd w:val="clear" w:color="000000" w:fill="auto"/>
                  <w:noWrap w:val="0"/>
                  <w:vAlign w:val="center"/>
                </w:tcPr>
                <w:p w14:paraId="336EB3C1">
                  <w:pPr>
                    <w:keepNext w:val="0"/>
                    <w:keepLines w:val="0"/>
                    <w:widowControl/>
                    <w:suppressLineNumbers w:val="0"/>
                    <w:jc w:val="left"/>
                    <w:textAlignment w:val="center"/>
                    <w:rPr>
                      <w:rFonts w:hint="default" w:ascii="仿宋" w:hAnsi="仿宋" w:eastAsia="仿宋" w:cs="仿宋"/>
                      <w:i w:val="0"/>
                      <w:iCs w:val="0"/>
                      <w:color w:val="auto"/>
                      <w:kern w:val="0"/>
                      <w:sz w:val="20"/>
                      <w:szCs w:val="20"/>
                      <w:highlight w:val="none"/>
                      <w:u w:val="none"/>
                      <w:lang w:val="en-US" w:eastAsia="zh-CN" w:bidi="ar"/>
                    </w:rPr>
                  </w:pPr>
                </w:p>
              </w:tc>
            </w:tr>
            <w:tr w14:paraId="58000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581" w:type="pct"/>
                  <w:vMerge w:val="restart"/>
                  <w:shd w:val="clear" w:color="000000" w:fill="auto"/>
                  <w:noWrap w:val="0"/>
                  <w:vAlign w:val="center"/>
                </w:tcPr>
                <w:p w14:paraId="01CF6D39">
                  <w:pPr>
                    <w:adjustRightInd w:val="0"/>
                    <w:snapToGrid w:val="0"/>
                    <w:jc w:val="left"/>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票据管理服务</w:t>
                  </w:r>
                </w:p>
              </w:tc>
              <w:tc>
                <w:tcPr>
                  <w:tcW w:w="514" w:type="pct"/>
                  <w:shd w:val="clear" w:color="000000" w:fill="auto"/>
                  <w:noWrap w:val="0"/>
                  <w:vAlign w:val="center"/>
                </w:tcPr>
                <w:p w14:paraId="5805A057">
                  <w:pPr>
                    <w:keepNext w:val="0"/>
                    <w:keepLines w:val="0"/>
                    <w:widowControl/>
                    <w:suppressLineNumbers w:val="0"/>
                    <w:jc w:val="center"/>
                    <w:textAlignment w:val="center"/>
                    <w:rPr>
                      <w:rFonts w:hint="eastAsia" w:ascii="仿宋_GB2312" w:hAnsi="仿宋_GB2312" w:eastAsia="仿宋_GB2312" w:cs="仿宋_GB2312"/>
                      <w:color w:val="auto"/>
                      <w:szCs w:val="21"/>
                      <w:highlight w:val="none"/>
                    </w:rPr>
                  </w:pPr>
                  <w:r>
                    <w:rPr>
                      <w:rFonts w:hint="default" w:ascii="仿宋" w:hAnsi="仿宋" w:eastAsia="仿宋" w:cs="仿宋"/>
                      <w:i w:val="0"/>
                      <w:iCs w:val="0"/>
                      <w:color w:val="auto"/>
                      <w:kern w:val="0"/>
                      <w:sz w:val="20"/>
                      <w:szCs w:val="20"/>
                      <w:highlight w:val="none"/>
                      <w:u w:val="none"/>
                      <w:lang w:val="en-US" w:eastAsia="zh-CN" w:bidi="ar"/>
                    </w:rPr>
                    <w:t>登录管理</w:t>
                  </w:r>
                </w:p>
              </w:tc>
              <w:tc>
                <w:tcPr>
                  <w:tcW w:w="2601" w:type="pct"/>
                  <w:shd w:val="clear" w:color="000000" w:fill="auto"/>
                  <w:noWrap w:val="0"/>
                  <w:vAlign w:val="center"/>
                </w:tcPr>
                <w:p w14:paraId="61411FE3">
                  <w:pPr>
                    <w:keepNext w:val="0"/>
                    <w:keepLines w:val="0"/>
                    <w:widowControl/>
                    <w:suppressLineNumbers w:val="0"/>
                    <w:jc w:val="left"/>
                    <w:textAlignment w:val="center"/>
                    <w:rPr>
                      <w:rFonts w:hint="eastAsia" w:ascii="仿宋_GB2312" w:hAnsi="仿宋_GB2312" w:eastAsia="仿宋_GB2312" w:cs="仿宋_GB2312"/>
                      <w:color w:val="auto"/>
                      <w:szCs w:val="21"/>
                      <w:highlight w:val="none"/>
                    </w:rPr>
                  </w:pPr>
                  <w:r>
                    <w:rPr>
                      <w:rFonts w:hint="default" w:ascii="仿宋" w:hAnsi="仿宋" w:eastAsia="仿宋" w:cs="仿宋"/>
                      <w:i w:val="0"/>
                      <w:iCs w:val="0"/>
                      <w:color w:val="auto"/>
                      <w:kern w:val="0"/>
                      <w:sz w:val="20"/>
                      <w:szCs w:val="20"/>
                      <w:highlight w:val="none"/>
                      <w:u w:val="none"/>
                      <w:lang w:val="en-US" w:eastAsia="zh-CN" w:bidi="ar"/>
                    </w:rPr>
                    <w:t>功能包含：安全登录、分级管理、密码管理、数据分权、菜单分权。</w:t>
                  </w:r>
                </w:p>
              </w:tc>
              <w:tc>
                <w:tcPr>
                  <w:tcW w:w="1301" w:type="pct"/>
                  <w:vMerge w:val="restart"/>
                  <w:shd w:val="clear" w:color="000000" w:fill="auto"/>
                  <w:noWrap w:val="0"/>
                  <w:vAlign w:val="center"/>
                </w:tcPr>
                <w:p w14:paraId="32ED982D">
                  <w:pPr>
                    <w:keepNext w:val="0"/>
                    <w:keepLines w:val="0"/>
                    <w:widowControl/>
                    <w:suppressLineNumbers w:val="0"/>
                    <w:jc w:val="left"/>
                    <w:textAlignment w:val="center"/>
                    <w:rPr>
                      <w:rFonts w:hint="default" w:ascii="仿宋" w:hAnsi="仿宋" w:eastAsia="仿宋" w:cs="仿宋"/>
                      <w:i w:val="0"/>
                      <w:iCs w:val="0"/>
                      <w:color w:val="auto"/>
                      <w:kern w:val="0"/>
                      <w:sz w:val="20"/>
                      <w:szCs w:val="20"/>
                      <w:highlight w:val="none"/>
                      <w:u w:val="none"/>
                      <w:lang w:val="en-US" w:eastAsia="zh-CN" w:bidi="ar"/>
                    </w:rPr>
                  </w:pPr>
                  <w:r>
                    <w:rPr>
                      <w:rFonts w:hint="default" w:ascii="仿宋" w:hAnsi="仿宋" w:eastAsia="仿宋" w:cs="仿宋"/>
                      <w:i w:val="0"/>
                      <w:iCs w:val="0"/>
                      <w:color w:val="auto"/>
                      <w:kern w:val="0"/>
                      <w:sz w:val="20"/>
                      <w:szCs w:val="20"/>
                      <w:highlight w:val="none"/>
                      <w:u w:val="none"/>
                      <w:lang w:val="en-US" w:eastAsia="zh-CN" w:bidi="ar"/>
                    </w:rPr>
                    <w:t>1.提供服务管理方业务概况、交易分析、票据统计分析、用户分析等可视化图形、报表统计、通行记录、普通票据查询、包缴票据查询等功能</w:t>
                  </w:r>
                </w:p>
                <w:p w14:paraId="53E62A10">
                  <w:pPr>
                    <w:keepNext w:val="0"/>
                    <w:keepLines w:val="0"/>
                    <w:widowControl/>
                    <w:suppressLineNumbers w:val="0"/>
                    <w:jc w:val="left"/>
                    <w:textAlignment w:val="center"/>
                    <w:rPr>
                      <w:rFonts w:hint="default" w:ascii="仿宋" w:hAnsi="仿宋" w:eastAsia="仿宋" w:cs="仿宋"/>
                      <w:i w:val="0"/>
                      <w:iCs w:val="0"/>
                      <w:color w:val="auto"/>
                      <w:kern w:val="0"/>
                      <w:sz w:val="20"/>
                      <w:szCs w:val="20"/>
                      <w:highlight w:val="none"/>
                      <w:u w:val="none"/>
                      <w:lang w:val="en-US" w:eastAsia="zh-CN" w:bidi="ar"/>
                    </w:rPr>
                  </w:pPr>
                  <w:r>
                    <w:rPr>
                      <w:rFonts w:hint="default" w:ascii="仿宋" w:hAnsi="仿宋" w:eastAsia="仿宋" w:cs="仿宋"/>
                      <w:i w:val="0"/>
                      <w:iCs w:val="0"/>
                      <w:color w:val="auto"/>
                      <w:kern w:val="0"/>
                      <w:sz w:val="20"/>
                      <w:szCs w:val="20"/>
                      <w:highlight w:val="none"/>
                      <w:u w:val="none"/>
                      <w:lang w:val="en-US" w:eastAsia="zh-CN" w:bidi="ar"/>
                    </w:rPr>
                    <w:t>2.支持开通100个后台管理账号，可分权限、角色、按钮查询相关数据。</w:t>
                  </w:r>
                </w:p>
              </w:tc>
            </w:tr>
            <w:tr w14:paraId="0ACA6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81" w:type="pct"/>
                  <w:vMerge w:val="continue"/>
                  <w:shd w:val="clear" w:color="000000" w:fill="auto"/>
                  <w:noWrap w:val="0"/>
                  <w:vAlign w:val="center"/>
                </w:tcPr>
                <w:p w14:paraId="4846BBFB">
                  <w:pPr>
                    <w:adjustRightInd w:val="0"/>
                    <w:snapToGrid w:val="0"/>
                    <w:jc w:val="left"/>
                    <w:rPr>
                      <w:rFonts w:hint="eastAsia" w:ascii="仿宋_GB2312" w:hAnsi="仿宋_GB2312" w:eastAsia="仿宋_GB2312" w:cs="仿宋_GB2312"/>
                      <w:color w:val="auto"/>
                      <w:szCs w:val="21"/>
                      <w:highlight w:val="none"/>
                    </w:rPr>
                  </w:pPr>
                </w:p>
              </w:tc>
              <w:tc>
                <w:tcPr>
                  <w:tcW w:w="514" w:type="pct"/>
                  <w:shd w:val="clear" w:color="000000" w:fill="auto"/>
                  <w:noWrap w:val="0"/>
                  <w:vAlign w:val="center"/>
                </w:tcPr>
                <w:p w14:paraId="094B1426">
                  <w:pPr>
                    <w:keepNext w:val="0"/>
                    <w:keepLines w:val="0"/>
                    <w:widowControl/>
                    <w:suppressLineNumbers w:val="0"/>
                    <w:jc w:val="center"/>
                    <w:textAlignment w:val="center"/>
                    <w:rPr>
                      <w:rFonts w:hint="eastAsia" w:ascii="仿宋_GB2312" w:hAnsi="仿宋_GB2312" w:eastAsia="仿宋_GB2312" w:cs="仿宋_GB2312"/>
                      <w:color w:val="auto"/>
                      <w:szCs w:val="21"/>
                      <w:highlight w:val="none"/>
                    </w:rPr>
                  </w:pPr>
                  <w:r>
                    <w:rPr>
                      <w:rFonts w:hint="default" w:ascii="仿宋" w:hAnsi="仿宋" w:eastAsia="仿宋" w:cs="仿宋"/>
                      <w:i w:val="0"/>
                      <w:iCs w:val="0"/>
                      <w:color w:val="auto"/>
                      <w:kern w:val="0"/>
                      <w:sz w:val="20"/>
                      <w:szCs w:val="20"/>
                      <w:highlight w:val="none"/>
                      <w:u w:val="none"/>
                      <w:lang w:val="en-US" w:eastAsia="zh-CN" w:bidi="ar"/>
                    </w:rPr>
                    <w:t>基础信息管理</w:t>
                  </w:r>
                </w:p>
              </w:tc>
              <w:tc>
                <w:tcPr>
                  <w:tcW w:w="2601" w:type="pct"/>
                  <w:shd w:val="clear" w:color="000000" w:fill="auto"/>
                  <w:noWrap w:val="0"/>
                  <w:vAlign w:val="center"/>
                </w:tcPr>
                <w:p w14:paraId="057685E4">
                  <w:pPr>
                    <w:keepNext w:val="0"/>
                    <w:keepLines w:val="0"/>
                    <w:widowControl/>
                    <w:suppressLineNumbers w:val="0"/>
                    <w:jc w:val="left"/>
                    <w:textAlignment w:val="center"/>
                    <w:rPr>
                      <w:rFonts w:hint="eastAsia" w:ascii="仿宋_GB2312" w:hAnsi="仿宋_GB2312" w:eastAsia="仿宋_GB2312" w:cs="仿宋_GB2312"/>
                      <w:color w:val="auto"/>
                      <w:szCs w:val="21"/>
                      <w:highlight w:val="none"/>
                    </w:rPr>
                  </w:pPr>
                  <w:r>
                    <w:rPr>
                      <w:rFonts w:hint="default" w:ascii="仿宋" w:hAnsi="仿宋" w:eastAsia="仿宋" w:cs="仿宋"/>
                      <w:i w:val="0"/>
                      <w:iCs w:val="0"/>
                      <w:color w:val="auto"/>
                      <w:kern w:val="0"/>
                      <w:sz w:val="20"/>
                      <w:szCs w:val="20"/>
                      <w:highlight w:val="none"/>
                      <w:u w:val="none"/>
                      <w:lang w:val="en-US" w:eastAsia="zh-CN" w:bidi="ar"/>
                    </w:rPr>
                    <w:t>功能包含：票据种类查询、通行记录查询、收费明细管理、支付渠道查询。</w:t>
                  </w:r>
                </w:p>
              </w:tc>
              <w:tc>
                <w:tcPr>
                  <w:tcW w:w="1301" w:type="pct"/>
                  <w:vMerge w:val="continue"/>
                  <w:shd w:val="clear" w:color="000000" w:fill="auto"/>
                  <w:noWrap w:val="0"/>
                  <w:vAlign w:val="center"/>
                </w:tcPr>
                <w:p w14:paraId="210039C3">
                  <w:pPr>
                    <w:keepNext w:val="0"/>
                    <w:keepLines w:val="0"/>
                    <w:widowControl/>
                    <w:suppressLineNumbers w:val="0"/>
                    <w:jc w:val="left"/>
                    <w:textAlignment w:val="center"/>
                    <w:rPr>
                      <w:rFonts w:hint="default" w:ascii="仿宋" w:hAnsi="仿宋" w:eastAsia="仿宋" w:cs="仿宋"/>
                      <w:i w:val="0"/>
                      <w:iCs w:val="0"/>
                      <w:color w:val="auto"/>
                      <w:kern w:val="0"/>
                      <w:sz w:val="20"/>
                      <w:szCs w:val="20"/>
                      <w:highlight w:val="none"/>
                      <w:u w:val="none"/>
                      <w:lang w:val="en-US" w:eastAsia="zh-CN" w:bidi="ar"/>
                    </w:rPr>
                  </w:pPr>
                </w:p>
              </w:tc>
            </w:tr>
            <w:tr w14:paraId="46F55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81" w:type="pct"/>
                  <w:vMerge w:val="continue"/>
                  <w:shd w:val="clear" w:color="000000" w:fill="auto"/>
                  <w:noWrap w:val="0"/>
                  <w:vAlign w:val="center"/>
                </w:tcPr>
                <w:p w14:paraId="5E352AD8">
                  <w:pPr>
                    <w:adjustRightInd w:val="0"/>
                    <w:snapToGrid w:val="0"/>
                    <w:jc w:val="left"/>
                    <w:rPr>
                      <w:rFonts w:hint="eastAsia" w:ascii="仿宋_GB2312" w:hAnsi="仿宋_GB2312" w:eastAsia="仿宋_GB2312" w:cs="仿宋_GB2312"/>
                      <w:color w:val="auto"/>
                      <w:szCs w:val="21"/>
                      <w:highlight w:val="none"/>
                    </w:rPr>
                  </w:pPr>
                </w:p>
              </w:tc>
              <w:tc>
                <w:tcPr>
                  <w:tcW w:w="514" w:type="pct"/>
                  <w:shd w:val="clear" w:color="000000" w:fill="auto"/>
                  <w:noWrap w:val="0"/>
                  <w:vAlign w:val="center"/>
                </w:tcPr>
                <w:p w14:paraId="6A03F262">
                  <w:pPr>
                    <w:keepNext w:val="0"/>
                    <w:keepLines w:val="0"/>
                    <w:widowControl/>
                    <w:suppressLineNumbers w:val="0"/>
                    <w:jc w:val="center"/>
                    <w:textAlignment w:val="center"/>
                    <w:rPr>
                      <w:rFonts w:hint="eastAsia" w:ascii="仿宋_GB2312" w:hAnsi="仿宋_GB2312" w:eastAsia="仿宋_GB2312" w:cs="仿宋_GB2312"/>
                      <w:color w:val="auto"/>
                      <w:szCs w:val="21"/>
                      <w:highlight w:val="none"/>
                    </w:rPr>
                  </w:pPr>
                  <w:r>
                    <w:rPr>
                      <w:rFonts w:hint="default" w:ascii="仿宋" w:hAnsi="仿宋" w:eastAsia="仿宋" w:cs="仿宋"/>
                      <w:i w:val="0"/>
                      <w:iCs w:val="0"/>
                      <w:color w:val="auto"/>
                      <w:kern w:val="0"/>
                      <w:sz w:val="20"/>
                      <w:szCs w:val="20"/>
                      <w:highlight w:val="none"/>
                      <w:u w:val="none"/>
                      <w:lang w:val="en-US" w:eastAsia="zh-CN" w:bidi="ar"/>
                    </w:rPr>
                    <w:t>票据抬头管理</w:t>
                  </w:r>
                </w:p>
              </w:tc>
              <w:tc>
                <w:tcPr>
                  <w:tcW w:w="2601" w:type="pct"/>
                  <w:shd w:val="clear" w:color="000000" w:fill="auto"/>
                  <w:noWrap w:val="0"/>
                  <w:vAlign w:val="center"/>
                </w:tcPr>
                <w:p w14:paraId="2E0500CC">
                  <w:pPr>
                    <w:keepNext w:val="0"/>
                    <w:keepLines w:val="0"/>
                    <w:widowControl/>
                    <w:suppressLineNumbers w:val="0"/>
                    <w:jc w:val="left"/>
                    <w:textAlignment w:val="center"/>
                    <w:rPr>
                      <w:rFonts w:hint="eastAsia" w:ascii="仿宋_GB2312" w:hAnsi="仿宋_GB2312" w:eastAsia="仿宋_GB2312" w:cs="仿宋_GB2312"/>
                      <w:color w:val="auto"/>
                      <w:szCs w:val="21"/>
                      <w:highlight w:val="none"/>
                    </w:rPr>
                  </w:pPr>
                  <w:r>
                    <w:rPr>
                      <w:rFonts w:hint="default" w:ascii="仿宋" w:hAnsi="仿宋" w:eastAsia="仿宋" w:cs="仿宋"/>
                      <w:i w:val="0"/>
                      <w:iCs w:val="0"/>
                      <w:color w:val="auto"/>
                      <w:kern w:val="0"/>
                      <w:sz w:val="20"/>
                      <w:szCs w:val="20"/>
                      <w:highlight w:val="none"/>
                      <w:u w:val="none"/>
                      <w:lang w:val="en-US" w:eastAsia="zh-CN" w:bidi="ar"/>
                    </w:rPr>
                    <w:t>功能包含：多维度组合查询。</w:t>
                  </w:r>
                </w:p>
              </w:tc>
              <w:tc>
                <w:tcPr>
                  <w:tcW w:w="1301" w:type="pct"/>
                  <w:vMerge w:val="continue"/>
                  <w:shd w:val="clear" w:color="000000" w:fill="auto"/>
                  <w:noWrap w:val="0"/>
                  <w:vAlign w:val="center"/>
                </w:tcPr>
                <w:p w14:paraId="67E786B8">
                  <w:pPr>
                    <w:keepNext w:val="0"/>
                    <w:keepLines w:val="0"/>
                    <w:widowControl/>
                    <w:suppressLineNumbers w:val="0"/>
                    <w:jc w:val="left"/>
                    <w:textAlignment w:val="center"/>
                    <w:rPr>
                      <w:rFonts w:hint="default" w:ascii="仿宋" w:hAnsi="仿宋" w:eastAsia="仿宋" w:cs="仿宋"/>
                      <w:i w:val="0"/>
                      <w:iCs w:val="0"/>
                      <w:color w:val="auto"/>
                      <w:kern w:val="0"/>
                      <w:sz w:val="20"/>
                      <w:szCs w:val="20"/>
                      <w:highlight w:val="none"/>
                      <w:u w:val="none"/>
                      <w:lang w:val="en-US" w:eastAsia="zh-CN" w:bidi="ar"/>
                    </w:rPr>
                  </w:pPr>
                </w:p>
              </w:tc>
            </w:tr>
            <w:tr w14:paraId="5C0B4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81" w:type="pct"/>
                  <w:vMerge w:val="continue"/>
                  <w:shd w:val="clear" w:color="000000" w:fill="auto"/>
                  <w:noWrap w:val="0"/>
                  <w:vAlign w:val="center"/>
                </w:tcPr>
                <w:p w14:paraId="15F4A3EB">
                  <w:pPr>
                    <w:adjustRightInd w:val="0"/>
                    <w:snapToGrid w:val="0"/>
                    <w:jc w:val="left"/>
                    <w:rPr>
                      <w:rFonts w:hint="eastAsia" w:ascii="仿宋_GB2312" w:hAnsi="仿宋_GB2312" w:eastAsia="仿宋_GB2312" w:cs="仿宋_GB2312"/>
                      <w:color w:val="auto"/>
                      <w:szCs w:val="21"/>
                      <w:highlight w:val="none"/>
                    </w:rPr>
                  </w:pPr>
                </w:p>
              </w:tc>
              <w:tc>
                <w:tcPr>
                  <w:tcW w:w="514" w:type="pct"/>
                  <w:shd w:val="clear" w:color="000000" w:fill="auto"/>
                  <w:noWrap w:val="0"/>
                  <w:vAlign w:val="center"/>
                </w:tcPr>
                <w:p w14:paraId="3F0968F9">
                  <w:pPr>
                    <w:keepNext w:val="0"/>
                    <w:keepLines w:val="0"/>
                    <w:widowControl/>
                    <w:suppressLineNumbers w:val="0"/>
                    <w:jc w:val="center"/>
                    <w:textAlignment w:val="center"/>
                    <w:rPr>
                      <w:rFonts w:hint="eastAsia" w:ascii="仿宋_GB2312" w:hAnsi="仿宋_GB2312" w:eastAsia="仿宋_GB2312" w:cs="仿宋_GB2312"/>
                      <w:color w:val="auto"/>
                      <w:szCs w:val="21"/>
                      <w:highlight w:val="none"/>
                    </w:rPr>
                  </w:pPr>
                  <w:r>
                    <w:rPr>
                      <w:rFonts w:hint="default" w:ascii="仿宋" w:hAnsi="仿宋" w:eastAsia="仿宋" w:cs="仿宋"/>
                      <w:i w:val="0"/>
                      <w:iCs w:val="0"/>
                      <w:color w:val="auto"/>
                      <w:kern w:val="0"/>
                      <w:sz w:val="20"/>
                      <w:szCs w:val="20"/>
                      <w:highlight w:val="none"/>
                      <w:u w:val="none"/>
                      <w:lang w:val="en-US" w:eastAsia="zh-CN" w:bidi="ar"/>
                    </w:rPr>
                    <w:t>票据管理和归档</w:t>
                  </w:r>
                </w:p>
              </w:tc>
              <w:tc>
                <w:tcPr>
                  <w:tcW w:w="2601" w:type="pct"/>
                  <w:shd w:val="clear" w:color="000000" w:fill="auto"/>
                  <w:noWrap w:val="0"/>
                  <w:vAlign w:val="center"/>
                </w:tcPr>
                <w:p w14:paraId="37712D10">
                  <w:pPr>
                    <w:keepNext w:val="0"/>
                    <w:keepLines w:val="0"/>
                    <w:widowControl/>
                    <w:suppressLineNumbers w:val="0"/>
                    <w:jc w:val="left"/>
                    <w:textAlignment w:val="center"/>
                    <w:rPr>
                      <w:rFonts w:hint="eastAsia" w:ascii="仿宋_GB2312" w:hAnsi="仿宋_GB2312" w:eastAsia="仿宋_GB2312" w:cs="仿宋_GB2312"/>
                      <w:color w:val="auto"/>
                      <w:szCs w:val="21"/>
                      <w:highlight w:val="none"/>
                    </w:rPr>
                  </w:pPr>
                  <w:r>
                    <w:rPr>
                      <w:rFonts w:hint="default" w:ascii="仿宋" w:hAnsi="仿宋" w:eastAsia="仿宋" w:cs="仿宋"/>
                      <w:i w:val="0"/>
                      <w:iCs w:val="0"/>
                      <w:color w:val="auto"/>
                      <w:kern w:val="0"/>
                      <w:sz w:val="20"/>
                      <w:szCs w:val="20"/>
                      <w:highlight w:val="none"/>
                      <w:u w:val="none"/>
                      <w:lang w:val="en-US" w:eastAsia="zh-CN" w:bidi="ar"/>
                    </w:rPr>
                    <w:t>功能包含：多维度查询、开票状态跟踪、冲红管理。</w:t>
                  </w:r>
                </w:p>
              </w:tc>
              <w:tc>
                <w:tcPr>
                  <w:tcW w:w="1301" w:type="pct"/>
                  <w:vMerge w:val="continue"/>
                  <w:shd w:val="clear" w:color="000000" w:fill="auto"/>
                  <w:noWrap w:val="0"/>
                  <w:vAlign w:val="center"/>
                </w:tcPr>
                <w:p w14:paraId="298B5E09">
                  <w:pPr>
                    <w:keepNext w:val="0"/>
                    <w:keepLines w:val="0"/>
                    <w:widowControl/>
                    <w:suppressLineNumbers w:val="0"/>
                    <w:jc w:val="left"/>
                    <w:textAlignment w:val="center"/>
                    <w:rPr>
                      <w:rFonts w:hint="default" w:ascii="仿宋" w:hAnsi="仿宋" w:eastAsia="仿宋" w:cs="仿宋"/>
                      <w:i w:val="0"/>
                      <w:iCs w:val="0"/>
                      <w:color w:val="auto"/>
                      <w:kern w:val="0"/>
                      <w:sz w:val="20"/>
                      <w:szCs w:val="20"/>
                      <w:highlight w:val="none"/>
                      <w:u w:val="none"/>
                      <w:lang w:val="en-US" w:eastAsia="zh-CN" w:bidi="ar"/>
                    </w:rPr>
                  </w:pPr>
                </w:p>
              </w:tc>
            </w:tr>
            <w:tr w14:paraId="00042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81" w:type="pct"/>
                  <w:vMerge w:val="continue"/>
                  <w:shd w:val="clear" w:color="000000" w:fill="auto"/>
                  <w:noWrap w:val="0"/>
                  <w:vAlign w:val="center"/>
                </w:tcPr>
                <w:p w14:paraId="7D2A5A51">
                  <w:pPr>
                    <w:adjustRightInd w:val="0"/>
                    <w:snapToGrid w:val="0"/>
                    <w:jc w:val="left"/>
                    <w:rPr>
                      <w:rFonts w:hint="eastAsia" w:ascii="仿宋_GB2312" w:hAnsi="仿宋_GB2312" w:eastAsia="仿宋_GB2312" w:cs="仿宋_GB2312"/>
                      <w:color w:val="auto"/>
                      <w:szCs w:val="21"/>
                      <w:highlight w:val="none"/>
                    </w:rPr>
                  </w:pPr>
                </w:p>
              </w:tc>
              <w:tc>
                <w:tcPr>
                  <w:tcW w:w="514" w:type="pct"/>
                  <w:shd w:val="clear" w:color="000000" w:fill="auto"/>
                  <w:noWrap w:val="0"/>
                  <w:vAlign w:val="center"/>
                </w:tcPr>
                <w:p w14:paraId="1179769B">
                  <w:pPr>
                    <w:keepNext w:val="0"/>
                    <w:keepLines w:val="0"/>
                    <w:widowControl/>
                    <w:suppressLineNumbers w:val="0"/>
                    <w:jc w:val="center"/>
                    <w:textAlignment w:val="center"/>
                    <w:rPr>
                      <w:rFonts w:hint="eastAsia" w:ascii="仿宋_GB2312" w:hAnsi="仿宋_GB2312" w:eastAsia="仿宋_GB2312" w:cs="仿宋_GB2312"/>
                      <w:color w:val="auto"/>
                      <w:szCs w:val="21"/>
                      <w:highlight w:val="none"/>
                    </w:rPr>
                  </w:pPr>
                  <w:r>
                    <w:rPr>
                      <w:rFonts w:hint="default" w:ascii="仿宋" w:hAnsi="仿宋" w:eastAsia="仿宋" w:cs="仿宋"/>
                      <w:i w:val="0"/>
                      <w:iCs w:val="0"/>
                      <w:color w:val="auto"/>
                      <w:kern w:val="0"/>
                      <w:sz w:val="20"/>
                      <w:szCs w:val="20"/>
                      <w:highlight w:val="none"/>
                      <w:u w:val="none"/>
                      <w:lang w:val="en-US" w:eastAsia="zh-CN" w:bidi="ar"/>
                    </w:rPr>
                    <w:t>收费站信息管理</w:t>
                  </w:r>
                </w:p>
              </w:tc>
              <w:tc>
                <w:tcPr>
                  <w:tcW w:w="2601" w:type="pct"/>
                  <w:shd w:val="clear" w:color="000000" w:fill="auto"/>
                  <w:noWrap w:val="0"/>
                  <w:vAlign w:val="center"/>
                </w:tcPr>
                <w:p w14:paraId="39C6086A">
                  <w:pPr>
                    <w:keepNext w:val="0"/>
                    <w:keepLines w:val="0"/>
                    <w:widowControl/>
                    <w:suppressLineNumbers w:val="0"/>
                    <w:jc w:val="left"/>
                    <w:textAlignment w:val="center"/>
                    <w:rPr>
                      <w:rFonts w:hint="eastAsia" w:ascii="仿宋_GB2312" w:hAnsi="仿宋_GB2312" w:eastAsia="仿宋_GB2312" w:cs="仿宋_GB2312"/>
                      <w:color w:val="auto"/>
                      <w:szCs w:val="21"/>
                      <w:highlight w:val="none"/>
                    </w:rPr>
                  </w:pPr>
                  <w:r>
                    <w:rPr>
                      <w:rFonts w:hint="default" w:ascii="仿宋" w:hAnsi="仿宋" w:eastAsia="仿宋" w:cs="仿宋"/>
                      <w:i w:val="0"/>
                      <w:iCs w:val="0"/>
                      <w:color w:val="auto"/>
                      <w:kern w:val="0"/>
                      <w:sz w:val="20"/>
                      <w:szCs w:val="20"/>
                      <w:highlight w:val="none"/>
                      <w:u w:val="none"/>
                      <w:lang w:val="en-US" w:eastAsia="zh-CN" w:bidi="ar"/>
                    </w:rPr>
                    <w:t>功能包含：收费站信息查询、收费站权限管控。</w:t>
                  </w:r>
                </w:p>
              </w:tc>
              <w:tc>
                <w:tcPr>
                  <w:tcW w:w="1301" w:type="pct"/>
                  <w:vMerge w:val="continue"/>
                  <w:shd w:val="clear" w:color="000000" w:fill="auto"/>
                  <w:noWrap w:val="0"/>
                  <w:vAlign w:val="center"/>
                </w:tcPr>
                <w:p w14:paraId="745138EE">
                  <w:pPr>
                    <w:keepNext w:val="0"/>
                    <w:keepLines w:val="0"/>
                    <w:widowControl/>
                    <w:suppressLineNumbers w:val="0"/>
                    <w:jc w:val="left"/>
                    <w:textAlignment w:val="center"/>
                    <w:rPr>
                      <w:rFonts w:hint="default" w:ascii="仿宋" w:hAnsi="仿宋" w:eastAsia="仿宋" w:cs="仿宋"/>
                      <w:i w:val="0"/>
                      <w:iCs w:val="0"/>
                      <w:color w:val="auto"/>
                      <w:kern w:val="0"/>
                      <w:sz w:val="20"/>
                      <w:szCs w:val="20"/>
                      <w:highlight w:val="none"/>
                      <w:u w:val="none"/>
                      <w:lang w:val="en-US" w:eastAsia="zh-CN" w:bidi="ar"/>
                    </w:rPr>
                  </w:pPr>
                </w:p>
              </w:tc>
            </w:tr>
            <w:tr w14:paraId="17599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81" w:type="pct"/>
                  <w:vMerge w:val="continue"/>
                  <w:shd w:val="clear" w:color="000000" w:fill="auto"/>
                  <w:noWrap w:val="0"/>
                  <w:vAlign w:val="center"/>
                </w:tcPr>
                <w:p w14:paraId="0FB66561">
                  <w:pPr>
                    <w:adjustRightInd w:val="0"/>
                    <w:snapToGrid w:val="0"/>
                    <w:jc w:val="left"/>
                    <w:rPr>
                      <w:rFonts w:hint="eastAsia" w:ascii="仿宋_GB2312" w:hAnsi="仿宋_GB2312" w:eastAsia="仿宋_GB2312" w:cs="仿宋_GB2312"/>
                      <w:color w:val="auto"/>
                      <w:szCs w:val="21"/>
                      <w:highlight w:val="none"/>
                    </w:rPr>
                  </w:pPr>
                </w:p>
              </w:tc>
              <w:tc>
                <w:tcPr>
                  <w:tcW w:w="514" w:type="pct"/>
                  <w:shd w:val="clear" w:color="000000" w:fill="auto"/>
                  <w:noWrap w:val="0"/>
                  <w:vAlign w:val="center"/>
                </w:tcPr>
                <w:p w14:paraId="53EE24FC">
                  <w:pPr>
                    <w:keepNext w:val="0"/>
                    <w:keepLines w:val="0"/>
                    <w:widowControl/>
                    <w:suppressLineNumbers w:val="0"/>
                    <w:jc w:val="center"/>
                    <w:textAlignment w:val="center"/>
                    <w:rPr>
                      <w:rFonts w:hint="eastAsia" w:ascii="仿宋_GB2312" w:hAnsi="仿宋_GB2312" w:eastAsia="仿宋_GB2312" w:cs="仿宋_GB2312"/>
                      <w:color w:val="auto"/>
                      <w:szCs w:val="21"/>
                      <w:highlight w:val="none"/>
                    </w:rPr>
                  </w:pPr>
                  <w:r>
                    <w:rPr>
                      <w:rFonts w:hint="default" w:ascii="仿宋" w:hAnsi="仿宋" w:eastAsia="仿宋" w:cs="仿宋"/>
                      <w:i w:val="0"/>
                      <w:iCs w:val="0"/>
                      <w:color w:val="auto"/>
                      <w:kern w:val="0"/>
                      <w:sz w:val="20"/>
                      <w:szCs w:val="20"/>
                      <w:highlight w:val="none"/>
                      <w:u w:val="none"/>
                      <w:lang w:val="en-US" w:eastAsia="zh-CN" w:bidi="ar"/>
                    </w:rPr>
                    <w:t>统计报表</w:t>
                  </w:r>
                </w:p>
              </w:tc>
              <w:tc>
                <w:tcPr>
                  <w:tcW w:w="2601" w:type="pct"/>
                  <w:shd w:val="clear" w:color="000000" w:fill="auto"/>
                  <w:noWrap w:val="0"/>
                  <w:vAlign w:val="center"/>
                </w:tcPr>
                <w:p w14:paraId="10D51C6B">
                  <w:pPr>
                    <w:keepNext w:val="0"/>
                    <w:keepLines w:val="0"/>
                    <w:widowControl/>
                    <w:suppressLineNumbers w:val="0"/>
                    <w:jc w:val="left"/>
                    <w:textAlignment w:val="center"/>
                    <w:rPr>
                      <w:rFonts w:hint="eastAsia" w:ascii="仿宋_GB2312" w:hAnsi="仿宋_GB2312" w:eastAsia="仿宋_GB2312" w:cs="仿宋_GB2312"/>
                      <w:color w:val="auto"/>
                      <w:szCs w:val="21"/>
                      <w:highlight w:val="none"/>
                    </w:rPr>
                  </w:pPr>
                  <w:r>
                    <w:rPr>
                      <w:rFonts w:hint="default" w:ascii="仿宋" w:hAnsi="仿宋" w:eastAsia="仿宋" w:cs="仿宋"/>
                      <w:i w:val="0"/>
                      <w:iCs w:val="0"/>
                      <w:color w:val="auto"/>
                      <w:kern w:val="0"/>
                      <w:sz w:val="20"/>
                      <w:szCs w:val="20"/>
                      <w:highlight w:val="none"/>
                      <w:u w:val="none"/>
                      <w:lang w:val="en-US" w:eastAsia="zh-CN" w:bidi="ar"/>
                    </w:rPr>
                    <w:t>功能包含：业务概览报表、交易分析报表、票据管理报表、用户行为分析报表。</w:t>
                  </w:r>
                </w:p>
              </w:tc>
              <w:tc>
                <w:tcPr>
                  <w:tcW w:w="1301" w:type="pct"/>
                  <w:vMerge w:val="continue"/>
                  <w:shd w:val="clear" w:color="000000" w:fill="auto"/>
                  <w:noWrap w:val="0"/>
                  <w:vAlign w:val="center"/>
                </w:tcPr>
                <w:p w14:paraId="1EFA47C5">
                  <w:pPr>
                    <w:keepNext w:val="0"/>
                    <w:keepLines w:val="0"/>
                    <w:widowControl/>
                    <w:suppressLineNumbers w:val="0"/>
                    <w:jc w:val="left"/>
                    <w:textAlignment w:val="center"/>
                    <w:rPr>
                      <w:rFonts w:hint="default" w:ascii="仿宋" w:hAnsi="仿宋" w:eastAsia="仿宋" w:cs="仿宋"/>
                      <w:i w:val="0"/>
                      <w:iCs w:val="0"/>
                      <w:color w:val="auto"/>
                      <w:kern w:val="0"/>
                      <w:sz w:val="20"/>
                      <w:szCs w:val="20"/>
                      <w:highlight w:val="none"/>
                      <w:u w:val="none"/>
                      <w:lang w:val="en-US" w:eastAsia="zh-CN" w:bidi="ar"/>
                    </w:rPr>
                  </w:pPr>
                </w:p>
              </w:tc>
            </w:tr>
            <w:tr w14:paraId="4D330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81" w:type="pct"/>
                  <w:vMerge w:val="continue"/>
                  <w:shd w:val="clear" w:color="000000" w:fill="auto"/>
                  <w:noWrap w:val="0"/>
                  <w:vAlign w:val="center"/>
                </w:tcPr>
                <w:p w14:paraId="07B6A46B">
                  <w:pPr>
                    <w:adjustRightInd w:val="0"/>
                    <w:snapToGrid w:val="0"/>
                    <w:jc w:val="left"/>
                    <w:rPr>
                      <w:rFonts w:hint="eastAsia" w:ascii="仿宋_GB2312" w:hAnsi="仿宋_GB2312" w:eastAsia="仿宋_GB2312" w:cs="仿宋_GB2312"/>
                      <w:color w:val="auto"/>
                      <w:szCs w:val="21"/>
                      <w:highlight w:val="none"/>
                    </w:rPr>
                  </w:pPr>
                </w:p>
              </w:tc>
              <w:tc>
                <w:tcPr>
                  <w:tcW w:w="514" w:type="pct"/>
                  <w:shd w:val="clear" w:color="000000" w:fill="auto"/>
                  <w:noWrap w:val="0"/>
                  <w:vAlign w:val="center"/>
                </w:tcPr>
                <w:p w14:paraId="5A7065CB">
                  <w:pPr>
                    <w:keepNext w:val="0"/>
                    <w:keepLines w:val="0"/>
                    <w:widowControl/>
                    <w:suppressLineNumbers w:val="0"/>
                    <w:jc w:val="center"/>
                    <w:textAlignment w:val="center"/>
                    <w:rPr>
                      <w:rFonts w:hint="eastAsia" w:ascii="仿宋_GB2312" w:hAnsi="仿宋_GB2312" w:eastAsia="仿宋_GB2312" w:cs="仿宋_GB2312"/>
                      <w:color w:val="auto"/>
                      <w:szCs w:val="21"/>
                      <w:highlight w:val="none"/>
                    </w:rPr>
                  </w:pPr>
                  <w:r>
                    <w:rPr>
                      <w:rFonts w:hint="default" w:ascii="仿宋" w:hAnsi="仿宋" w:eastAsia="仿宋" w:cs="仿宋"/>
                      <w:i w:val="0"/>
                      <w:iCs w:val="0"/>
                      <w:color w:val="auto"/>
                      <w:kern w:val="0"/>
                      <w:sz w:val="20"/>
                      <w:szCs w:val="20"/>
                      <w:highlight w:val="none"/>
                      <w:u w:val="none"/>
                      <w:lang w:val="en-US" w:eastAsia="zh-CN" w:bidi="ar"/>
                    </w:rPr>
                    <w:t>常见问答管理</w:t>
                  </w:r>
                </w:p>
              </w:tc>
              <w:tc>
                <w:tcPr>
                  <w:tcW w:w="2601" w:type="pct"/>
                  <w:shd w:val="clear" w:color="000000" w:fill="auto"/>
                  <w:noWrap w:val="0"/>
                  <w:vAlign w:val="center"/>
                </w:tcPr>
                <w:p w14:paraId="4775C4EB">
                  <w:pPr>
                    <w:keepNext w:val="0"/>
                    <w:keepLines w:val="0"/>
                    <w:widowControl/>
                    <w:suppressLineNumbers w:val="0"/>
                    <w:jc w:val="left"/>
                    <w:textAlignment w:val="center"/>
                    <w:rPr>
                      <w:rFonts w:hint="eastAsia" w:ascii="仿宋_GB2312" w:hAnsi="仿宋_GB2312" w:eastAsia="仿宋_GB2312" w:cs="仿宋_GB2312"/>
                      <w:color w:val="auto"/>
                      <w:szCs w:val="21"/>
                      <w:highlight w:val="none"/>
                    </w:rPr>
                  </w:pPr>
                  <w:r>
                    <w:rPr>
                      <w:rFonts w:hint="default" w:ascii="仿宋" w:hAnsi="仿宋" w:eastAsia="仿宋" w:cs="仿宋"/>
                      <w:i w:val="0"/>
                      <w:iCs w:val="0"/>
                      <w:color w:val="auto"/>
                      <w:kern w:val="0"/>
                      <w:sz w:val="20"/>
                      <w:szCs w:val="20"/>
                      <w:highlight w:val="none"/>
                      <w:u w:val="none"/>
                      <w:lang w:val="en-US" w:eastAsia="zh-CN" w:bidi="ar"/>
                    </w:rPr>
                    <w:t>功能包含：批量导入、分类管理、查询与筛选。</w:t>
                  </w:r>
                </w:p>
              </w:tc>
              <w:tc>
                <w:tcPr>
                  <w:tcW w:w="1301" w:type="pct"/>
                  <w:vMerge w:val="continue"/>
                  <w:shd w:val="clear" w:color="000000" w:fill="auto"/>
                  <w:noWrap w:val="0"/>
                  <w:vAlign w:val="center"/>
                </w:tcPr>
                <w:p w14:paraId="372BA2B8">
                  <w:pPr>
                    <w:keepNext w:val="0"/>
                    <w:keepLines w:val="0"/>
                    <w:widowControl/>
                    <w:suppressLineNumbers w:val="0"/>
                    <w:jc w:val="left"/>
                    <w:textAlignment w:val="center"/>
                    <w:rPr>
                      <w:rFonts w:hint="default" w:ascii="仿宋" w:hAnsi="仿宋" w:eastAsia="仿宋" w:cs="仿宋"/>
                      <w:i w:val="0"/>
                      <w:iCs w:val="0"/>
                      <w:color w:val="auto"/>
                      <w:kern w:val="0"/>
                      <w:sz w:val="20"/>
                      <w:szCs w:val="20"/>
                      <w:highlight w:val="none"/>
                      <w:u w:val="none"/>
                      <w:lang w:val="en-US" w:eastAsia="zh-CN" w:bidi="ar"/>
                    </w:rPr>
                  </w:pPr>
                </w:p>
              </w:tc>
            </w:tr>
            <w:tr w14:paraId="5C43F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81" w:type="pct"/>
                  <w:vMerge w:val="continue"/>
                  <w:shd w:val="clear" w:color="000000" w:fill="auto"/>
                  <w:noWrap w:val="0"/>
                  <w:vAlign w:val="center"/>
                </w:tcPr>
                <w:p w14:paraId="6C8F2ED3">
                  <w:pPr>
                    <w:adjustRightInd w:val="0"/>
                    <w:snapToGrid w:val="0"/>
                    <w:jc w:val="left"/>
                    <w:rPr>
                      <w:rFonts w:hint="eastAsia" w:ascii="仿宋_GB2312" w:hAnsi="仿宋_GB2312" w:eastAsia="仿宋_GB2312" w:cs="仿宋_GB2312"/>
                      <w:color w:val="auto"/>
                      <w:szCs w:val="21"/>
                      <w:highlight w:val="none"/>
                    </w:rPr>
                  </w:pPr>
                </w:p>
              </w:tc>
              <w:tc>
                <w:tcPr>
                  <w:tcW w:w="514" w:type="pct"/>
                  <w:shd w:val="clear" w:color="000000" w:fill="auto"/>
                  <w:noWrap w:val="0"/>
                  <w:vAlign w:val="center"/>
                </w:tcPr>
                <w:p w14:paraId="17082275">
                  <w:pPr>
                    <w:keepNext w:val="0"/>
                    <w:keepLines w:val="0"/>
                    <w:widowControl/>
                    <w:suppressLineNumbers w:val="0"/>
                    <w:jc w:val="center"/>
                    <w:textAlignment w:val="center"/>
                    <w:rPr>
                      <w:rFonts w:hint="eastAsia" w:ascii="仿宋_GB2312" w:hAnsi="仿宋_GB2312" w:eastAsia="仿宋_GB2312" w:cs="仿宋_GB2312"/>
                      <w:color w:val="auto"/>
                      <w:szCs w:val="21"/>
                      <w:highlight w:val="none"/>
                    </w:rPr>
                  </w:pPr>
                  <w:r>
                    <w:rPr>
                      <w:rFonts w:hint="default" w:ascii="仿宋" w:hAnsi="仿宋" w:eastAsia="仿宋" w:cs="仿宋"/>
                      <w:i w:val="0"/>
                      <w:iCs w:val="0"/>
                      <w:color w:val="auto"/>
                      <w:kern w:val="0"/>
                      <w:sz w:val="20"/>
                      <w:szCs w:val="20"/>
                      <w:highlight w:val="none"/>
                      <w:u w:val="none"/>
                      <w:lang w:val="en-US" w:eastAsia="zh-CN" w:bidi="ar"/>
                    </w:rPr>
                    <w:t>意见反馈</w:t>
                  </w:r>
                </w:p>
              </w:tc>
              <w:tc>
                <w:tcPr>
                  <w:tcW w:w="2601" w:type="pct"/>
                  <w:shd w:val="clear" w:color="000000" w:fill="auto"/>
                  <w:noWrap w:val="0"/>
                  <w:vAlign w:val="center"/>
                </w:tcPr>
                <w:p w14:paraId="51146383">
                  <w:pPr>
                    <w:keepNext w:val="0"/>
                    <w:keepLines w:val="0"/>
                    <w:widowControl/>
                    <w:suppressLineNumbers w:val="0"/>
                    <w:jc w:val="left"/>
                    <w:textAlignment w:val="center"/>
                    <w:rPr>
                      <w:rFonts w:hint="eastAsia" w:ascii="仿宋_GB2312" w:hAnsi="仿宋_GB2312" w:eastAsia="仿宋_GB2312" w:cs="仿宋_GB2312"/>
                      <w:color w:val="auto"/>
                      <w:szCs w:val="21"/>
                      <w:highlight w:val="none"/>
                    </w:rPr>
                  </w:pPr>
                  <w:r>
                    <w:rPr>
                      <w:rFonts w:hint="default" w:ascii="仿宋" w:hAnsi="仿宋" w:eastAsia="仿宋" w:cs="仿宋"/>
                      <w:i w:val="0"/>
                      <w:iCs w:val="0"/>
                      <w:color w:val="auto"/>
                      <w:kern w:val="0"/>
                      <w:sz w:val="20"/>
                      <w:szCs w:val="20"/>
                      <w:highlight w:val="none"/>
                      <w:u w:val="none"/>
                      <w:lang w:val="en-US" w:eastAsia="zh-CN" w:bidi="ar"/>
                    </w:rPr>
                    <w:t>功能包含：反馈信息、分类存储、详情查看。</w:t>
                  </w:r>
                </w:p>
              </w:tc>
              <w:tc>
                <w:tcPr>
                  <w:tcW w:w="1301" w:type="pct"/>
                  <w:vMerge w:val="continue"/>
                  <w:shd w:val="clear" w:color="000000" w:fill="auto"/>
                  <w:noWrap w:val="0"/>
                  <w:vAlign w:val="center"/>
                </w:tcPr>
                <w:p w14:paraId="44B874E8">
                  <w:pPr>
                    <w:keepNext w:val="0"/>
                    <w:keepLines w:val="0"/>
                    <w:widowControl/>
                    <w:suppressLineNumbers w:val="0"/>
                    <w:jc w:val="left"/>
                    <w:textAlignment w:val="center"/>
                    <w:rPr>
                      <w:rFonts w:hint="default" w:ascii="仿宋" w:hAnsi="仿宋" w:eastAsia="仿宋" w:cs="仿宋"/>
                      <w:i w:val="0"/>
                      <w:iCs w:val="0"/>
                      <w:color w:val="auto"/>
                      <w:kern w:val="0"/>
                      <w:sz w:val="20"/>
                      <w:szCs w:val="20"/>
                      <w:highlight w:val="none"/>
                      <w:u w:val="none"/>
                      <w:lang w:val="en-US" w:eastAsia="zh-CN" w:bidi="ar"/>
                    </w:rPr>
                  </w:pPr>
                </w:p>
              </w:tc>
            </w:tr>
            <w:tr w14:paraId="3FBC8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81" w:type="pct"/>
                  <w:vMerge w:val="continue"/>
                  <w:shd w:val="clear" w:color="000000" w:fill="auto"/>
                  <w:noWrap w:val="0"/>
                  <w:vAlign w:val="center"/>
                </w:tcPr>
                <w:p w14:paraId="0225654C">
                  <w:pPr>
                    <w:adjustRightInd w:val="0"/>
                    <w:snapToGrid w:val="0"/>
                    <w:jc w:val="left"/>
                    <w:rPr>
                      <w:rFonts w:hint="eastAsia" w:ascii="仿宋_GB2312" w:hAnsi="仿宋_GB2312" w:eastAsia="仿宋_GB2312" w:cs="仿宋_GB2312"/>
                      <w:color w:val="auto"/>
                      <w:szCs w:val="21"/>
                      <w:highlight w:val="none"/>
                    </w:rPr>
                  </w:pPr>
                </w:p>
              </w:tc>
              <w:tc>
                <w:tcPr>
                  <w:tcW w:w="514" w:type="pct"/>
                  <w:shd w:val="clear" w:color="000000" w:fill="auto"/>
                  <w:noWrap w:val="0"/>
                  <w:vAlign w:val="center"/>
                </w:tcPr>
                <w:p w14:paraId="67967B1B">
                  <w:pPr>
                    <w:keepNext w:val="0"/>
                    <w:keepLines w:val="0"/>
                    <w:widowControl/>
                    <w:suppressLineNumbers w:val="0"/>
                    <w:jc w:val="center"/>
                    <w:textAlignment w:val="center"/>
                    <w:rPr>
                      <w:rFonts w:hint="eastAsia" w:ascii="仿宋_GB2312" w:hAnsi="仿宋_GB2312" w:eastAsia="仿宋_GB2312" w:cs="仿宋_GB2312"/>
                      <w:color w:val="auto"/>
                      <w:szCs w:val="21"/>
                      <w:highlight w:val="none"/>
                    </w:rPr>
                  </w:pPr>
                  <w:r>
                    <w:rPr>
                      <w:rFonts w:hint="default" w:ascii="仿宋" w:hAnsi="仿宋" w:eastAsia="仿宋" w:cs="仿宋"/>
                      <w:i w:val="0"/>
                      <w:iCs w:val="0"/>
                      <w:color w:val="auto"/>
                      <w:kern w:val="0"/>
                      <w:sz w:val="20"/>
                      <w:szCs w:val="20"/>
                      <w:highlight w:val="none"/>
                      <w:u w:val="none"/>
                      <w:lang w:val="en-US" w:eastAsia="zh-CN" w:bidi="ar"/>
                    </w:rPr>
                    <w:t>系统管理</w:t>
                  </w:r>
                </w:p>
              </w:tc>
              <w:tc>
                <w:tcPr>
                  <w:tcW w:w="2601" w:type="pct"/>
                  <w:shd w:val="clear" w:color="000000" w:fill="auto"/>
                  <w:noWrap w:val="0"/>
                  <w:vAlign w:val="center"/>
                </w:tcPr>
                <w:p w14:paraId="5034DA77">
                  <w:pPr>
                    <w:keepNext w:val="0"/>
                    <w:keepLines w:val="0"/>
                    <w:widowControl/>
                    <w:suppressLineNumbers w:val="0"/>
                    <w:jc w:val="left"/>
                    <w:textAlignment w:val="center"/>
                    <w:rPr>
                      <w:rFonts w:hint="eastAsia" w:ascii="仿宋_GB2312" w:hAnsi="仿宋_GB2312" w:eastAsia="仿宋_GB2312" w:cs="仿宋_GB2312"/>
                      <w:color w:val="auto"/>
                      <w:szCs w:val="21"/>
                      <w:highlight w:val="none"/>
                    </w:rPr>
                  </w:pPr>
                  <w:r>
                    <w:rPr>
                      <w:rFonts w:hint="default" w:ascii="仿宋" w:hAnsi="仿宋" w:eastAsia="仿宋" w:cs="仿宋"/>
                      <w:i w:val="0"/>
                      <w:iCs w:val="0"/>
                      <w:color w:val="auto"/>
                      <w:kern w:val="0"/>
                      <w:sz w:val="20"/>
                      <w:szCs w:val="20"/>
                      <w:highlight w:val="none"/>
                      <w:u w:val="none"/>
                      <w:lang w:val="en-US" w:eastAsia="zh-CN" w:bidi="ar"/>
                    </w:rPr>
                    <w:t>功能包含：用户管理、角色管理、菜单管理、日志管理、操作链追溯。</w:t>
                  </w:r>
                </w:p>
              </w:tc>
              <w:tc>
                <w:tcPr>
                  <w:tcW w:w="1301" w:type="pct"/>
                  <w:vMerge w:val="continue"/>
                  <w:shd w:val="clear" w:color="000000" w:fill="auto"/>
                  <w:noWrap w:val="0"/>
                  <w:vAlign w:val="center"/>
                </w:tcPr>
                <w:p w14:paraId="39B9D2DE">
                  <w:pPr>
                    <w:keepNext w:val="0"/>
                    <w:keepLines w:val="0"/>
                    <w:widowControl/>
                    <w:suppressLineNumbers w:val="0"/>
                    <w:jc w:val="left"/>
                    <w:textAlignment w:val="center"/>
                    <w:rPr>
                      <w:rFonts w:hint="default" w:ascii="仿宋" w:hAnsi="仿宋" w:eastAsia="仿宋" w:cs="仿宋"/>
                      <w:i w:val="0"/>
                      <w:iCs w:val="0"/>
                      <w:color w:val="auto"/>
                      <w:kern w:val="0"/>
                      <w:sz w:val="20"/>
                      <w:szCs w:val="20"/>
                      <w:highlight w:val="none"/>
                      <w:u w:val="none"/>
                      <w:lang w:val="en-US" w:eastAsia="zh-CN" w:bidi="ar"/>
                    </w:rPr>
                  </w:pPr>
                </w:p>
              </w:tc>
            </w:tr>
            <w:tr w14:paraId="20406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81" w:type="pct"/>
                  <w:vMerge w:val="restart"/>
                  <w:shd w:val="clear" w:color="000000" w:fill="auto"/>
                  <w:noWrap w:val="0"/>
                  <w:vAlign w:val="center"/>
                </w:tcPr>
                <w:p w14:paraId="1EE0D4C7">
                  <w:pPr>
                    <w:adjustRightInd w:val="0"/>
                    <w:snapToGrid w:val="0"/>
                    <w:jc w:val="left"/>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客服服务</w:t>
                  </w:r>
                </w:p>
              </w:tc>
              <w:tc>
                <w:tcPr>
                  <w:tcW w:w="514" w:type="pct"/>
                  <w:shd w:val="clear" w:color="000000" w:fill="auto"/>
                  <w:noWrap w:val="0"/>
                  <w:vAlign w:val="center"/>
                </w:tcPr>
                <w:p w14:paraId="382F8DAD">
                  <w:pPr>
                    <w:keepNext w:val="0"/>
                    <w:keepLines w:val="0"/>
                    <w:widowControl/>
                    <w:suppressLineNumbers w:val="0"/>
                    <w:jc w:val="center"/>
                    <w:textAlignment w:val="center"/>
                    <w:rPr>
                      <w:rFonts w:hint="eastAsia" w:ascii="仿宋_GB2312" w:hAnsi="仿宋_GB2312" w:eastAsia="仿宋_GB2312" w:cs="仿宋_GB2312"/>
                      <w:color w:val="auto"/>
                      <w:szCs w:val="21"/>
                      <w:highlight w:val="none"/>
                    </w:rPr>
                  </w:pPr>
                  <w:r>
                    <w:rPr>
                      <w:rFonts w:hint="default" w:ascii="仿宋" w:hAnsi="仿宋" w:eastAsia="仿宋" w:cs="仿宋"/>
                      <w:i w:val="0"/>
                      <w:iCs w:val="0"/>
                      <w:color w:val="auto"/>
                      <w:kern w:val="0"/>
                      <w:sz w:val="20"/>
                      <w:szCs w:val="20"/>
                      <w:highlight w:val="none"/>
                      <w:u w:val="none"/>
                      <w:lang w:val="en-US" w:eastAsia="zh-CN" w:bidi="ar"/>
                    </w:rPr>
                    <w:t>人工客服</w:t>
                  </w:r>
                </w:p>
              </w:tc>
              <w:tc>
                <w:tcPr>
                  <w:tcW w:w="2601" w:type="pct"/>
                  <w:shd w:val="clear" w:color="000000" w:fill="auto"/>
                  <w:noWrap w:val="0"/>
                  <w:vAlign w:val="center"/>
                </w:tcPr>
                <w:p w14:paraId="1E913926">
                  <w:pPr>
                    <w:keepNext w:val="0"/>
                    <w:keepLines w:val="0"/>
                    <w:widowControl/>
                    <w:suppressLineNumbers w:val="0"/>
                    <w:jc w:val="left"/>
                    <w:textAlignment w:val="center"/>
                    <w:rPr>
                      <w:rFonts w:hint="eastAsia" w:ascii="仿宋_GB2312" w:hAnsi="仿宋_GB2312" w:eastAsia="仿宋_GB2312" w:cs="仿宋_GB2312"/>
                      <w:color w:val="auto"/>
                      <w:szCs w:val="21"/>
                      <w:highlight w:val="none"/>
                    </w:rPr>
                  </w:pPr>
                  <w:r>
                    <w:rPr>
                      <w:rFonts w:hint="default" w:ascii="仿宋" w:hAnsi="仿宋" w:eastAsia="仿宋" w:cs="仿宋"/>
                      <w:i w:val="0"/>
                      <w:iCs w:val="0"/>
                      <w:color w:val="auto"/>
                      <w:kern w:val="0"/>
                      <w:sz w:val="20"/>
                      <w:szCs w:val="20"/>
                      <w:highlight w:val="none"/>
                      <w:u w:val="none"/>
                      <w:lang w:val="en-US" w:eastAsia="zh-CN" w:bidi="ar"/>
                    </w:rPr>
                    <w:t>功能包含：客服培训、话术优化等。</w:t>
                  </w:r>
                </w:p>
              </w:tc>
              <w:tc>
                <w:tcPr>
                  <w:tcW w:w="1301" w:type="pct"/>
                  <w:vMerge w:val="restart"/>
                  <w:shd w:val="clear" w:color="000000" w:fill="auto"/>
                  <w:noWrap w:val="0"/>
                  <w:vAlign w:val="center"/>
                </w:tcPr>
                <w:p w14:paraId="19DEAABA">
                  <w:pPr>
                    <w:keepNext w:val="0"/>
                    <w:keepLines w:val="0"/>
                    <w:widowControl/>
                    <w:suppressLineNumbers w:val="0"/>
                    <w:jc w:val="left"/>
                    <w:textAlignment w:val="center"/>
                    <w:rPr>
                      <w:rFonts w:hint="default" w:ascii="仿宋" w:hAnsi="仿宋" w:eastAsia="仿宋" w:cs="仿宋"/>
                      <w:i w:val="0"/>
                      <w:iCs w:val="0"/>
                      <w:color w:val="auto"/>
                      <w:kern w:val="0"/>
                      <w:sz w:val="20"/>
                      <w:szCs w:val="20"/>
                      <w:highlight w:val="none"/>
                      <w:u w:val="none"/>
                      <w:lang w:val="en-US" w:eastAsia="zh-CN" w:bidi="ar"/>
                    </w:rPr>
                  </w:pPr>
                  <w:r>
                    <w:rPr>
                      <w:rFonts w:hint="default" w:ascii="仿宋" w:hAnsi="仿宋" w:eastAsia="仿宋" w:cs="仿宋"/>
                      <w:i w:val="0"/>
                      <w:iCs w:val="0"/>
                      <w:color w:val="auto"/>
                      <w:kern w:val="0"/>
                      <w:sz w:val="20"/>
                      <w:szCs w:val="20"/>
                      <w:highlight w:val="none"/>
                      <w:u w:val="none"/>
                      <w:lang w:val="en-US" w:eastAsia="zh-CN" w:bidi="ar"/>
                    </w:rPr>
                    <w:t>1.提供7*24小时在线客服保障服务，结合知识图谱、RAG检索等技术提供在线客服问答回复。</w:t>
                  </w:r>
                </w:p>
                <w:p w14:paraId="74BDBF83">
                  <w:pPr>
                    <w:keepNext w:val="0"/>
                    <w:keepLines w:val="0"/>
                    <w:widowControl/>
                    <w:suppressLineNumbers w:val="0"/>
                    <w:jc w:val="left"/>
                    <w:textAlignment w:val="center"/>
                    <w:rPr>
                      <w:rFonts w:hint="default" w:ascii="仿宋" w:hAnsi="仿宋" w:eastAsia="仿宋" w:cs="仿宋"/>
                      <w:i w:val="0"/>
                      <w:iCs w:val="0"/>
                      <w:color w:val="auto"/>
                      <w:kern w:val="0"/>
                      <w:sz w:val="20"/>
                      <w:szCs w:val="20"/>
                      <w:highlight w:val="none"/>
                      <w:u w:val="none"/>
                      <w:lang w:val="en-US" w:eastAsia="zh-CN" w:bidi="ar"/>
                    </w:rPr>
                  </w:pPr>
                  <w:r>
                    <w:rPr>
                      <w:rFonts w:hint="default" w:ascii="仿宋" w:hAnsi="仿宋" w:eastAsia="仿宋" w:cs="仿宋"/>
                      <w:i w:val="0"/>
                      <w:iCs w:val="0"/>
                      <w:color w:val="auto"/>
                      <w:kern w:val="0"/>
                      <w:sz w:val="20"/>
                      <w:szCs w:val="20"/>
                      <w:highlight w:val="none"/>
                      <w:u w:val="none"/>
                      <w:lang w:val="en-US" w:eastAsia="zh-CN" w:bidi="ar"/>
                    </w:rPr>
                    <w:t>2.提供人工客服，主要通过人工在线沟通，为客户解答咨询、处理投诉与反馈、核实并记录客户信息、提供服务指导，确保客户获得及时、准确的服务与支持。</w:t>
                  </w:r>
                </w:p>
              </w:tc>
            </w:tr>
            <w:tr w14:paraId="63F63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81" w:type="pct"/>
                  <w:vMerge w:val="continue"/>
                  <w:shd w:val="clear" w:color="000000" w:fill="auto"/>
                  <w:noWrap w:val="0"/>
                  <w:vAlign w:val="center"/>
                </w:tcPr>
                <w:p w14:paraId="4CD46CBE">
                  <w:pPr>
                    <w:adjustRightInd w:val="0"/>
                    <w:snapToGrid w:val="0"/>
                    <w:jc w:val="left"/>
                    <w:rPr>
                      <w:rFonts w:hint="eastAsia" w:ascii="仿宋_GB2312" w:hAnsi="仿宋_GB2312" w:eastAsia="仿宋_GB2312" w:cs="仿宋_GB2312"/>
                      <w:color w:val="auto"/>
                      <w:szCs w:val="21"/>
                      <w:highlight w:val="none"/>
                    </w:rPr>
                  </w:pPr>
                </w:p>
              </w:tc>
              <w:tc>
                <w:tcPr>
                  <w:tcW w:w="514" w:type="pct"/>
                  <w:shd w:val="clear" w:color="000000" w:fill="auto"/>
                  <w:noWrap w:val="0"/>
                  <w:vAlign w:val="center"/>
                </w:tcPr>
                <w:p w14:paraId="5BC52894">
                  <w:pPr>
                    <w:keepNext w:val="0"/>
                    <w:keepLines w:val="0"/>
                    <w:widowControl/>
                    <w:suppressLineNumbers w:val="0"/>
                    <w:jc w:val="center"/>
                    <w:textAlignment w:val="center"/>
                    <w:rPr>
                      <w:rFonts w:hint="eastAsia" w:ascii="仿宋_GB2312" w:hAnsi="仿宋_GB2312" w:eastAsia="仿宋_GB2312" w:cs="仿宋_GB2312"/>
                      <w:color w:val="auto"/>
                      <w:szCs w:val="21"/>
                      <w:highlight w:val="none"/>
                    </w:rPr>
                  </w:pPr>
                  <w:r>
                    <w:rPr>
                      <w:rFonts w:hint="default" w:ascii="仿宋" w:hAnsi="仿宋" w:eastAsia="仿宋" w:cs="仿宋"/>
                      <w:i w:val="0"/>
                      <w:iCs w:val="0"/>
                      <w:color w:val="auto"/>
                      <w:kern w:val="0"/>
                      <w:sz w:val="20"/>
                      <w:szCs w:val="20"/>
                      <w:highlight w:val="none"/>
                      <w:u w:val="none"/>
                      <w:lang w:val="en-US" w:eastAsia="zh-CN" w:bidi="ar"/>
                    </w:rPr>
                    <w:t>在线客服</w:t>
                  </w:r>
                </w:p>
              </w:tc>
              <w:tc>
                <w:tcPr>
                  <w:tcW w:w="2601" w:type="pct"/>
                  <w:shd w:val="clear" w:color="000000" w:fill="auto"/>
                  <w:noWrap w:val="0"/>
                  <w:vAlign w:val="center"/>
                </w:tcPr>
                <w:p w14:paraId="15DCA91C">
                  <w:pPr>
                    <w:keepNext w:val="0"/>
                    <w:keepLines w:val="0"/>
                    <w:widowControl/>
                    <w:suppressLineNumbers w:val="0"/>
                    <w:jc w:val="left"/>
                    <w:textAlignment w:val="center"/>
                    <w:rPr>
                      <w:rFonts w:hint="eastAsia" w:ascii="仿宋_GB2312" w:hAnsi="仿宋_GB2312" w:eastAsia="仿宋_GB2312" w:cs="仿宋_GB2312"/>
                      <w:color w:val="auto"/>
                      <w:szCs w:val="21"/>
                      <w:highlight w:val="none"/>
                    </w:rPr>
                  </w:pPr>
                  <w:r>
                    <w:rPr>
                      <w:rFonts w:hint="default" w:ascii="仿宋" w:hAnsi="仿宋" w:eastAsia="仿宋" w:cs="仿宋"/>
                      <w:i w:val="0"/>
                      <w:iCs w:val="0"/>
                      <w:color w:val="auto"/>
                      <w:kern w:val="0"/>
                      <w:sz w:val="20"/>
                      <w:szCs w:val="20"/>
                      <w:highlight w:val="none"/>
                      <w:u w:val="none"/>
                      <w:lang w:val="en-US" w:eastAsia="zh-CN" w:bidi="ar"/>
                    </w:rPr>
                    <w:t>功能包含：知识库添加、知识库更新、自助回答、知识检索。</w:t>
                  </w:r>
                </w:p>
              </w:tc>
              <w:tc>
                <w:tcPr>
                  <w:tcW w:w="1301" w:type="pct"/>
                  <w:vMerge w:val="continue"/>
                  <w:shd w:val="clear" w:color="000000" w:fill="auto"/>
                  <w:noWrap w:val="0"/>
                  <w:vAlign w:val="center"/>
                </w:tcPr>
                <w:p w14:paraId="6BDDAC37">
                  <w:pPr>
                    <w:keepNext w:val="0"/>
                    <w:keepLines w:val="0"/>
                    <w:widowControl/>
                    <w:suppressLineNumbers w:val="0"/>
                    <w:jc w:val="left"/>
                    <w:textAlignment w:val="center"/>
                    <w:rPr>
                      <w:rFonts w:hint="default" w:ascii="仿宋" w:hAnsi="仿宋" w:eastAsia="仿宋" w:cs="仿宋"/>
                      <w:i w:val="0"/>
                      <w:iCs w:val="0"/>
                      <w:color w:val="auto"/>
                      <w:kern w:val="0"/>
                      <w:sz w:val="20"/>
                      <w:szCs w:val="20"/>
                      <w:highlight w:val="none"/>
                      <w:u w:val="none"/>
                      <w:lang w:val="en-US" w:eastAsia="zh-CN" w:bidi="ar"/>
                    </w:rPr>
                  </w:pPr>
                </w:p>
              </w:tc>
            </w:tr>
          </w:tbl>
          <w:p w14:paraId="3C6CC152">
            <w:pPr>
              <w:pStyle w:val="5"/>
              <w:jc w:val="left"/>
              <w:rPr>
                <w:rFonts w:hint="eastAsia" w:ascii="仿宋_GB2312" w:hAnsi="仿宋_GB2312" w:eastAsia="仿宋_GB2312" w:cs="仿宋_GB2312"/>
              </w:rPr>
            </w:pPr>
          </w:p>
        </w:tc>
      </w:tr>
      <w:tr w14:paraId="3B7A42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65" w:type="dxa"/>
          </w:tcPr>
          <w:p w14:paraId="6BE826FE">
            <w:pPr>
              <w:pStyle w:val="5"/>
              <w:jc w:val="center"/>
              <w:rPr>
                <w:rFonts w:ascii="仿宋_GB2312" w:hAnsi="仿宋_GB2312" w:eastAsia="仿宋_GB2312" w:cs="仿宋_GB2312"/>
              </w:rPr>
            </w:pPr>
          </w:p>
        </w:tc>
        <w:tc>
          <w:tcPr>
            <w:tcW w:w="1036" w:type="dxa"/>
          </w:tcPr>
          <w:p w14:paraId="442A8553">
            <w:pPr>
              <w:jc w:val="center"/>
            </w:pPr>
          </w:p>
        </w:tc>
        <w:tc>
          <w:tcPr>
            <w:tcW w:w="6606" w:type="dxa"/>
          </w:tcPr>
          <w:p w14:paraId="144E80E4">
            <w:pPr>
              <w:pStyle w:val="5"/>
              <w:jc w:val="left"/>
              <w:rPr>
                <w:rFonts w:hint="eastAsia" w:ascii="仿宋_GB2312" w:hAnsi="仿宋_GB2312" w:eastAsia="仿宋_GB2312" w:cs="仿宋_GB2312"/>
              </w:rPr>
            </w:pPr>
            <w:r>
              <w:rPr>
                <w:rFonts w:hint="eastAsia" w:ascii="仿宋_GB2312" w:hAnsi="仿宋_GB2312" w:eastAsia="仿宋_GB2312" w:cs="仿宋_GB2312"/>
              </w:rPr>
              <w:t>（一）基本服务内容</w:t>
            </w:r>
          </w:p>
          <w:p w14:paraId="75598AAA">
            <w:pPr>
              <w:pStyle w:val="5"/>
              <w:jc w:val="left"/>
              <w:rPr>
                <w:rFonts w:hint="eastAsia" w:ascii="仿宋_GB2312" w:hAnsi="仿宋_GB2312" w:eastAsia="仿宋_GB2312" w:cs="仿宋_GB2312"/>
              </w:rPr>
            </w:pPr>
            <w:r>
              <w:rPr>
                <w:rFonts w:hint="eastAsia" w:ascii="仿宋_GB2312" w:hAnsi="仿宋_GB2312" w:eastAsia="仿宋_GB2312" w:cs="仿宋_GB2312"/>
              </w:rPr>
              <w:t xml:space="preserve">1.基础信息管理：服务现有电子票据所需单位开票基础信息管理，支持票据种类查询、通行记录查询、收费明细管理、支付渠道查询、站点权限维护等。 </w:t>
            </w:r>
          </w:p>
          <w:p w14:paraId="3C0CD169">
            <w:pPr>
              <w:pStyle w:val="5"/>
              <w:jc w:val="left"/>
              <w:rPr>
                <w:rFonts w:hint="eastAsia" w:ascii="仿宋_GB2312" w:hAnsi="仿宋_GB2312" w:eastAsia="仿宋_GB2312" w:cs="仿宋_GB2312"/>
              </w:rPr>
            </w:pPr>
            <w:r>
              <w:rPr>
                <w:rFonts w:hint="eastAsia" w:ascii="仿宋_GB2312" w:hAnsi="仿宋_GB2312" w:eastAsia="仿宋_GB2312" w:cs="仿宋_GB2312"/>
              </w:rPr>
              <w:t>2.票据管理：服务现有电子票据所需单位车辆通行记录查询、普通票据、包缴票据、票据申退、票据冲红、数据上报、库存预警设置等。</w:t>
            </w:r>
          </w:p>
          <w:p w14:paraId="1CC35E08">
            <w:pPr>
              <w:pStyle w:val="5"/>
              <w:jc w:val="left"/>
              <w:rPr>
                <w:rFonts w:hint="eastAsia" w:ascii="仿宋_GB2312" w:hAnsi="仿宋_GB2312" w:eastAsia="仿宋_GB2312" w:cs="仿宋_GB2312"/>
              </w:rPr>
            </w:pPr>
            <w:r>
              <w:rPr>
                <w:rFonts w:hint="eastAsia" w:ascii="仿宋_GB2312" w:hAnsi="仿宋_GB2312" w:eastAsia="仿宋_GB2312" w:cs="仿宋_GB2312"/>
              </w:rPr>
              <w:t xml:space="preserve">3.票据开票：服务现有电子票据所需场景，需支持开具包缴票、普通票据、批量开票、票据冲红、票据打印、票据查询、退费等功能。 </w:t>
            </w:r>
          </w:p>
          <w:p w14:paraId="561BEF03">
            <w:pPr>
              <w:pStyle w:val="5"/>
              <w:jc w:val="left"/>
              <w:rPr>
                <w:rFonts w:hint="eastAsia" w:ascii="仿宋_GB2312" w:hAnsi="仿宋_GB2312" w:eastAsia="仿宋_GB2312" w:cs="仿宋_GB2312"/>
              </w:rPr>
            </w:pPr>
            <w:r>
              <w:rPr>
                <w:rFonts w:hint="eastAsia" w:ascii="仿宋_GB2312" w:hAnsi="仿宋_GB2312" w:eastAsia="仿宋_GB2312" w:cs="仿宋_GB2312"/>
              </w:rPr>
              <w:t>4.票据归档：将开具的电子票据存储下来，按照业务发生时间、票据种类进行分类归档，现有电子票据所需单位可按照天、周、月、季度、年度检索。包括开票总览、开票数量、用户领票数量、开票金额分析等。多维度检索，归档数据精准可查、安全无丢失；</w:t>
            </w:r>
          </w:p>
          <w:p w14:paraId="519F8893">
            <w:pPr>
              <w:pStyle w:val="5"/>
              <w:jc w:val="left"/>
              <w:rPr>
                <w:rFonts w:hint="eastAsia" w:ascii="仿宋_GB2312" w:hAnsi="仿宋_GB2312" w:eastAsia="仿宋_GB2312" w:cs="仿宋_GB2312"/>
              </w:rPr>
            </w:pPr>
            <w:r>
              <w:rPr>
                <w:rFonts w:hint="eastAsia" w:ascii="仿宋_GB2312" w:hAnsi="仿宋_GB2312" w:eastAsia="仿宋_GB2312" w:cs="仿宋_GB2312"/>
              </w:rPr>
              <w:t>5.统计报表：需提供各类查询统计报表，包括票据分发情况表、票据领用存情况表、电子票据明细表、电子票据汇总表、冲红明细表等报表。确保各类票据统计报表正常生成、查询、导出，数据实时同步、精准无误。</w:t>
            </w:r>
          </w:p>
          <w:p w14:paraId="4525F85F">
            <w:pPr>
              <w:pStyle w:val="5"/>
              <w:jc w:val="left"/>
              <w:rPr>
                <w:rFonts w:hint="eastAsia" w:ascii="仿宋_GB2312" w:hAnsi="仿宋_GB2312" w:eastAsia="仿宋_GB2312" w:cs="仿宋_GB2312"/>
              </w:rPr>
            </w:pPr>
            <w:r>
              <w:rPr>
                <w:rFonts w:hint="eastAsia" w:ascii="仿宋_GB2312" w:hAnsi="仿宋_GB2312" w:eastAsia="仿宋_GB2312" w:cs="仿宋_GB2312"/>
              </w:rPr>
              <w:t>6.系统管理：根据实际业务情况，创建及维护现有电子票据所需单位用户信息、角色管理、权限管理、访问日志等功能。</w:t>
            </w:r>
          </w:p>
          <w:p w14:paraId="47D889F7">
            <w:pPr>
              <w:pStyle w:val="5"/>
              <w:jc w:val="left"/>
              <w:rPr>
                <w:rFonts w:hint="eastAsia" w:ascii="仿宋_GB2312" w:hAnsi="仿宋_GB2312" w:eastAsia="仿宋_GB2312" w:cs="仿宋_GB2312"/>
              </w:rPr>
            </w:pPr>
            <w:r>
              <w:rPr>
                <w:rFonts w:hint="eastAsia" w:ascii="仿宋_GB2312" w:hAnsi="仿宋_GB2312" w:eastAsia="仿宋_GB2312" w:cs="仿宋_GB2312"/>
              </w:rPr>
              <w:t>7.用户领票：保障移动端领票功能稳定，用户可通过手机移动端领取普通票据、包缴票据，并通过下载、发送邮箱、发送微信卡包方式获取票据，领取票据方便快捷。</w:t>
            </w:r>
          </w:p>
          <w:p w14:paraId="2B5400DA">
            <w:pPr>
              <w:pStyle w:val="5"/>
              <w:jc w:val="left"/>
              <w:rPr>
                <w:rFonts w:hint="eastAsia" w:ascii="仿宋_GB2312" w:hAnsi="仿宋_GB2312" w:eastAsia="仿宋_GB2312" w:cs="仿宋_GB2312"/>
              </w:rPr>
            </w:pPr>
            <w:r>
              <w:rPr>
                <w:rFonts w:hint="eastAsia" w:ascii="仿宋_GB2312" w:hAnsi="仿宋_GB2312" w:eastAsia="仿宋_GB2312" w:cs="仿宋_GB2312"/>
              </w:rPr>
              <w:t>8.合规验证：用户可通过OCR验证车辆信息真实性查询通行记录及获取票据，快速自动填充验证企业信息及纳税人识别号等信息补充票据抬头。支撑票据合规申领。</w:t>
            </w:r>
          </w:p>
          <w:p w14:paraId="5087714B">
            <w:pPr>
              <w:pStyle w:val="5"/>
              <w:jc w:val="left"/>
              <w:rPr>
                <w:rFonts w:hint="eastAsia" w:ascii="仿宋_GB2312" w:hAnsi="仿宋_GB2312" w:eastAsia="仿宋_GB2312" w:cs="仿宋_GB2312"/>
              </w:rPr>
            </w:pPr>
            <w:r>
              <w:rPr>
                <w:rFonts w:hint="eastAsia" w:ascii="仿宋_GB2312" w:hAnsi="仿宋_GB2312" w:eastAsia="仿宋_GB2312" w:cs="仿宋_GB2312"/>
              </w:rPr>
              <w:t>（二）票据获取渠道保障</w:t>
            </w:r>
          </w:p>
          <w:p w14:paraId="765928F0">
            <w:pPr>
              <w:pStyle w:val="5"/>
              <w:jc w:val="left"/>
              <w:rPr>
                <w:rFonts w:hint="eastAsia" w:ascii="仿宋_GB2312" w:hAnsi="仿宋_GB2312" w:eastAsia="仿宋_GB2312" w:cs="仿宋_GB2312"/>
              </w:rPr>
            </w:pPr>
            <w:r>
              <w:rPr>
                <w:rFonts w:hint="eastAsia" w:ascii="仿宋_GB2312" w:hAnsi="仿宋_GB2312" w:eastAsia="仿宋_GB2312" w:cs="仿宋_GB2312"/>
              </w:rPr>
              <w:t>需提供多样化电子票据通知服务，保障对接至少 2 种电子票据互联网获取渠道，并确保稳定互通、运行无中断，实时监控渠道推送、通知、领取功能，及时排查解决对接问题，保障用户便捷获取票据。</w:t>
            </w:r>
          </w:p>
          <w:p w14:paraId="1B46A111">
            <w:pPr>
              <w:pStyle w:val="5"/>
              <w:jc w:val="left"/>
              <w:rPr>
                <w:rFonts w:hint="eastAsia" w:ascii="仿宋_GB2312" w:hAnsi="仿宋_GB2312" w:eastAsia="仿宋_GB2312" w:cs="仿宋_GB2312"/>
              </w:rPr>
            </w:pPr>
            <w:r>
              <w:rPr>
                <w:rFonts w:hint="eastAsia" w:ascii="仿宋_GB2312" w:hAnsi="仿宋_GB2312" w:eastAsia="仿宋_GB2312" w:cs="仿宋_GB2312"/>
              </w:rPr>
              <w:t>（三）系统性能保障</w:t>
            </w:r>
          </w:p>
          <w:p w14:paraId="46F7142A">
            <w:pPr>
              <w:pStyle w:val="5"/>
              <w:jc w:val="left"/>
              <w:rPr>
                <w:rFonts w:hint="eastAsia" w:ascii="仿宋_GB2312" w:hAnsi="仿宋_GB2312" w:eastAsia="仿宋_GB2312" w:cs="仿宋_GB2312"/>
              </w:rPr>
            </w:pPr>
            <w:r>
              <w:rPr>
                <w:rFonts w:hint="eastAsia" w:ascii="仿宋_GB2312" w:hAnsi="仿宋_GB2312" w:eastAsia="仿宋_GB2312" w:cs="仿宋_GB2312"/>
              </w:rPr>
              <w:t>由服务商提供所需信创基础环境。通过常态化监控与优化，确保系统性能持续达标：支持日常 30000 个用户同时在线申领，满足高并发需求；年票据服务量可承载不低于1300 万张，日均处理能力≥3 万笔；票据全业务流转时间≤120 秒。</w:t>
            </w:r>
          </w:p>
          <w:p w14:paraId="6AABE5F2">
            <w:pPr>
              <w:pStyle w:val="5"/>
              <w:jc w:val="left"/>
              <w:rPr>
                <w:rFonts w:hint="eastAsia" w:ascii="仿宋_GB2312" w:hAnsi="仿宋_GB2312" w:eastAsia="仿宋_GB2312" w:cs="仿宋_GB2312"/>
              </w:rPr>
            </w:pPr>
            <w:r>
              <w:rPr>
                <w:rFonts w:hint="eastAsia" w:ascii="仿宋_GB2312" w:hAnsi="仿宋_GB2312" w:eastAsia="仿宋_GB2312" w:cs="仿宋_GB2312"/>
              </w:rPr>
              <w:t>（四）全时段服务保障</w:t>
            </w:r>
          </w:p>
          <w:p w14:paraId="5CA320B4">
            <w:pPr>
              <w:pStyle w:val="5"/>
              <w:jc w:val="left"/>
              <w:rPr>
                <w:rFonts w:hint="eastAsia" w:ascii="仿宋_GB2312" w:hAnsi="仿宋_GB2312" w:eastAsia="仿宋_GB2312" w:cs="仿宋_GB2312"/>
              </w:rPr>
            </w:pPr>
            <w:r>
              <w:rPr>
                <w:rFonts w:hint="eastAsia" w:ascii="仿宋_GB2312" w:hAnsi="仿宋_GB2312" w:eastAsia="仿宋_GB2312" w:cs="仿宋_GB2312"/>
              </w:rPr>
              <w:t>1.提供7*24小时保障服务，实时监控</w:t>
            </w:r>
            <w:r>
              <w:rPr>
                <w:rFonts w:hint="eastAsia" w:ascii="仿宋_GB2312" w:hAnsi="仿宋_GB2312" w:eastAsia="仿宋_GB2312" w:cs="仿宋_GB2312"/>
                <w:lang w:val="en-US" w:eastAsia="zh-CN"/>
              </w:rPr>
              <w:t>相关</w:t>
            </w:r>
            <w:r>
              <w:rPr>
                <w:rFonts w:hint="eastAsia" w:ascii="仿宋_GB2312" w:hAnsi="仿宋_GB2312" w:eastAsia="仿宋_GB2312" w:cs="仿宋_GB2312"/>
              </w:rPr>
              <w:t>系统状态，及时响应并处置故障、咨询等需求；</w:t>
            </w:r>
          </w:p>
          <w:p w14:paraId="4E2B2069">
            <w:pPr>
              <w:pStyle w:val="5"/>
              <w:jc w:val="left"/>
              <w:rPr>
                <w:rFonts w:hint="eastAsia" w:ascii="仿宋_GB2312" w:hAnsi="仿宋_GB2312" w:eastAsia="仿宋_GB2312" w:cs="仿宋_GB2312"/>
              </w:rPr>
            </w:pPr>
            <w:r>
              <w:rPr>
                <w:rFonts w:hint="eastAsia" w:ascii="仿宋_GB2312" w:hAnsi="仿宋_GB2312" w:eastAsia="仿宋_GB2312" w:cs="仿宋_GB2312"/>
              </w:rPr>
              <w:t>2.重大会议、重大活动及春节、国庆、五一、清明等重要节假日，加派专业人员强化值守，保障系统零故障、服务零中断。</w:t>
            </w:r>
          </w:p>
        </w:tc>
      </w:tr>
      <w:tr w14:paraId="22F5EC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65" w:type="dxa"/>
          </w:tcPr>
          <w:p w14:paraId="3CA77B76">
            <w:pPr>
              <w:pStyle w:val="5"/>
              <w:jc w:val="center"/>
              <w:rPr>
                <w:rFonts w:ascii="仿宋_GB2312" w:hAnsi="仿宋_GB2312" w:eastAsia="仿宋_GB2312" w:cs="仿宋_GB2312"/>
              </w:rPr>
            </w:pPr>
          </w:p>
        </w:tc>
        <w:tc>
          <w:tcPr>
            <w:tcW w:w="1036" w:type="dxa"/>
          </w:tcPr>
          <w:p w14:paraId="5FFE8A33">
            <w:pPr>
              <w:jc w:val="center"/>
            </w:pPr>
          </w:p>
        </w:tc>
        <w:tc>
          <w:tcPr>
            <w:tcW w:w="6606" w:type="dxa"/>
          </w:tcPr>
          <w:p w14:paraId="569D9DDE">
            <w:pPr>
              <w:pStyle w:val="5"/>
              <w:jc w:val="left"/>
              <w:rPr>
                <w:rFonts w:hint="eastAsia" w:ascii="仿宋_GB2312" w:hAnsi="仿宋_GB2312" w:eastAsia="仿宋_GB2312" w:cs="仿宋_GB2312"/>
              </w:rPr>
            </w:pPr>
            <w:r>
              <w:rPr>
                <w:rFonts w:hint="eastAsia" w:ascii="仿宋_GB2312" w:hAnsi="仿宋_GB2312" w:eastAsia="仿宋_GB2312" w:cs="仿宋_GB2312"/>
                <w:lang w:val="en-US" w:eastAsia="zh-CN"/>
              </w:rPr>
              <w:t>四</w:t>
            </w:r>
            <w:r>
              <w:rPr>
                <w:rFonts w:hint="eastAsia" w:ascii="仿宋_GB2312" w:hAnsi="仿宋_GB2312" w:eastAsia="仿宋_GB2312" w:cs="仿宋_GB2312"/>
              </w:rPr>
              <w:t>、服务要求</w:t>
            </w:r>
          </w:p>
          <w:p w14:paraId="15D369CE">
            <w:pPr>
              <w:pStyle w:val="5"/>
              <w:jc w:val="left"/>
              <w:rPr>
                <w:rFonts w:hint="eastAsia" w:ascii="仿宋_GB2312" w:hAnsi="仿宋_GB2312" w:eastAsia="仿宋_GB2312" w:cs="仿宋_GB2312"/>
              </w:rPr>
            </w:pPr>
            <w:r>
              <w:rPr>
                <w:rFonts w:hint="eastAsia" w:ascii="仿宋_GB2312" w:hAnsi="仿宋_GB2312" w:eastAsia="仿宋_GB2312" w:cs="仿宋_GB2312"/>
              </w:rPr>
              <w:t>（一）服务基本要求</w:t>
            </w:r>
          </w:p>
          <w:p w14:paraId="23CA5313">
            <w:pPr>
              <w:pStyle w:val="5"/>
              <w:jc w:val="left"/>
              <w:rPr>
                <w:rFonts w:hint="eastAsia" w:ascii="仿宋_GB2312" w:hAnsi="仿宋_GB2312" w:eastAsia="仿宋_GB2312" w:cs="仿宋_GB2312"/>
              </w:rPr>
            </w:pPr>
            <w:r>
              <w:rPr>
                <w:rFonts w:hint="eastAsia" w:ascii="仿宋_GB2312" w:hAnsi="仿宋_GB2312" w:eastAsia="仿宋_GB2312" w:cs="仿宋_GB2312"/>
              </w:rPr>
              <w:t>1.服务时间：2026年11月4日—2027年9月3日</w:t>
            </w:r>
          </w:p>
          <w:p w14:paraId="682C772B">
            <w:pPr>
              <w:pStyle w:val="5"/>
              <w:jc w:val="left"/>
              <w:rPr>
                <w:rFonts w:hint="eastAsia" w:ascii="仿宋_GB2312" w:hAnsi="仿宋_GB2312" w:eastAsia="仿宋_GB2312" w:cs="仿宋_GB2312"/>
              </w:rPr>
            </w:pPr>
            <w:r>
              <w:rPr>
                <w:rFonts w:hint="eastAsia" w:ascii="仿宋_GB2312" w:hAnsi="仿宋_GB2312" w:eastAsia="仿宋_GB2312" w:cs="仿宋_GB2312"/>
              </w:rPr>
              <w:t>2.服务地点：陕西省高速公路收费中心及服务提供区域</w:t>
            </w:r>
          </w:p>
          <w:p w14:paraId="239261D5">
            <w:pPr>
              <w:pStyle w:val="5"/>
              <w:jc w:val="left"/>
              <w:rPr>
                <w:rFonts w:hint="eastAsia" w:ascii="仿宋_GB2312" w:hAnsi="仿宋_GB2312" w:eastAsia="仿宋_GB2312" w:cs="仿宋_GB2312"/>
              </w:rPr>
            </w:pPr>
            <w:r>
              <w:rPr>
                <w:rFonts w:hint="eastAsia" w:ascii="仿宋_GB2312" w:hAnsi="仿宋_GB2312" w:eastAsia="仿宋_GB2312" w:cs="仿宋_GB2312"/>
              </w:rPr>
              <w:t>3.技术支持服务</w:t>
            </w:r>
          </w:p>
          <w:p w14:paraId="28572D52">
            <w:pPr>
              <w:pStyle w:val="5"/>
              <w:jc w:val="left"/>
              <w:rPr>
                <w:rFonts w:hint="eastAsia" w:ascii="仿宋_GB2312" w:hAnsi="仿宋_GB2312" w:eastAsia="仿宋_GB2312" w:cs="仿宋_GB2312"/>
              </w:rPr>
            </w:pPr>
            <w:r>
              <w:rPr>
                <w:rFonts w:hint="eastAsia" w:ascii="仿宋_GB2312" w:hAnsi="仿宋_GB2312" w:eastAsia="仿宋_GB2312" w:cs="仿宋_GB2312"/>
              </w:rPr>
              <w:t>根据收费公路通行费电子票据业务服务实际维护需求，技术人员通过远程或到达现场的方式提供日常巡检、故障修复等技术支持服务；人工客服通过线上沟通为客户解答咨询、处理投诉与反馈、核实并记录客户信息、提供服务指导，确保客户获得及时、准确的服务与支持。</w:t>
            </w:r>
          </w:p>
          <w:p w14:paraId="1B5798C7">
            <w:pPr>
              <w:pStyle w:val="5"/>
              <w:jc w:val="left"/>
              <w:rPr>
                <w:rFonts w:hint="eastAsia" w:ascii="仿宋_GB2312" w:hAnsi="仿宋_GB2312" w:eastAsia="仿宋_GB2312" w:cs="仿宋_GB2312"/>
              </w:rPr>
            </w:pPr>
            <w:r>
              <w:rPr>
                <w:rFonts w:hint="eastAsia" w:ascii="仿宋_GB2312" w:hAnsi="仿宋_GB2312" w:eastAsia="仿宋_GB2312" w:cs="仿宋_GB2312"/>
              </w:rPr>
              <w:t>（二）服务响应要求</w:t>
            </w:r>
          </w:p>
          <w:p w14:paraId="055F5A2B">
            <w:pPr>
              <w:pStyle w:val="5"/>
              <w:jc w:val="left"/>
              <w:rPr>
                <w:rFonts w:hint="eastAsia" w:ascii="仿宋_GB2312" w:hAnsi="仿宋_GB2312" w:eastAsia="仿宋_GB2312" w:cs="仿宋_GB2312"/>
              </w:rPr>
            </w:pPr>
            <w:r>
              <w:rPr>
                <w:rFonts w:hint="eastAsia" w:ascii="仿宋_GB2312" w:hAnsi="仿宋_GB2312" w:eastAsia="仿宋_GB2312" w:cs="仿宋_GB2312"/>
              </w:rPr>
              <w:t>供应商提供7*24小时的保障服务。技术人员工作日5*8时间内应在10分钟内故障响应，2小时内提出故障解决方案，其他时间应在30分钟内故障响应，4小时内提出故障解决方案。人工客服工作日5*8时间实时在线处理客户反馈问题。</w:t>
            </w:r>
          </w:p>
          <w:p w14:paraId="3B40E990">
            <w:pPr>
              <w:pStyle w:val="5"/>
              <w:jc w:val="left"/>
              <w:rPr>
                <w:rFonts w:hint="eastAsia" w:ascii="仿宋_GB2312" w:hAnsi="仿宋_GB2312" w:eastAsia="仿宋_GB2312" w:cs="仿宋_GB2312"/>
              </w:rPr>
            </w:pPr>
            <w:r>
              <w:rPr>
                <w:rFonts w:hint="eastAsia" w:ascii="仿宋_GB2312" w:hAnsi="仿宋_GB2312" w:eastAsia="仿宋_GB2312" w:cs="仿宋_GB2312"/>
              </w:rPr>
              <w:t>（二）项目人员要求</w:t>
            </w:r>
          </w:p>
          <w:p w14:paraId="4D4D0FCB">
            <w:pPr>
              <w:pStyle w:val="5"/>
              <w:jc w:val="left"/>
              <w:rPr>
                <w:rFonts w:hint="eastAsia" w:ascii="仿宋_GB2312" w:hAnsi="仿宋_GB2312" w:eastAsia="仿宋_GB2312" w:cs="仿宋_GB2312"/>
              </w:rPr>
            </w:pPr>
            <w:r>
              <w:rPr>
                <w:rFonts w:hint="eastAsia" w:ascii="仿宋_GB2312" w:hAnsi="仿宋_GB2312" w:eastAsia="仿宋_GB2312" w:cs="仿宋_GB2312"/>
              </w:rPr>
              <w:t>为确保服务工作的顺利开展，供应商应对服务人员及现场驻场人员素质整体把关，原则上应满足以下条件：</w:t>
            </w:r>
          </w:p>
          <w:p w14:paraId="7DFC5A64">
            <w:pPr>
              <w:pStyle w:val="5"/>
              <w:jc w:val="left"/>
              <w:rPr>
                <w:rFonts w:hint="eastAsia" w:ascii="仿宋_GB2312" w:hAnsi="仿宋_GB2312" w:eastAsia="仿宋_GB2312" w:cs="仿宋_GB2312"/>
              </w:rPr>
            </w:pPr>
            <w:r>
              <w:rPr>
                <w:rFonts w:hint="eastAsia" w:ascii="仿宋_GB2312" w:hAnsi="仿宋_GB2312" w:eastAsia="仿宋_GB2312" w:cs="仿宋_GB2312"/>
              </w:rPr>
              <w:t>1.指定一名技术维护人员，拥有至少三年以上信息系统运维从业经验，具有网络工程师中级及以上证书，或</w:t>
            </w:r>
            <w:r>
              <w:rPr>
                <w:rFonts w:hint="eastAsia" w:ascii="仿宋_GB2312" w:hAnsi="仿宋_GB2312" w:eastAsia="仿宋_GB2312" w:cs="仿宋_GB2312"/>
                <w:lang w:val="en-US"/>
              </w:rPr>
              <w:t>数据安全方向</w:t>
            </w:r>
            <w:r>
              <w:rPr>
                <w:rFonts w:hint="eastAsia" w:ascii="仿宋_GB2312" w:hAnsi="仿宋_GB2312" w:eastAsia="仿宋_GB2312" w:cs="仿宋_GB2312"/>
              </w:rPr>
              <w:t>中级及以上职业资格证书，熟练掌握信息系统相关技术原理、运维规范及故障处理流程，具备良好的技术支撑与沟通协调能力，负责系统运维、故障排查、技术支撑与问题解决，保障平台稳定运行。</w:t>
            </w:r>
          </w:p>
          <w:p w14:paraId="68962DE2">
            <w:pPr>
              <w:pStyle w:val="5"/>
              <w:jc w:val="left"/>
              <w:rPr>
                <w:rFonts w:hint="eastAsia" w:ascii="仿宋_GB2312" w:hAnsi="仿宋_GB2312" w:eastAsia="仿宋_GB2312" w:cs="仿宋_GB2312"/>
              </w:rPr>
            </w:pPr>
            <w:r>
              <w:rPr>
                <w:rFonts w:hint="eastAsia" w:ascii="仿宋_GB2312" w:hAnsi="仿宋_GB2312" w:eastAsia="仿宋_GB2312" w:cs="仿宋_GB2312"/>
              </w:rPr>
              <w:t>2.指定一名专职客服人员，负责票据服务日常咨询、问题受理及分发、投诉受理、服务记录等。</w:t>
            </w:r>
          </w:p>
          <w:p w14:paraId="59D9131B">
            <w:pPr>
              <w:pStyle w:val="5"/>
              <w:jc w:val="left"/>
              <w:rPr>
                <w:rFonts w:hint="eastAsia" w:ascii="仿宋_GB2312" w:hAnsi="仿宋_GB2312" w:eastAsia="仿宋_GB2312" w:cs="仿宋_GB2312"/>
              </w:rPr>
            </w:pPr>
            <w:r>
              <w:rPr>
                <w:rFonts w:hint="eastAsia" w:ascii="仿宋_GB2312" w:hAnsi="仿宋_GB2312" w:eastAsia="仿宋_GB2312" w:cs="仿宋_GB2312"/>
              </w:rPr>
              <w:t>（三）运行服务要求</w:t>
            </w:r>
          </w:p>
          <w:p w14:paraId="02A39165">
            <w:pPr>
              <w:pStyle w:val="5"/>
              <w:jc w:val="left"/>
              <w:rPr>
                <w:rFonts w:hint="eastAsia" w:ascii="仿宋_GB2312" w:hAnsi="仿宋_GB2312" w:eastAsia="仿宋_GB2312" w:cs="仿宋_GB2312"/>
              </w:rPr>
            </w:pPr>
            <w:r>
              <w:rPr>
                <w:rFonts w:hint="eastAsia" w:ascii="仿宋_GB2312" w:hAnsi="仿宋_GB2312" w:eastAsia="仿宋_GB2312" w:cs="仿宋_GB2312"/>
              </w:rPr>
              <w:t xml:space="preserve">1.按日进行服务巡检并做好记录。每月提交票据服务日常服务月报，包含故障处理记录。  </w:t>
            </w:r>
          </w:p>
          <w:p w14:paraId="2D50C841">
            <w:pPr>
              <w:pStyle w:val="5"/>
              <w:jc w:val="left"/>
              <w:rPr>
                <w:rFonts w:hint="eastAsia" w:ascii="仿宋_GB2312" w:hAnsi="仿宋_GB2312" w:eastAsia="仿宋_GB2312" w:cs="仿宋_GB2312"/>
              </w:rPr>
            </w:pPr>
            <w:r>
              <w:rPr>
                <w:rFonts w:hint="eastAsia" w:ascii="仿宋_GB2312" w:hAnsi="仿宋_GB2312" w:eastAsia="仿宋_GB2312" w:cs="仿宋_GB2312"/>
              </w:rPr>
              <w:t>2.最后一个月结束后5个工作日，由供应商整理合同期内的维护材料后提交申请验收，采购人成立验收小组对年度维护情况进行验收。</w:t>
            </w:r>
          </w:p>
          <w:p w14:paraId="0DD6AA9E">
            <w:pPr>
              <w:pStyle w:val="5"/>
              <w:jc w:val="left"/>
              <w:rPr>
                <w:rFonts w:hint="eastAsia" w:ascii="仿宋_GB2312" w:hAnsi="仿宋_GB2312" w:eastAsia="仿宋_GB2312" w:cs="仿宋_GB2312"/>
              </w:rPr>
            </w:pPr>
            <w:r>
              <w:rPr>
                <w:rFonts w:hint="eastAsia" w:ascii="仿宋_GB2312" w:hAnsi="仿宋_GB2312" w:eastAsia="仿宋_GB2312" w:cs="仿宋_GB2312"/>
              </w:rPr>
              <w:t>（四）网络安全要求</w:t>
            </w:r>
          </w:p>
          <w:p w14:paraId="131AD3AA">
            <w:pPr>
              <w:pStyle w:val="5"/>
              <w:jc w:val="left"/>
              <w:rPr>
                <w:rFonts w:hint="eastAsia" w:ascii="仿宋_GB2312" w:hAnsi="仿宋_GB2312" w:eastAsia="仿宋_GB2312" w:cs="仿宋_GB2312"/>
              </w:rPr>
            </w:pPr>
            <w:r>
              <w:rPr>
                <w:rFonts w:hint="eastAsia" w:ascii="仿宋_GB2312" w:hAnsi="仿宋_GB2312" w:eastAsia="仿宋_GB2312" w:cs="仿宋_GB2312"/>
              </w:rPr>
              <w:t>供应商具备健全的网络安全服务体系，具有网络安全隐患排查、完善加固、预警监测、应对攻击等服务能力，配备具有相关技术能力的网络安全专项人员，为本项目提供策略配置、加固整改、安全监测、应急处置等保障措施，确保系统安全稳定运行，按照要求签署网络安全责任协议。</w:t>
            </w:r>
          </w:p>
          <w:p w14:paraId="193A89E6">
            <w:pPr>
              <w:pStyle w:val="5"/>
              <w:jc w:val="left"/>
              <w:rPr>
                <w:rFonts w:hint="eastAsia" w:ascii="仿宋_GB2312" w:hAnsi="仿宋_GB2312" w:eastAsia="仿宋_GB2312" w:cs="仿宋_GB2312"/>
              </w:rPr>
            </w:pPr>
            <w:r>
              <w:rPr>
                <w:rFonts w:hint="eastAsia" w:ascii="仿宋_GB2312" w:hAnsi="仿宋_GB2312" w:eastAsia="仿宋_GB2312" w:cs="仿宋_GB2312"/>
              </w:rPr>
              <w:t>（五）保密要求</w:t>
            </w:r>
          </w:p>
          <w:p w14:paraId="56759CD2">
            <w:pPr>
              <w:pStyle w:val="5"/>
              <w:jc w:val="left"/>
              <w:rPr>
                <w:rFonts w:hint="eastAsia" w:ascii="仿宋_GB2312" w:hAnsi="仿宋_GB2312" w:eastAsia="仿宋_GB2312" w:cs="仿宋_GB2312"/>
              </w:rPr>
            </w:pPr>
            <w:r>
              <w:rPr>
                <w:rFonts w:hint="eastAsia" w:ascii="仿宋_GB2312" w:hAnsi="仿宋_GB2312" w:eastAsia="仿宋_GB2312" w:cs="仿宋_GB2312"/>
              </w:rPr>
              <w:t>项目实施过程中所收集、产生的所有与本项目相关的文档、资料，包括文字、图片、表格、数字、数据等各种形式所属权均归属省收费中心，服务商必须对获悉的保密信息负有完全和严格的保密义务，服务商及服务人员应按照要求签署保密协议。未经省收费中心事先书面同意，服务商不得传输、复制、转让、泄露信息。保密期限不受合同有效期的限制，在合同有效期结束后，供应商仍应承担保密义务。</w:t>
            </w:r>
          </w:p>
          <w:p w14:paraId="42C16177">
            <w:pPr>
              <w:pStyle w:val="5"/>
              <w:jc w:val="left"/>
              <w:rPr>
                <w:rFonts w:hint="eastAsia" w:ascii="仿宋_GB2312" w:hAnsi="仿宋_GB2312" w:eastAsia="仿宋_GB2312" w:cs="仿宋_GB2312"/>
              </w:rPr>
            </w:pPr>
            <w:r>
              <w:rPr>
                <w:rFonts w:hint="eastAsia" w:ascii="仿宋_GB2312" w:hAnsi="仿宋_GB2312" w:eastAsia="仿宋_GB2312" w:cs="仿宋_GB2312"/>
              </w:rPr>
              <w:t>（六）供应链管理</w:t>
            </w:r>
          </w:p>
          <w:p w14:paraId="77982B03">
            <w:pPr>
              <w:pStyle w:val="5"/>
              <w:jc w:val="left"/>
              <w:rPr>
                <w:rFonts w:hint="eastAsia" w:ascii="仿宋_GB2312" w:hAnsi="仿宋_GB2312" w:eastAsia="仿宋_GB2312" w:cs="仿宋_GB2312"/>
              </w:rPr>
            </w:pPr>
            <w:r>
              <w:rPr>
                <w:rFonts w:hint="eastAsia" w:ascii="仿宋_GB2312" w:hAnsi="仿宋_GB2312" w:eastAsia="仿宋_GB2312" w:cs="仿宋_GB2312"/>
              </w:rPr>
              <w:t>供应商应严格落实网络安全和保密及人员管理要求，承担相应人员的网络安全和保密及人员管理责任，按要求签订协议和承诺书。供应商应强化配备人员管理，项目团队成员一经确认，原则上不得更换。如因特殊情况确需调整，须提前15个日历天向采购人提交书面申请，经采购人审核同意后方可更换，且替换人员的职称、专业背景、从业年限及项目经验不得低于原定人员标准，确保项目服务质量不受影响。</w:t>
            </w:r>
          </w:p>
          <w:p w14:paraId="54DA4894">
            <w:pPr>
              <w:pStyle w:val="5"/>
              <w:jc w:val="left"/>
              <w:rPr>
                <w:rFonts w:hint="eastAsia" w:ascii="仿宋_GB2312" w:hAnsi="仿宋_GB2312" w:eastAsia="仿宋_GB2312" w:cs="仿宋_GB2312"/>
              </w:rPr>
            </w:pPr>
            <w:r>
              <w:rPr>
                <w:rFonts w:hint="eastAsia" w:ascii="仿宋_GB2312" w:hAnsi="仿宋_GB2312" w:eastAsia="仿宋_GB2312" w:cs="仿宋_GB2312"/>
              </w:rPr>
              <w:t>（七）违约责任</w:t>
            </w:r>
          </w:p>
          <w:p w14:paraId="3460EC26">
            <w:pPr>
              <w:pStyle w:val="5"/>
              <w:jc w:val="left"/>
              <w:rPr>
                <w:rFonts w:hint="eastAsia" w:ascii="仿宋_GB2312" w:hAnsi="仿宋_GB2312" w:eastAsia="仿宋_GB2312" w:cs="仿宋_GB2312"/>
              </w:rPr>
            </w:pPr>
            <w:r>
              <w:rPr>
                <w:rFonts w:hint="eastAsia" w:ascii="仿宋_GB2312" w:hAnsi="仿宋_GB2312" w:eastAsia="仿宋_GB2312" w:cs="仿宋_GB2312"/>
              </w:rPr>
              <w:t xml:space="preserve">    1.日常系统维护违约责任</w:t>
            </w:r>
          </w:p>
          <w:p w14:paraId="678EA9F2">
            <w:pPr>
              <w:pStyle w:val="5"/>
              <w:jc w:val="left"/>
              <w:rPr>
                <w:rFonts w:hint="eastAsia" w:ascii="仿宋_GB2312" w:hAnsi="仿宋_GB2312" w:eastAsia="仿宋_GB2312" w:cs="仿宋_GB2312"/>
              </w:rPr>
            </w:pPr>
            <w:r>
              <w:rPr>
                <w:rFonts w:hint="eastAsia" w:ascii="仿宋_GB2312" w:hAnsi="仿宋_GB2312" w:eastAsia="仿宋_GB2312" w:cs="仿宋_GB2312"/>
              </w:rPr>
              <w:t>因供应商原因，导致服务不正常的，2小时以内未解决的，每超过一个小时，需支付违约金1000元；且供应商需立即采取补救措施消除影响。</w:t>
            </w:r>
          </w:p>
          <w:p w14:paraId="09309643">
            <w:pPr>
              <w:pStyle w:val="5"/>
              <w:jc w:val="left"/>
              <w:rPr>
                <w:rFonts w:hint="eastAsia" w:ascii="仿宋_GB2312" w:hAnsi="仿宋_GB2312" w:eastAsia="仿宋_GB2312" w:cs="仿宋_GB2312"/>
              </w:rPr>
            </w:pPr>
            <w:r>
              <w:rPr>
                <w:rFonts w:hint="eastAsia" w:ascii="仿宋_GB2312" w:hAnsi="仿宋_GB2312" w:eastAsia="仿宋_GB2312" w:cs="仿宋_GB2312"/>
              </w:rPr>
              <w:t>节假日、重要活动等特殊时期，供应商未按要求加强值班值守或提前开展系统安全检查，因擅离职守、安全检查缺失导致服务无法正常运行的，每发生一次支付违约金2000元。</w:t>
            </w:r>
          </w:p>
          <w:p w14:paraId="50B5D80C">
            <w:pPr>
              <w:pStyle w:val="5"/>
              <w:jc w:val="left"/>
              <w:rPr>
                <w:rFonts w:hint="eastAsia" w:ascii="仿宋_GB2312" w:hAnsi="仿宋_GB2312" w:eastAsia="仿宋_GB2312" w:cs="仿宋_GB2312"/>
              </w:rPr>
            </w:pPr>
            <w:r>
              <w:rPr>
                <w:rFonts w:hint="eastAsia" w:ascii="仿宋_GB2312" w:hAnsi="仿宋_GB2312" w:eastAsia="仿宋_GB2312" w:cs="仿宋_GB2312"/>
              </w:rPr>
              <w:t>2.网络安全违约责任</w:t>
            </w:r>
          </w:p>
          <w:p w14:paraId="4BB5FA53">
            <w:pPr>
              <w:pStyle w:val="5"/>
              <w:jc w:val="left"/>
              <w:rPr>
                <w:rFonts w:hint="eastAsia" w:ascii="仿宋_GB2312" w:hAnsi="仿宋_GB2312" w:eastAsia="仿宋_GB2312" w:cs="仿宋_GB2312"/>
              </w:rPr>
            </w:pPr>
            <w:r>
              <w:rPr>
                <w:rFonts w:hint="eastAsia" w:ascii="仿宋_GB2312" w:hAnsi="仿宋_GB2312" w:eastAsia="仿宋_GB2312" w:cs="仿宋_GB2312"/>
              </w:rPr>
              <w:t>供应商应履行系统网络安全保障义务，包括隐患清零、资产台账维护、口令管理、补丁升级、系统监测、安全防护及日常安全管理等工作，确保系统符合国家、省及行业网络安全规范。</w:t>
            </w:r>
          </w:p>
          <w:p w14:paraId="55DF37EA">
            <w:pPr>
              <w:pStyle w:val="5"/>
              <w:jc w:val="left"/>
              <w:rPr>
                <w:rFonts w:hint="eastAsia" w:ascii="仿宋_GB2312" w:hAnsi="仿宋_GB2312" w:eastAsia="仿宋_GB2312" w:cs="仿宋_GB2312"/>
              </w:rPr>
            </w:pPr>
            <w:r>
              <w:rPr>
                <w:rFonts w:hint="eastAsia" w:ascii="仿宋_GB2312" w:hAnsi="仿宋_GB2312" w:eastAsia="仿宋_GB2312" w:cs="仿宋_GB2312"/>
              </w:rPr>
              <w:t>因供应商上述安全义务履行不到位，被部、省、公安、甲方等相关部门通报的，每通报一次支付违约金1000元，且乙方需在通报要求期限内完成整改并提交整改报告。</w:t>
            </w:r>
          </w:p>
          <w:p w14:paraId="6D800015">
            <w:pPr>
              <w:pStyle w:val="5"/>
              <w:jc w:val="left"/>
              <w:rPr>
                <w:rFonts w:hint="eastAsia" w:ascii="仿宋_GB2312" w:hAnsi="仿宋_GB2312" w:eastAsia="仿宋_GB2312" w:cs="仿宋_GB2312"/>
              </w:rPr>
            </w:pPr>
            <w:r>
              <w:rPr>
                <w:rFonts w:hint="eastAsia" w:ascii="仿宋_GB2312" w:hAnsi="仿宋_GB2312" w:eastAsia="仿宋_GB2312" w:cs="仿宋_GB2312"/>
              </w:rPr>
              <w:t>3.服务质量违约处理</w:t>
            </w:r>
          </w:p>
          <w:p w14:paraId="3CB82C4B">
            <w:pPr>
              <w:pStyle w:val="5"/>
              <w:jc w:val="left"/>
              <w:rPr>
                <w:rFonts w:hint="eastAsia" w:ascii="仿宋_GB2312" w:hAnsi="仿宋_GB2312" w:eastAsia="仿宋_GB2312" w:cs="仿宋_GB2312"/>
              </w:rPr>
            </w:pPr>
            <w:r>
              <w:rPr>
                <w:rFonts w:hint="eastAsia" w:ascii="仿宋_GB2312" w:hAnsi="仿宋_GB2312" w:eastAsia="仿宋_GB2312" w:cs="仿宋_GB2312"/>
              </w:rPr>
              <w:t>供应商服务质量不符合合同约定的，应按采购方书面整改通知要求限期整改；自整改通知发出之日起15个工作日内整改仍不达标，或累计收到采购方5次及以上书面整改通知的，采购方有权单方解除合同，供应商按合同总价款的 20% 支付违约金。</w:t>
            </w:r>
          </w:p>
          <w:p w14:paraId="3F04598B">
            <w:pPr>
              <w:pStyle w:val="5"/>
              <w:jc w:val="left"/>
              <w:rPr>
                <w:rFonts w:hint="eastAsia" w:ascii="仿宋_GB2312" w:hAnsi="仿宋_GB2312" w:eastAsia="仿宋_GB2312" w:cs="仿宋_GB2312"/>
              </w:rPr>
            </w:pPr>
            <w:r>
              <w:rPr>
                <w:rFonts w:hint="eastAsia" w:ascii="仿宋_GB2312" w:hAnsi="仿宋_GB2312" w:eastAsia="仿宋_GB2312" w:cs="仿宋_GB2312"/>
              </w:rPr>
              <w:t>4.其他违约处理</w:t>
            </w:r>
          </w:p>
          <w:p w14:paraId="02E42B56">
            <w:pPr>
              <w:pStyle w:val="5"/>
              <w:jc w:val="left"/>
              <w:rPr>
                <w:rFonts w:hint="eastAsia" w:ascii="仿宋_GB2312" w:hAnsi="仿宋_GB2312" w:eastAsia="仿宋_GB2312" w:cs="仿宋_GB2312"/>
              </w:rPr>
            </w:pPr>
            <w:r>
              <w:rPr>
                <w:rFonts w:hint="eastAsia" w:ascii="仿宋_GB2312" w:hAnsi="仿宋_GB2312" w:eastAsia="仿宋_GB2312" w:cs="仿宋_GB2312"/>
              </w:rPr>
              <w:t>供应商如不能及时开具全额发票或采购人要求的保函，采购人有权延时付款且不承担违约责任，直至供应商开具全额发票或开具保函后再进行付款。</w:t>
            </w:r>
          </w:p>
          <w:p w14:paraId="76536C28">
            <w:pPr>
              <w:pStyle w:val="5"/>
              <w:jc w:val="left"/>
              <w:rPr>
                <w:rFonts w:hint="eastAsia" w:ascii="仿宋_GB2312" w:hAnsi="仿宋_GB2312" w:eastAsia="仿宋_GB2312" w:cs="仿宋_GB2312"/>
              </w:rPr>
            </w:pPr>
            <w:r>
              <w:rPr>
                <w:rFonts w:hint="eastAsia" w:ascii="仿宋_GB2312" w:hAnsi="仿宋_GB2312" w:eastAsia="仿宋_GB2312" w:cs="仿宋_GB2312"/>
              </w:rPr>
              <w:t>（八）验收标准</w:t>
            </w:r>
          </w:p>
          <w:p w14:paraId="37D33FC7">
            <w:pPr>
              <w:pStyle w:val="5"/>
              <w:jc w:val="left"/>
              <w:rPr>
                <w:rFonts w:hint="eastAsia" w:ascii="仿宋_GB2312" w:hAnsi="仿宋_GB2312" w:eastAsia="仿宋_GB2312" w:cs="仿宋_GB2312"/>
              </w:rPr>
            </w:pPr>
            <w:r>
              <w:rPr>
                <w:rFonts w:hint="eastAsia" w:ascii="仿宋_GB2312" w:hAnsi="仿宋_GB2312" w:eastAsia="仿宋_GB2312" w:cs="仿宋_GB2312"/>
              </w:rPr>
              <w:t>项目履约验收主体为采购人，验收工作流程为供应商提出验收申请之日起30日内，由采购人组织验收工作。本项目为一次性验收，采购人严格按照招标文件、投标文件和合同约定内容进行履约验收。</w:t>
            </w:r>
          </w:p>
        </w:tc>
      </w:tr>
    </w:tbl>
    <w:p w14:paraId="78660876">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4A44B9E"/>
    <w:rsid w:val="34A44B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0"/>
    <w:pPr>
      <w:keepNext/>
      <w:keepLines/>
      <w:spacing w:before="120" w:after="120" w:line="360" w:lineRule="auto"/>
      <w:jc w:val="center"/>
      <w:outlineLvl w:val="1"/>
    </w:pPr>
    <w:rPr>
      <w:rFonts w:ascii="Arial" w:hAnsi="Arial"/>
      <w:b/>
      <w:bCs/>
      <w:sz w:val="28"/>
      <w:szCs w:val="32"/>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customStyle="1" w:styleId="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2026-06-11T07:11:00Z</dcterms:created>
  <dc:creator>白日梦</dc:creator>
  <cp:lastModifiedBy>白日梦</cp:lastModifiedBy>
  <dcterms:modified xsi:type="dcterms:W3CDTF">2026-06-11T07:11:19Z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72C65744DB794F75BA9BFC708B7C8DCE_11</vt:lpwstr>
  </property>
  <property fmtid="{D5CDD505-2E9C-101B-9397-08002B2CF9AE}" pid="4" name="KSOTemplateDocerSaveRecord">
    <vt:lpwstr>eyJoZGlkIjoiOTQyNjJhYWQ1Y2ZkMWY1OTgyN2E4ZDZkNGNkNDQwMjYiLCJ1c2VySWQiOiIzMTI3MDEwNzEifQ==</vt:lpwstr>
  </property>
</Properties>
</file>