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6929D9">
      <w:pPr>
        <w:pStyle w:val="4"/>
        <w:ind w:firstLine="480"/>
        <w:rPr>
          <w:rFonts w:hint="default" w:ascii="仿宋_GB2312" w:hAnsi="仿宋_GB2312" w:eastAsia="仿宋_GB2312" w:cs="仿宋_GB2312"/>
          <w:sz w:val="20"/>
          <w:lang w:val="en-US" w:eastAsia="zh-CN"/>
        </w:rPr>
      </w:pPr>
      <w:r>
        <w:rPr>
          <w:rFonts w:hint="eastAsia" w:ascii="仿宋_GB2312" w:hAnsi="仿宋_GB2312" w:eastAsia="仿宋_GB2312" w:cs="仿宋_GB2312"/>
          <w:sz w:val="20"/>
          <w:lang w:val="en-US" w:eastAsia="zh-CN"/>
        </w:rPr>
        <w:t>一、项目概况</w:t>
      </w:r>
    </w:p>
    <w:p w14:paraId="4640CC60">
      <w:pPr>
        <w:pStyle w:val="4"/>
        <w:ind w:firstLine="480"/>
        <w:rPr>
          <w:rFonts w:ascii="仿宋_GB2312" w:hAnsi="仿宋_GB2312" w:eastAsia="仿宋_GB2312" w:cs="仿宋_GB2312"/>
          <w:sz w:val="20"/>
        </w:rPr>
      </w:pPr>
      <w:r>
        <w:rPr>
          <w:rFonts w:ascii="仿宋_GB2312" w:hAnsi="仿宋_GB2312" w:eastAsia="仿宋_GB2312" w:cs="仿宋_GB2312"/>
          <w:sz w:val="20"/>
        </w:rPr>
        <w:t>为保障教职工的身体健康，及时发现潜在健康问题，提升教职工的工作生活质量，开展此次体检工作。</w:t>
      </w:r>
    </w:p>
    <w:p w14:paraId="0F65716D">
      <w:pPr>
        <w:pStyle w:val="4"/>
        <w:numPr>
          <w:ilvl w:val="0"/>
          <w:numId w:val="1"/>
        </w:numPr>
        <w:ind w:firstLine="480"/>
        <w:rPr>
          <w:rFonts w:hint="eastAsia" w:ascii="仿宋_GB2312" w:hAnsi="仿宋_GB2312" w:eastAsia="仿宋_GB2312" w:cs="仿宋_GB2312"/>
          <w:sz w:val="20"/>
          <w:lang w:val="en-US" w:eastAsia="zh-CN"/>
        </w:rPr>
      </w:pPr>
      <w:r>
        <w:rPr>
          <w:rFonts w:hint="eastAsia" w:ascii="仿宋_GB2312" w:hAnsi="仿宋_GB2312" w:eastAsia="仿宋_GB2312" w:cs="仿宋_GB2312"/>
          <w:sz w:val="20"/>
          <w:lang w:val="en-US" w:eastAsia="zh-CN"/>
        </w:rPr>
        <w:t>项目目标</w:t>
      </w:r>
    </w:p>
    <w:p w14:paraId="364D203C">
      <w:pPr>
        <w:pStyle w:val="4"/>
        <w:ind w:firstLine="480"/>
        <w:rPr>
          <w:rFonts w:ascii="仿宋_GB2312" w:hAnsi="仿宋_GB2312" w:eastAsia="仿宋_GB2312" w:cs="仿宋_GB2312"/>
          <w:sz w:val="20"/>
        </w:rPr>
      </w:pPr>
      <w:r>
        <w:rPr>
          <w:rFonts w:ascii="仿宋_GB2312" w:hAnsi="仿宋_GB2312" w:eastAsia="仿宋_GB2312" w:cs="仿宋_GB2312"/>
          <w:sz w:val="20"/>
        </w:rPr>
        <w:t>1.通过体检做到预防为主，科学管理。大病及早发现，慢病及时治疗，小病积极预防，确保干部员工身心健康。</w:t>
      </w:r>
    </w:p>
    <w:p w14:paraId="760F7EC8">
      <w:pPr>
        <w:pStyle w:val="4"/>
        <w:ind w:firstLine="480"/>
        <w:rPr>
          <w:rFonts w:ascii="仿宋_GB2312" w:hAnsi="仿宋_GB2312" w:eastAsia="仿宋_GB2312" w:cs="仿宋_GB2312"/>
          <w:sz w:val="20"/>
        </w:rPr>
      </w:pPr>
      <w:r>
        <w:rPr>
          <w:rFonts w:ascii="仿宋_GB2312" w:hAnsi="仿宋_GB2312" w:eastAsia="仿宋_GB2312" w:cs="仿宋_GB2312"/>
          <w:sz w:val="20"/>
        </w:rPr>
        <w:t>2.对所有受检人员在体检中所发现的偏离正常范围的查验项目提供相关健康指导的建议。</w:t>
      </w:r>
    </w:p>
    <w:p w14:paraId="169B3D72">
      <w:pPr>
        <w:pStyle w:val="4"/>
        <w:numPr>
          <w:ilvl w:val="0"/>
          <w:numId w:val="0"/>
        </w:numPr>
        <w:ind w:firstLine="400" w:firstLineChars="200"/>
        <w:rPr>
          <w:rFonts w:hint="eastAsia" w:ascii="仿宋_GB2312" w:hAnsi="仿宋_GB2312" w:eastAsia="仿宋_GB2312" w:cs="仿宋_GB2312"/>
          <w:sz w:val="20"/>
          <w:lang w:val="en-US" w:eastAsia="zh-CN"/>
        </w:rPr>
      </w:pPr>
      <w:r>
        <w:rPr>
          <w:rFonts w:hint="eastAsia" w:ascii="仿宋_GB2312" w:hAnsi="仿宋_GB2312" w:eastAsia="仿宋_GB2312" w:cs="仿宋_GB2312"/>
          <w:sz w:val="20"/>
          <w:lang w:val="en-US" w:eastAsia="zh-CN"/>
        </w:rPr>
        <w:t>三、体检项目</w:t>
      </w:r>
    </w:p>
    <w:p w14:paraId="78EB2C47">
      <w:pPr>
        <w:pStyle w:val="4"/>
      </w:pPr>
      <w:bookmarkStart w:id="0" w:name="_GoBack"/>
      <w:bookmarkEnd w:id="0"/>
      <w:r>
        <w:rPr>
          <w:rFonts w:ascii="仿宋_GB2312" w:hAnsi="仿宋_GB2312" w:eastAsia="仿宋_GB2312" w:cs="仿宋_GB2312"/>
          <w:sz w:val="20"/>
        </w:rPr>
        <w:t>体检项目：</w:t>
      </w:r>
    </w:p>
    <w:tbl>
      <w:tblPr>
        <w:tblStyle w:val="2"/>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52"/>
        <w:gridCol w:w="2003"/>
        <w:gridCol w:w="2422"/>
        <w:gridCol w:w="1012"/>
        <w:gridCol w:w="1012"/>
        <w:gridCol w:w="1012"/>
      </w:tblGrid>
      <w:tr w14:paraId="3E298C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tcPr>
          <w:p w14:paraId="103F3673">
            <w:pPr>
              <w:pStyle w:val="4"/>
              <w:jc w:val="center"/>
            </w:pPr>
            <w:r>
              <w:rPr>
                <w:rFonts w:ascii="仿宋_GB2312" w:hAnsi="仿宋_GB2312" w:eastAsia="仿宋_GB2312" w:cs="仿宋_GB2312"/>
                <w:sz w:val="20"/>
              </w:rPr>
              <w:t>序号</w:t>
            </w:r>
          </w:p>
        </w:tc>
        <w:tc>
          <w:tcPr>
            <w:tcW w:w="1175" w:type="pct"/>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2DAF4466">
            <w:pPr>
              <w:pStyle w:val="4"/>
              <w:jc w:val="center"/>
            </w:pPr>
            <w:r>
              <w:rPr>
                <w:rFonts w:ascii="仿宋_GB2312" w:hAnsi="仿宋_GB2312" w:eastAsia="仿宋_GB2312" w:cs="仿宋_GB2312"/>
                <w:sz w:val="20"/>
              </w:rPr>
              <w:t>项   目</w:t>
            </w:r>
          </w:p>
        </w:tc>
        <w:tc>
          <w:tcPr>
            <w:tcW w:w="1421" w:type="pct"/>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4CFECD9A">
            <w:pPr>
              <w:pStyle w:val="4"/>
              <w:jc w:val="center"/>
            </w:pPr>
            <w:r>
              <w:rPr>
                <w:rFonts w:ascii="仿宋_GB2312" w:hAnsi="仿宋_GB2312" w:eastAsia="仿宋_GB2312" w:cs="仿宋_GB2312"/>
                <w:sz w:val="20"/>
              </w:rPr>
              <w:t>检查意义</w:t>
            </w:r>
          </w:p>
        </w:tc>
        <w:tc>
          <w:tcPr>
            <w:tcW w:w="594" w:type="pct"/>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0B8B708B">
            <w:pPr>
              <w:pStyle w:val="4"/>
              <w:jc w:val="center"/>
            </w:pPr>
            <w:r>
              <w:rPr>
                <w:rFonts w:ascii="仿宋_GB2312" w:hAnsi="仿宋_GB2312" w:eastAsia="仿宋_GB2312" w:cs="仿宋_GB2312"/>
                <w:sz w:val="20"/>
              </w:rPr>
              <w:t>男性</w:t>
            </w:r>
          </w:p>
        </w:tc>
        <w:tc>
          <w:tcPr>
            <w:tcW w:w="594" w:type="pct"/>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4BE46B7F">
            <w:pPr>
              <w:pStyle w:val="4"/>
              <w:jc w:val="center"/>
            </w:pPr>
            <w:r>
              <w:rPr>
                <w:rFonts w:ascii="仿宋_GB2312" w:hAnsi="仿宋_GB2312" w:eastAsia="仿宋_GB2312" w:cs="仿宋_GB2312"/>
                <w:sz w:val="20"/>
              </w:rPr>
              <w:t>已婚</w:t>
            </w:r>
          </w:p>
          <w:p w14:paraId="453C768C">
            <w:pPr>
              <w:pStyle w:val="4"/>
              <w:jc w:val="center"/>
            </w:pPr>
            <w:r>
              <w:rPr>
                <w:rFonts w:ascii="仿宋_GB2312" w:hAnsi="仿宋_GB2312" w:eastAsia="仿宋_GB2312" w:cs="仿宋_GB2312"/>
                <w:sz w:val="20"/>
              </w:rPr>
              <w:t>女性</w:t>
            </w:r>
          </w:p>
        </w:tc>
        <w:tc>
          <w:tcPr>
            <w:tcW w:w="594" w:type="pct"/>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037D6E1C">
            <w:pPr>
              <w:pStyle w:val="4"/>
              <w:jc w:val="center"/>
            </w:pPr>
            <w:r>
              <w:rPr>
                <w:rFonts w:ascii="仿宋_GB2312" w:hAnsi="仿宋_GB2312" w:eastAsia="仿宋_GB2312" w:cs="仿宋_GB2312"/>
                <w:color w:val="000000"/>
                <w:sz w:val="20"/>
              </w:rPr>
              <w:t xml:space="preserve">未婚女性  </w:t>
            </w:r>
          </w:p>
        </w:tc>
      </w:tr>
      <w:tr w14:paraId="29A86A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E062DE4">
            <w:pPr>
              <w:pStyle w:val="4"/>
              <w:jc w:val="center"/>
            </w:pPr>
            <w:r>
              <w:rPr>
                <w:rFonts w:ascii="仿宋_GB2312" w:hAnsi="仿宋_GB2312" w:eastAsia="仿宋_GB2312" w:cs="仿宋_GB2312"/>
                <w:sz w:val="20"/>
              </w:rPr>
              <w:t>1</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44616A5B">
            <w:pPr>
              <w:pStyle w:val="4"/>
              <w:jc w:val="left"/>
            </w:pPr>
            <w:r>
              <w:rPr>
                <w:rFonts w:ascii="仿宋_GB2312" w:hAnsi="仿宋_GB2312" w:eastAsia="仿宋_GB2312" w:cs="仿宋_GB2312"/>
                <w:sz w:val="20"/>
              </w:rPr>
              <w:t>内科</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30186646">
            <w:pPr>
              <w:pStyle w:val="4"/>
              <w:jc w:val="left"/>
            </w:pPr>
            <w:r>
              <w:rPr>
                <w:rFonts w:ascii="仿宋_GB2312" w:hAnsi="仿宋_GB2312" w:eastAsia="仿宋_GB2312" w:cs="仿宋_GB2312"/>
                <w:sz w:val="20"/>
              </w:rPr>
              <w:t>对全身一般情况的筛查及评估</w:t>
            </w:r>
          </w:p>
        </w:tc>
        <w:tc>
          <w:tcPr>
            <w:tcW w:w="594" w:type="pct"/>
            <w:vMerge w:val="restart"/>
            <w:tcBorders>
              <w:top w:val="nil"/>
              <w:left w:val="nil"/>
              <w:bottom w:val="nil"/>
              <w:right w:val="single" w:color="000000" w:sz="4" w:space="0"/>
            </w:tcBorders>
            <w:tcMar>
              <w:top w:w="0" w:type="dxa"/>
              <w:left w:w="105" w:type="dxa"/>
              <w:bottom w:w="0" w:type="dxa"/>
              <w:right w:w="105" w:type="dxa"/>
            </w:tcMar>
          </w:tcPr>
          <w:p w14:paraId="54AB95D6">
            <w:pPr>
              <w:pStyle w:val="4"/>
              <w:jc w:val="center"/>
            </w:pPr>
          </w:p>
        </w:tc>
        <w:tc>
          <w:tcPr>
            <w:tcW w:w="594" w:type="pct"/>
            <w:vMerge w:val="restart"/>
            <w:tcBorders>
              <w:top w:val="nil"/>
              <w:left w:val="nil"/>
              <w:bottom w:val="nil"/>
              <w:right w:val="single" w:color="000000" w:sz="4" w:space="0"/>
            </w:tcBorders>
            <w:tcMar>
              <w:top w:w="0" w:type="dxa"/>
              <w:left w:w="105" w:type="dxa"/>
              <w:bottom w:w="0" w:type="dxa"/>
              <w:right w:w="105" w:type="dxa"/>
            </w:tcMar>
          </w:tcPr>
          <w:p w14:paraId="1D1F639F"/>
        </w:tc>
        <w:tc>
          <w:tcPr>
            <w:tcW w:w="594" w:type="pct"/>
            <w:vMerge w:val="restart"/>
            <w:tcBorders>
              <w:top w:val="nil"/>
              <w:left w:val="nil"/>
              <w:bottom w:val="nil"/>
              <w:right w:val="single" w:color="000000" w:sz="4" w:space="0"/>
            </w:tcBorders>
            <w:tcMar>
              <w:top w:w="0" w:type="dxa"/>
              <w:left w:w="105" w:type="dxa"/>
              <w:bottom w:w="0" w:type="dxa"/>
              <w:right w:w="105" w:type="dxa"/>
            </w:tcMar>
          </w:tcPr>
          <w:p w14:paraId="02A563AC"/>
        </w:tc>
      </w:tr>
      <w:tr w14:paraId="1B7865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EE003DD">
            <w:pPr>
              <w:pStyle w:val="4"/>
              <w:jc w:val="center"/>
            </w:pPr>
            <w:r>
              <w:rPr>
                <w:rFonts w:ascii="仿宋_GB2312" w:hAnsi="仿宋_GB2312" w:eastAsia="仿宋_GB2312" w:cs="仿宋_GB2312"/>
                <w:sz w:val="20"/>
              </w:rPr>
              <w:t>2</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2F35A323">
            <w:pPr>
              <w:pStyle w:val="4"/>
              <w:jc w:val="left"/>
            </w:pPr>
            <w:r>
              <w:rPr>
                <w:rFonts w:ascii="仿宋_GB2312" w:hAnsi="仿宋_GB2312" w:eastAsia="仿宋_GB2312" w:cs="仿宋_GB2312"/>
                <w:sz w:val="20"/>
              </w:rPr>
              <w:t>外科</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2F53B687">
            <w:pPr>
              <w:pStyle w:val="4"/>
              <w:jc w:val="left"/>
            </w:pPr>
            <w:r>
              <w:rPr>
                <w:rFonts w:ascii="仿宋_GB2312" w:hAnsi="仿宋_GB2312" w:eastAsia="仿宋_GB2312" w:cs="仿宋_GB2312"/>
                <w:sz w:val="20"/>
              </w:rPr>
              <w:t>重点检查身高、体重、甲状腺、淋巴结、脊柱、四肢、骨关节，并对所查结果提出预防及治疗意见</w:t>
            </w:r>
          </w:p>
        </w:tc>
        <w:tc>
          <w:tcPr>
            <w:tcW w:w="594" w:type="pct"/>
            <w:vMerge w:val="continue"/>
            <w:tcBorders>
              <w:top w:val="nil"/>
              <w:left w:val="nil"/>
              <w:bottom w:val="nil"/>
              <w:right w:val="single" w:color="000000" w:sz="4" w:space="0"/>
            </w:tcBorders>
          </w:tcPr>
          <w:p w14:paraId="35262CB7"/>
        </w:tc>
        <w:tc>
          <w:tcPr>
            <w:tcW w:w="594" w:type="pct"/>
            <w:vMerge w:val="continue"/>
            <w:tcBorders>
              <w:top w:val="nil"/>
              <w:left w:val="nil"/>
              <w:bottom w:val="nil"/>
              <w:right w:val="single" w:color="000000" w:sz="4" w:space="0"/>
            </w:tcBorders>
          </w:tcPr>
          <w:p w14:paraId="64668CE9"/>
        </w:tc>
        <w:tc>
          <w:tcPr>
            <w:tcW w:w="594" w:type="pct"/>
            <w:vMerge w:val="continue"/>
            <w:tcBorders>
              <w:top w:val="nil"/>
              <w:left w:val="nil"/>
              <w:bottom w:val="nil"/>
              <w:right w:val="single" w:color="000000" w:sz="4" w:space="0"/>
            </w:tcBorders>
          </w:tcPr>
          <w:p w14:paraId="7FB55105"/>
        </w:tc>
      </w:tr>
      <w:tr w14:paraId="3DA415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F636E5F">
            <w:pPr>
              <w:pStyle w:val="4"/>
              <w:jc w:val="center"/>
            </w:pPr>
            <w:r>
              <w:rPr>
                <w:rFonts w:ascii="仿宋_GB2312" w:hAnsi="仿宋_GB2312" w:eastAsia="仿宋_GB2312" w:cs="仿宋_GB2312"/>
                <w:sz w:val="20"/>
              </w:rPr>
              <w:t>3</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1C37F5E0">
            <w:pPr>
              <w:pStyle w:val="4"/>
              <w:jc w:val="left"/>
            </w:pPr>
            <w:r>
              <w:rPr>
                <w:rFonts w:ascii="仿宋_GB2312" w:hAnsi="仿宋_GB2312" w:eastAsia="仿宋_GB2312" w:cs="仿宋_GB2312"/>
                <w:sz w:val="20"/>
              </w:rPr>
              <w:t>视力辨色力检查</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0C1E82E7">
            <w:pPr>
              <w:pStyle w:val="4"/>
              <w:jc w:val="left"/>
            </w:pPr>
            <w:r>
              <w:rPr>
                <w:rFonts w:ascii="仿宋_GB2312" w:hAnsi="仿宋_GB2312" w:eastAsia="仿宋_GB2312" w:cs="仿宋_GB2312"/>
                <w:sz w:val="20"/>
              </w:rPr>
              <w:t>检查视力、辨色力</w:t>
            </w:r>
          </w:p>
        </w:tc>
        <w:tc>
          <w:tcPr>
            <w:tcW w:w="594" w:type="pct"/>
            <w:vMerge w:val="continue"/>
            <w:tcBorders>
              <w:top w:val="nil"/>
              <w:left w:val="nil"/>
              <w:bottom w:val="nil"/>
              <w:right w:val="single" w:color="000000" w:sz="4" w:space="0"/>
            </w:tcBorders>
          </w:tcPr>
          <w:p w14:paraId="21399056"/>
        </w:tc>
        <w:tc>
          <w:tcPr>
            <w:tcW w:w="594" w:type="pct"/>
            <w:vMerge w:val="continue"/>
            <w:tcBorders>
              <w:top w:val="nil"/>
              <w:left w:val="nil"/>
              <w:bottom w:val="nil"/>
              <w:right w:val="single" w:color="000000" w:sz="4" w:space="0"/>
            </w:tcBorders>
          </w:tcPr>
          <w:p w14:paraId="0ED6FCE3"/>
        </w:tc>
        <w:tc>
          <w:tcPr>
            <w:tcW w:w="594" w:type="pct"/>
            <w:vMerge w:val="continue"/>
            <w:tcBorders>
              <w:top w:val="nil"/>
              <w:left w:val="nil"/>
              <w:bottom w:val="nil"/>
              <w:right w:val="single" w:color="000000" w:sz="4" w:space="0"/>
            </w:tcBorders>
          </w:tcPr>
          <w:p w14:paraId="527834C5"/>
        </w:tc>
      </w:tr>
      <w:tr w14:paraId="7F170C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F6E7C46">
            <w:pPr>
              <w:pStyle w:val="4"/>
              <w:jc w:val="center"/>
            </w:pPr>
            <w:r>
              <w:rPr>
                <w:rFonts w:ascii="仿宋_GB2312" w:hAnsi="仿宋_GB2312" w:eastAsia="仿宋_GB2312" w:cs="仿宋_GB2312"/>
                <w:sz w:val="20"/>
              </w:rPr>
              <w:t>4</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3FED5096">
            <w:pPr>
              <w:pStyle w:val="4"/>
              <w:jc w:val="left"/>
            </w:pPr>
            <w:r>
              <w:rPr>
                <w:rFonts w:ascii="仿宋_GB2312" w:hAnsi="仿宋_GB2312" w:eastAsia="仿宋_GB2312" w:cs="仿宋_GB2312"/>
                <w:sz w:val="20"/>
              </w:rPr>
              <w:t>耳鼻喉科</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3B8C9CBC">
            <w:pPr>
              <w:pStyle w:val="4"/>
              <w:jc w:val="left"/>
            </w:pPr>
            <w:r>
              <w:rPr>
                <w:rFonts w:ascii="仿宋_GB2312" w:hAnsi="仿宋_GB2312" w:eastAsia="仿宋_GB2312" w:cs="仿宋_GB2312"/>
                <w:sz w:val="20"/>
              </w:rPr>
              <w:t>筛查中耳炎、鼻炎、咽炎、鼻咽部息肉等多种疾病</w:t>
            </w:r>
          </w:p>
        </w:tc>
        <w:tc>
          <w:tcPr>
            <w:tcW w:w="594" w:type="pct"/>
            <w:vMerge w:val="continue"/>
            <w:tcBorders>
              <w:top w:val="nil"/>
              <w:left w:val="nil"/>
              <w:bottom w:val="nil"/>
              <w:right w:val="single" w:color="000000" w:sz="4" w:space="0"/>
            </w:tcBorders>
          </w:tcPr>
          <w:p w14:paraId="4D1FD008"/>
        </w:tc>
        <w:tc>
          <w:tcPr>
            <w:tcW w:w="594" w:type="pct"/>
            <w:vMerge w:val="continue"/>
            <w:tcBorders>
              <w:top w:val="nil"/>
              <w:left w:val="nil"/>
              <w:bottom w:val="nil"/>
              <w:right w:val="single" w:color="000000" w:sz="4" w:space="0"/>
            </w:tcBorders>
          </w:tcPr>
          <w:p w14:paraId="6856BDE0"/>
        </w:tc>
        <w:tc>
          <w:tcPr>
            <w:tcW w:w="594" w:type="pct"/>
            <w:vMerge w:val="continue"/>
            <w:tcBorders>
              <w:top w:val="nil"/>
              <w:left w:val="nil"/>
              <w:bottom w:val="nil"/>
              <w:right w:val="single" w:color="000000" w:sz="4" w:space="0"/>
            </w:tcBorders>
          </w:tcPr>
          <w:p w14:paraId="104501C0"/>
        </w:tc>
      </w:tr>
      <w:tr w14:paraId="12CEC9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AEAF4D3">
            <w:pPr>
              <w:pStyle w:val="4"/>
              <w:jc w:val="center"/>
            </w:pPr>
            <w:r>
              <w:rPr>
                <w:rFonts w:ascii="仿宋_GB2312" w:hAnsi="仿宋_GB2312" w:eastAsia="仿宋_GB2312" w:cs="仿宋_GB2312"/>
                <w:sz w:val="20"/>
              </w:rPr>
              <w:t>5</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13E19BA4">
            <w:pPr>
              <w:pStyle w:val="4"/>
              <w:jc w:val="left"/>
            </w:pPr>
            <w:r>
              <w:rPr>
                <w:rFonts w:ascii="仿宋_GB2312" w:hAnsi="仿宋_GB2312" w:eastAsia="仿宋_GB2312" w:cs="仿宋_GB2312"/>
                <w:sz w:val="20"/>
              </w:rPr>
              <w:t>口腔科</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40A690EC">
            <w:pPr>
              <w:pStyle w:val="4"/>
              <w:jc w:val="left"/>
            </w:pPr>
            <w:r>
              <w:rPr>
                <w:rFonts w:ascii="仿宋_GB2312" w:hAnsi="仿宋_GB2312" w:eastAsia="仿宋_GB2312" w:cs="仿宋_GB2312"/>
                <w:sz w:val="20"/>
              </w:rPr>
              <w:t>检查口腔常见疾病</w:t>
            </w:r>
          </w:p>
        </w:tc>
        <w:tc>
          <w:tcPr>
            <w:tcW w:w="594" w:type="pct"/>
            <w:vMerge w:val="continue"/>
            <w:tcBorders>
              <w:top w:val="nil"/>
              <w:left w:val="nil"/>
              <w:bottom w:val="nil"/>
              <w:right w:val="single" w:color="000000" w:sz="4" w:space="0"/>
            </w:tcBorders>
          </w:tcPr>
          <w:p w14:paraId="5E0D19B7"/>
        </w:tc>
        <w:tc>
          <w:tcPr>
            <w:tcW w:w="594" w:type="pct"/>
            <w:vMerge w:val="continue"/>
            <w:tcBorders>
              <w:top w:val="nil"/>
              <w:left w:val="nil"/>
              <w:bottom w:val="nil"/>
              <w:right w:val="single" w:color="000000" w:sz="4" w:space="0"/>
            </w:tcBorders>
          </w:tcPr>
          <w:p w14:paraId="0E93DBA8"/>
        </w:tc>
        <w:tc>
          <w:tcPr>
            <w:tcW w:w="594" w:type="pct"/>
            <w:vMerge w:val="continue"/>
            <w:tcBorders>
              <w:top w:val="nil"/>
              <w:left w:val="nil"/>
              <w:bottom w:val="nil"/>
              <w:right w:val="single" w:color="000000" w:sz="4" w:space="0"/>
            </w:tcBorders>
          </w:tcPr>
          <w:p w14:paraId="7D7AD62A"/>
        </w:tc>
      </w:tr>
      <w:tr w14:paraId="2CBEA1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6070ACE7">
            <w:pPr>
              <w:pStyle w:val="4"/>
              <w:jc w:val="center"/>
            </w:pPr>
            <w:r>
              <w:rPr>
                <w:rFonts w:ascii="仿宋_GB2312" w:hAnsi="仿宋_GB2312" w:eastAsia="仿宋_GB2312" w:cs="仿宋_GB2312"/>
                <w:sz w:val="20"/>
              </w:rPr>
              <w:t>6</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223685C7">
            <w:pPr>
              <w:pStyle w:val="4"/>
              <w:jc w:val="left"/>
            </w:pPr>
            <w:r>
              <w:rPr>
                <w:rFonts w:ascii="仿宋_GB2312" w:hAnsi="仿宋_GB2312" w:eastAsia="仿宋_GB2312" w:cs="仿宋_GB2312"/>
                <w:sz w:val="20"/>
              </w:rPr>
              <w:t>心电图</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50FDB829">
            <w:pPr>
              <w:pStyle w:val="4"/>
              <w:jc w:val="left"/>
            </w:pPr>
            <w:r>
              <w:rPr>
                <w:rFonts w:ascii="仿宋_GB2312" w:hAnsi="仿宋_GB2312" w:eastAsia="仿宋_GB2312" w:cs="仿宋_GB2312"/>
                <w:sz w:val="20"/>
              </w:rPr>
              <w:t>了解心脏的一般状态，并对心肌缺血、心律失常、房室传导阻滞、心肌梗死等进行筛查</w:t>
            </w:r>
          </w:p>
        </w:tc>
        <w:tc>
          <w:tcPr>
            <w:tcW w:w="594" w:type="pct"/>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61C4EF4C">
            <w:pPr>
              <w:pStyle w:val="4"/>
              <w:jc w:val="center"/>
            </w:pPr>
          </w:p>
        </w:tc>
        <w:tc>
          <w:tcPr>
            <w:tcW w:w="594" w:type="pct"/>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5C1E236D"/>
        </w:tc>
        <w:tc>
          <w:tcPr>
            <w:tcW w:w="594" w:type="pct"/>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038C7BEE"/>
        </w:tc>
      </w:tr>
      <w:tr w14:paraId="7E0770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153B527">
            <w:pPr>
              <w:pStyle w:val="4"/>
              <w:jc w:val="center"/>
            </w:pPr>
            <w:r>
              <w:rPr>
                <w:rFonts w:ascii="仿宋_GB2312" w:hAnsi="仿宋_GB2312" w:eastAsia="仿宋_GB2312" w:cs="仿宋_GB2312"/>
                <w:sz w:val="20"/>
              </w:rPr>
              <w:t>7</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10C23543">
            <w:pPr>
              <w:pStyle w:val="4"/>
              <w:jc w:val="left"/>
            </w:pPr>
            <w:r>
              <w:rPr>
                <w:rFonts w:ascii="仿宋_GB2312" w:hAnsi="仿宋_GB2312" w:eastAsia="仿宋_GB2312" w:cs="仿宋_GB2312"/>
                <w:sz w:val="20"/>
              </w:rPr>
              <w:t>血常规</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161CFCF4">
            <w:pPr>
              <w:pStyle w:val="4"/>
              <w:jc w:val="left"/>
            </w:pPr>
            <w:r>
              <w:rPr>
                <w:rFonts w:ascii="仿宋_GB2312" w:hAnsi="仿宋_GB2312" w:eastAsia="仿宋_GB2312" w:cs="仿宋_GB2312"/>
                <w:sz w:val="20"/>
              </w:rPr>
              <w:t>贫血、白细胞减少以及白细胞异常增生、血小板异常等疾病的判断指标</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6FB9CFBE">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1B587F02"/>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6D11EE5C"/>
        </w:tc>
      </w:tr>
      <w:tr w14:paraId="2874B2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BA0F694">
            <w:pPr>
              <w:pStyle w:val="4"/>
              <w:jc w:val="center"/>
            </w:pPr>
            <w:r>
              <w:rPr>
                <w:rFonts w:ascii="仿宋_GB2312" w:hAnsi="仿宋_GB2312" w:eastAsia="仿宋_GB2312" w:cs="仿宋_GB2312"/>
                <w:sz w:val="20"/>
              </w:rPr>
              <w:t>8</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1DE03C2A">
            <w:pPr>
              <w:pStyle w:val="4"/>
              <w:jc w:val="left"/>
            </w:pPr>
            <w:r>
              <w:rPr>
                <w:rFonts w:ascii="仿宋_GB2312" w:hAnsi="仿宋_GB2312" w:eastAsia="仿宋_GB2312" w:cs="仿宋_GB2312"/>
                <w:sz w:val="20"/>
              </w:rPr>
              <w:t>尿常规</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0853707F">
            <w:pPr>
              <w:pStyle w:val="4"/>
              <w:jc w:val="left"/>
            </w:pPr>
            <w:r>
              <w:rPr>
                <w:rFonts w:ascii="仿宋_GB2312" w:hAnsi="仿宋_GB2312" w:eastAsia="仿宋_GB2312" w:cs="仿宋_GB2312"/>
                <w:sz w:val="20"/>
              </w:rPr>
              <w:t>检查尿路有无感染，对肾脏疾病的初步筛查</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3A7F2574">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7198F850"/>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425B008B"/>
        </w:tc>
      </w:tr>
      <w:tr w14:paraId="26F702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5CA955F4">
            <w:pPr>
              <w:pStyle w:val="4"/>
              <w:jc w:val="center"/>
            </w:pPr>
            <w:r>
              <w:rPr>
                <w:rFonts w:ascii="仿宋_GB2312" w:hAnsi="仿宋_GB2312" w:eastAsia="仿宋_GB2312" w:cs="仿宋_GB2312"/>
                <w:sz w:val="20"/>
              </w:rPr>
              <w:t>9</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78C7C484">
            <w:pPr>
              <w:pStyle w:val="4"/>
              <w:jc w:val="left"/>
            </w:pPr>
            <w:r>
              <w:rPr>
                <w:rFonts w:ascii="仿宋_GB2312" w:hAnsi="仿宋_GB2312" w:eastAsia="仿宋_GB2312" w:cs="仿宋_GB2312"/>
                <w:sz w:val="20"/>
              </w:rPr>
              <w:t>血脂四项</w:t>
            </w:r>
          </w:p>
        </w:tc>
        <w:tc>
          <w:tcPr>
            <w:tcW w:w="1421" w:type="pct"/>
            <w:tcBorders>
              <w:top w:val="nil"/>
              <w:left w:val="nil"/>
              <w:bottom w:val="nil"/>
              <w:right w:val="single" w:color="000000" w:sz="4" w:space="0"/>
            </w:tcBorders>
            <w:tcMar>
              <w:top w:w="0" w:type="dxa"/>
              <w:left w:w="105" w:type="dxa"/>
              <w:bottom w:w="0" w:type="dxa"/>
              <w:right w:w="105" w:type="dxa"/>
            </w:tcMar>
          </w:tcPr>
          <w:p w14:paraId="1BF7ED17">
            <w:pPr>
              <w:pStyle w:val="4"/>
              <w:jc w:val="left"/>
            </w:pPr>
            <w:r>
              <w:rPr>
                <w:rFonts w:ascii="仿宋_GB2312" w:hAnsi="仿宋_GB2312" w:eastAsia="仿宋_GB2312" w:cs="仿宋_GB2312"/>
                <w:sz w:val="20"/>
              </w:rPr>
              <w:t>检查脂肪代谢性疾病</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53E2EA2E">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77FAD409"/>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7E53A189"/>
        </w:tc>
      </w:tr>
      <w:tr w14:paraId="6E1173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CA18FAC">
            <w:pPr>
              <w:pStyle w:val="4"/>
              <w:jc w:val="center"/>
            </w:pPr>
            <w:r>
              <w:rPr>
                <w:rFonts w:ascii="仿宋_GB2312" w:hAnsi="仿宋_GB2312" w:eastAsia="仿宋_GB2312" w:cs="仿宋_GB2312"/>
                <w:sz w:val="20"/>
              </w:rPr>
              <w:t>10</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1D41E723">
            <w:pPr>
              <w:pStyle w:val="4"/>
              <w:jc w:val="left"/>
            </w:pPr>
            <w:r>
              <w:rPr>
                <w:rFonts w:ascii="仿宋_GB2312" w:hAnsi="仿宋_GB2312" w:eastAsia="仿宋_GB2312" w:cs="仿宋_GB2312"/>
                <w:sz w:val="20"/>
              </w:rPr>
              <w:t>肝功七项</w:t>
            </w:r>
          </w:p>
        </w:tc>
        <w:tc>
          <w:tcPr>
            <w:tcW w:w="1421" w:type="pct"/>
            <w:tcBorders>
              <w:top w:val="single" w:color="000000" w:sz="4" w:space="0"/>
              <w:left w:val="nil"/>
              <w:bottom w:val="nil"/>
              <w:right w:val="single" w:color="000000" w:sz="4" w:space="0"/>
            </w:tcBorders>
            <w:tcMar>
              <w:top w:w="0" w:type="dxa"/>
              <w:left w:w="105" w:type="dxa"/>
              <w:bottom w:w="0" w:type="dxa"/>
              <w:right w:w="105" w:type="dxa"/>
            </w:tcMar>
          </w:tcPr>
          <w:p w14:paraId="19EDF433">
            <w:pPr>
              <w:pStyle w:val="4"/>
              <w:jc w:val="left"/>
            </w:pPr>
            <w:r>
              <w:rPr>
                <w:rFonts w:ascii="仿宋_GB2312" w:hAnsi="仿宋_GB2312" w:eastAsia="仿宋_GB2312" w:cs="仿宋_GB2312"/>
                <w:sz w:val="20"/>
              </w:rPr>
              <w:t>对肝功能的初步评估以及对慢性疾病用药副作用的初步判定</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49D63F8E">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6FBDE750"/>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5730D65E"/>
        </w:tc>
      </w:tr>
      <w:tr w14:paraId="6B125F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378F3646">
            <w:pPr>
              <w:pStyle w:val="4"/>
              <w:jc w:val="center"/>
            </w:pPr>
            <w:r>
              <w:rPr>
                <w:rFonts w:ascii="仿宋_GB2312" w:hAnsi="仿宋_GB2312" w:eastAsia="仿宋_GB2312" w:cs="仿宋_GB2312"/>
                <w:sz w:val="20"/>
              </w:rPr>
              <w:t>11</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3ABC8327">
            <w:pPr>
              <w:pStyle w:val="4"/>
              <w:jc w:val="left"/>
            </w:pPr>
            <w:r>
              <w:rPr>
                <w:rFonts w:ascii="仿宋_GB2312" w:hAnsi="仿宋_GB2312" w:eastAsia="仿宋_GB2312" w:cs="仿宋_GB2312"/>
                <w:sz w:val="20"/>
              </w:rPr>
              <w:t>肾功四项</w:t>
            </w:r>
          </w:p>
        </w:tc>
        <w:tc>
          <w:tcPr>
            <w:tcW w:w="1421" w:type="pct"/>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7242ED3D">
            <w:pPr>
              <w:pStyle w:val="4"/>
              <w:jc w:val="left"/>
            </w:pPr>
            <w:r>
              <w:rPr>
                <w:rFonts w:ascii="仿宋_GB2312" w:hAnsi="仿宋_GB2312" w:eastAsia="仿宋_GB2312" w:cs="仿宋_GB2312"/>
                <w:sz w:val="20"/>
              </w:rPr>
              <w:t>评估肾脏的一般状况</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6FBEC8D3">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048F24A0"/>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1B2445E2"/>
        </w:tc>
      </w:tr>
      <w:tr w14:paraId="4935A4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1F76027">
            <w:pPr>
              <w:pStyle w:val="4"/>
              <w:jc w:val="center"/>
            </w:pPr>
            <w:r>
              <w:rPr>
                <w:rFonts w:ascii="仿宋_GB2312" w:hAnsi="仿宋_GB2312" w:eastAsia="仿宋_GB2312" w:cs="仿宋_GB2312"/>
                <w:sz w:val="20"/>
              </w:rPr>
              <w:t>12</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72413F8D">
            <w:pPr>
              <w:pStyle w:val="4"/>
              <w:jc w:val="left"/>
            </w:pPr>
            <w:r>
              <w:rPr>
                <w:rFonts w:ascii="仿宋_GB2312" w:hAnsi="仿宋_GB2312" w:eastAsia="仿宋_GB2312" w:cs="仿宋_GB2312"/>
                <w:sz w:val="20"/>
              </w:rPr>
              <w:t>空腹血糖</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0AAA1E01">
            <w:pPr>
              <w:pStyle w:val="4"/>
              <w:jc w:val="left"/>
            </w:pPr>
            <w:r>
              <w:rPr>
                <w:rFonts w:ascii="仿宋_GB2312" w:hAnsi="仿宋_GB2312" w:eastAsia="仿宋_GB2312" w:cs="仿宋_GB2312"/>
                <w:sz w:val="20"/>
              </w:rPr>
              <w:t>对糖尿病的初步筛查以及对糖尿病治疗的初步指导及监测</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09E5FA15">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0167385A"/>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469AF557"/>
        </w:tc>
      </w:tr>
      <w:tr w14:paraId="718FD3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35C4BE3C">
            <w:pPr>
              <w:pStyle w:val="4"/>
              <w:jc w:val="center"/>
            </w:pPr>
            <w:r>
              <w:rPr>
                <w:rFonts w:ascii="仿宋_GB2312" w:hAnsi="仿宋_GB2312" w:eastAsia="仿宋_GB2312" w:cs="仿宋_GB2312"/>
                <w:sz w:val="20"/>
              </w:rPr>
              <w:t>13</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5A284623">
            <w:pPr>
              <w:pStyle w:val="4"/>
              <w:jc w:val="left"/>
            </w:pPr>
            <w:r>
              <w:rPr>
                <w:rFonts w:ascii="仿宋_GB2312" w:hAnsi="仿宋_GB2312" w:eastAsia="仿宋_GB2312" w:cs="仿宋_GB2312"/>
                <w:sz w:val="20"/>
              </w:rPr>
              <w:t>乙肝五项（定性）</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18C56F9B">
            <w:pPr>
              <w:pStyle w:val="4"/>
              <w:jc w:val="left"/>
            </w:pPr>
            <w:r>
              <w:rPr>
                <w:rFonts w:ascii="仿宋_GB2312" w:hAnsi="仿宋_GB2312" w:eastAsia="仿宋_GB2312" w:cs="仿宋_GB2312"/>
                <w:sz w:val="21"/>
              </w:rPr>
              <w:t>　</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74FE9DB6">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7CCC9D48"/>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53111650"/>
        </w:tc>
      </w:tr>
      <w:tr w14:paraId="597FDD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506DD3CB">
            <w:pPr>
              <w:pStyle w:val="4"/>
              <w:jc w:val="center"/>
            </w:pPr>
            <w:r>
              <w:rPr>
                <w:rFonts w:ascii="仿宋_GB2312" w:hAnsi="仿宋_GB2312" w:eastAsia="仿宋_GB2312" w:cs="仿宋_GB2312"/>
                <w:sz w:val="20"/>
              </w:rPr>
              <w:t>14</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69A56779">
            <w:pPr>
              <w:pStyle w:val="4"/>
              <w:jc w:val="left"/>
            </w:pPr>
            <w:r>
              <w:rPr>
                <w:rFonts w:ascii="仿宋_GB2312" w:hAnsi="仿宋_GB2312" w:eastAsia="仿宋_GB2312" w:cs="仿宋_GB2312"/>
                <w:sz w:val="20"/>
              </w:rPr>
              <w:t>C13呼气试验</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61C2A31A">
            <w:pPr>
              <w:pStyle w:val="4"/>
              <w:jc w:val="left"/>
            </w:pPr>
            <w:r>
              <w:rPr>
                <w:rFonts w:ascii="仿宋_GB2312" w:hAnsi="仿宋_GB2312" w:eastAsia="仿宋_GB2312" w:cs="仿宋_GB2312"/>
                <w:sz w:val="20"/>
              </w:rPr>
              <w:t>筛查有无HP的感染情况，协助筛查消化道疾病</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575FB344">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509853A1">
            <w:pPr>
              <w:pStyle w:val="4"/>
              <w:jc w:val="center"/>
            </w:pPr>
            <w:r>
              <w:rPr>
                <w:rFonts w:ascii="仿宋_GB2312" w:hAnsi="仿宋_GB2312" w:eastAsia="仿宋_GB2312" w:cs="仿宋_GB2312"/>
                <w:sz w:val="20"/>
              </w:rPr>
              <w:t>/</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41C2A1BE">
            <w:pPr>
              <w:pStyle w:val="4"/>
              <w:jc w:val="center"/>
            </w:pPr>
          </w:p>
        </w:tc>
      </w:tr>
      <w:tr w14:paraId="4EF50B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4BC0737">
            <w:pPr>
              <w:pStyle w:val="4"/>
              <w:jc w:val="center"/>
            </w:pPr>
            <w:r>
              <w:rPr>
                <w:rFonts w:ascii="仿宋_GB2312" w:hAnsi="仿宋_GB2312" w:eastAsia="仿宋_GB2312" w:cs="仿宋_GB2312"/>
                <w:sz w:val="20"/>
              </w:rPr>
              <w:t>15</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0E6ECEA4">
            <w:pPr>
              <w:pStyle w:val="4"/>
              <w:jc w:val="left"/>
            </w:pPr>
            <w:r>
              <w:rPr>
                <w:rFonts w:ascii="仿宋_GB2312" w:hAnsi="仿宋_GB2312" w:eastAsia="仿宋_GB2312" w:cs="仿宋_GB2312"/>
                <w:sz w:val="20"/>
              </w:rPr>
              <w:t>CA-199</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612BD145">
            <w:pPr>
              <w:pStyle w:val="4"/>
              <w:jc w:val="left"/>
            </w:pPr>
            <w:r>
              <w:rPr>
                <w:rFonts w:ascii="仿宋_GB2312" w:hAnsi="仿宋_GB2312" w:eastAsia="仿宋_GB2312" w:cs="仿宋_GB2312"/>
                <w:sz w:val="20"/>
              </w:rPr>
              <w:t>筛查胰腺癌、胆道肿瘤、胃肠癌</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26CF8DF5">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1A7D7CA8">
            <w:pPr>
              <w:pStyle w:val="4"/>
              <w:jc w:val="center"/>
            </w:pPr>
            <w:r>
              <w:rPr>
                <w:rFonts w:ascii="仿宋_GB2312" w:hAnsi="仿宋_GB2312" w:eastAsia="仿宋_GB2312" w:cs="仿宋_GB2312"/>
                <w:sz w:val="20"/>
              </w:rPr>
              <w:t>/</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51C113EB">
            <w:pPr>
              <w:pStyle w:val="4"/>
              <w:jc w:val="center"/>
            </w:pPr>
            <w:r>
              <w:rPr>
                <w:rFonts w:ascii="仿宋_GB2312" w:hAnsi="仿宋_GB2312" w:eastAsia="仿宋_GB2312" w:cs="仿宋_GB2312"/>
                <w:sz w:val="20"/>
              </w:rPr>
              <w:t>/</w:t>
            </w:r>
          </w:p>
        </w:tc>
      </w:tr>
      <w:tr w14:paraId="4B347F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6CD45BC">
            <w:pPr>
              <w:pStyle w:val="4"/>
              <w:jc w:val="center"/>
            </w:pPr>
            <w:r>
              <w:rPr>
                <w:rFonts w:ascii="仿宋_GB2312" w:hAnsi="仿宋_GB2312" w:eastAsia="仿宋_GB2312" w:cs="仿宋_GB2312"/>
                <w:sz w:val="20"/>
              </w:rPr>
              <w:t>16</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53AA02F5">
            <w:pPr>
              <w:pStyle w:val="4"/>
              <w:jc w:val="left"/>
            </w:pPr>
            <w:r>
              <w:rPr>
                <w:rFonts w:ascii="仿宋_GB2312" w:hAnsi="仿宋_GB2312" w:eastAsia="仿宋_GB2312" w:cs="仿宋_GB2312"/>
                <w:sz w:val="20"/>
              </w:rPr>
              <w:t>胸部CT（有问题出片子）</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2D5C9431">
            <w:pPr>
              <w:pStyle w:val="4"/>
              <w:jc w:val="left"/>
            </w:pPr>
            <w:r>
              <w:rPr>
                <w:rFonts w:ascii="仿宋_GB2312" w:hAnsi="仿宋_GB2312" w:eastAsia="仿宋_GB2312" w:cs="仿宋_GB2312"/>
                <w:sz w:val="20"/>
              </w:rPr>
              <w:t>了解胸部有无肿块、结节、出血、炎症、肿瘤等情况</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764C5C69">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0142ED6B"/>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4E3FC553"/>
        </w:tc>
      </w:tr>
      <w:tr w14:paraId="6D4F5C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3700259A">
            <w:pPr>
              <w:pStyle w:val="4"/>
              <w:jc w:val="center"/>
            </w:pPr>
            <w:r>
              <w:rPr>
                <w:rFonts w:ascii="仿宋_GB2312" w:hAnsi="仿宋_GB2312" w:eastAsia="仿宋_GB2312" w:cs="仿宋_GB2312"/>
                <w:sz w:val="20"/>
              </w:rPr>
              <w:t>17</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1FF16B22">
            <w:pPr>
              <w:pStyle w:val="4"/>
              <w:jc w:val="left"/>
            </w:pPr>
            <w:r>
              <w:rPr>
                <w:rFonts w:ascii="仿宋_GB2312" w:hAnsi="仿宋_GB2312" w:eastAsia="仿宋_GB2312" w:cs="仿宋_GB2312"/>
                <w:sz w:val="20"/>
              </w:rPr>
              <w:t>颈椎正侧位片</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3C642BFE">
            <w:pPr>
              <w:pStyle w:val="4"/>
              <w:jc w:val="left"/>
            </w:pPr>
            <w:r>
              <w:rPr>
                <w:rFonts w:ascii="仿宋_GB2312" w:hAnsi="仿宋_GB2312" w:eastAsia="仿宋_GB2312" w:cs="仿宋_GB2312"/>
                <w:sz w:val="20"/>
              </w:rPr>
              <w:t>了解颈椎是否有骨质增生、退行性病变</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36EE14BE">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0305C1AD"/>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20C382CF"/>
        </w:tc>
      </w:tr>
      <w:tr w14:paraId="6087AD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36846C4">
            <w:pPr>
              <w:pStyle w:val="4"/>
              <w:jc w:val="center"/>
            </w:pPr>
            <w:r>
              <w:rPr>
                <w:rFonts w:ascii="仿宋_GB2312" w:hAnsi="仿宋_GB2312" w:eastAsia="仿宋_GB2312" w:cs="仿宋_GB2312"/>
                <w:sz w:val="20"/>
              </w:rPr>
              <w:t>18</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159CE70D">
            <w:pPr>
              <w:pStyle w:val="4"/>
              <w:jc w:val="left"/>
            </w:pPr>
            <w:r>
              <w:rPr>
                <w:rFonts w:ascii="仿宋_GB2312" w:hAnsi="仿宋_GB2312" w:eastAsia="仿宋_GB2312" w:cs="仿宋_GB2312"/>
                <w:sz w:val="20"/>
              </w:rPr>
              <w:t>腰椎正侧位片</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6B69A82B">
            <w:pPr>
              <w:pStyle w:val="4"/>
              <w:jc w:val="left"/>
            </w:pPr>
            <w:r>
              <w:rPr>
                <w:rFonts w:ascii="仿宋_GB2312" w:hAnsi="仿宋_GB2312" w:eastAsia="仿宋_GB2312" w:cs="仿宋_GB2312"/>
                <w:sz w:val="20"/>
              </w:rPr>
              <w:t>了解腰椎是否有骨质增生、退行性病变</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3E60F542">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7F532E7A"/>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0F36B672"/>
        </w:tc>
      </w:tr>
      <w:tr w14:paraId="4D1351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943FEE0">
            <w:pPr>
              <w:pStyle w:val="4"/>
              <w:jc w:val="center"/>
            </w:pPr>
            <w:r>
              <w:rPr>
                <w:rFonts w:ascii="仿宋_GB2312" w:hAnsi="仿宋_GB2312" w:eastAsia="仿宋_GB2312" w:cs="仿宋_GB2312"/>
                <w:sz w:val="20"/>
              </w:rPr>
              <w:t>19</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210CE8FA">
            <w:pPr>
              <w:pStyle w:val="4"/>
              <w:jc w:val="left"/>
            </w:pPr>
            <w:r>
              <w:rPr>
                <w:rFonts w:ascii="仿宋_GB2312" w:hAnsi="仿宋_GB2312" w:eastAsia="仿宋_GB2312" w:cs="仿宋_GB2312"/>
                <w:sz w:val="20"/>
              </w:rPr>
              <w:t>上腹部B超（肝、胆、胰、脾）</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1976F1F0">
            <w:pPr>
              <w:pStyle w:val="4"/>
              <w:jc w:val="left"/>
            </w:pPr>
            <w:r>
              <w:rPr>
                <w:rFonts w:ascii="仿宋_GB2312" w:hAnsi="仿宋_GB2312" w:eastAsia="仿宋_GB2312" w:cs="仿宋_GB2312"/>
                <w:sz w:val="20"/>
              </w:rPr>
              <w:t>了解肝、胆、胰、脾重要脏器的一般情况，及早发现腹部器官的异常征象</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0A3DB4B7">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72305DC2"/>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4D9F47A9"/>
        </w:tc>
      </w:tr>
      <w:tr w14:paraId="3D16CF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19DC3C1">
            <w:pPr>
              <w:pStyle w:val="4"/>
              <w:jc w:val="center"/>
            </w:pPr>
            <w:r>
              <w:rPr>
                <w:rFonts w:ascii="仿宋_GB2312" w:hAnsi="仿宋_GB2312" w:eastAsia="仿宋_GB2312" w:cs="仿宋_GB2312"/>
                <w:sz w:val="20"/>
              </w:rPr>
              <w:t>20</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5F7028BA">
            <w:pPr>
              <w:pStyle w:val="4"/>
              <w:jc w:val="left"/>
            </w:pPr>
            <w:r>
              <w:rPr>
                <w:rFonts w:ascii="仿宋_GB2312" w:hAnsi="仿宋_GB2312" w:eastAsia="仿宋_GB2312" w:cs="仿宋_GB2312"/>
                <w:sz w:val="20"/>
              </w:rPr>
              <w:t>男性泌尿系B超（前列腺、输尿管、膀胱、双肾）</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5C9672B7">
            <w:pPr>
              <w:pStyle w:val="4"/>
              <w:jc w:val="left"/>
            </w:pPr>
            <w:r>
              <w:rPr>
                <w:rFonts w:ascii="仿宋_GB2312" w:hAnsi="仿宋_GB2312" w:eastAsia="仿宋_GB2312" w:cs="仿宋_GB2312"/>
                <w:sz w:val="20"/>
              </w:rPr>
              <w:t>检查前列腺、输尿管、膀胱、双肾是否有增生、结石以及异常的影像学改变</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3D210A40">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67D5D751">
            <w:pPr>
              <w:pStyle w:val="4"/>
              <w:jc w:val="center"/>
            </w:pPr>
            <w:r>
              <w:rPr>
                <w:rFonts w:ascii="仿宋_GB2312" w:hAnsi="仿宋_GB2312" w:eastAsia="仿宋_GB2312" w:cs="仿宋_GB2312"/>
                <w:sz w:val="20"/>
              </w:rPr>
              <w:t>/</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3D037DFA">
            <w:pPr>
              <w:pStyle w:val="4"/>
              <w:jc w:val="center"/>
            </w:pPr>
            <w:r>
              <w:rPr>
                <w:rFonts w:ascii="仿宋_GB2312" w:hAnsi="仿宋_GB2312" w:eastAsia="仿宋_GB2312" w:cs="仿宋_GB2312"/>
                <w:sz w:val="20"/>
              </w:rPr>
              <w:t>/</w:t>
            </w:r>
          </w:p>
        </w:tc>
      </w:tr>
      <w:tr w14:paraId="41A8F7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9D0C200">
            <w:pPr>
              <w:pStyle w:val="4"/>
              <w:jc w:val="center"/>
            </w:pPr>
            <w:r>
              <w:rPr>
                <w:rFonts w:ascii="仿宋_GB2312" w:hAnsi="仿宋_GB2312" w:eastAsia="仿宋_GB2312" w:cs="仿宋_GB2312"/>
                <w:sz w:val="20"/>
              </w:rPr>
              <w:t>21</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4D0517C8">
            <w:pPr>
              <w:pStyle w:val="4"/>
              <w:jc w:val="left"/>
            </w:pPr>
            <w:r>
              <w:rPr>
                <w:rFonts w:ascii="仿宋_GB2312" w:hAnsi="仿宋_GB2312" w:eastAsia="仿宋_GB2312" w:cs="仿宋_GB2312"/>
                <w:color w:val="000000"/>
                <w:sz w:val="20"/>
              </w:rPr>
              <w:t>甲状腺B超</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0C9EB766">
            <w:pPr>
              <w:pStyle w:val="4"/>
              <w:jc w:val="left"/>
            </w:pPr>
            <w:r>
              <w:rPr>
                <w:rFonts w:ascii="仿宋_GB2312" w:hAnsi="仿宋_GB2312" w:eastAsia="仿宋_GB2312" w:cs="仿宋_GB2312"/>
                <w:sz w:val="20"/>
              </w:rPr>
              <w:t>了解甲状腺有无结节、增生以及甲状腺血流状况</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2C314B8A">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4575071F"/>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7C2A62C7"/>
        </w:tc>
      </w:tr>
      <w:tr w14:paraId="1158A6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61B85471">
            <w:pPr>
              <w:pStyle w:val="4"/>
              <w:jc w:val="center"/>
            </w:pPr>
            <w:r>
              <w:rPr>
                <w:rFonts w:ascii="仿宋_GB2312" w:hAnsi="仿宋_GB2312" w:eastAsia="仿宋_GB2312" w:cs="仿宋_GB2312"/>
                <w:sz w:val="20"/>
              </w:rPr>
              <w:t>22</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660C08A5">
            <w:pPr>
              <w:pStyle w:val="4"/>
              <w:jc w:val="left"/>
            </w:pPr>
            <w:r>
              <w:rPr>
                <w:rFonts w:ascii="仿宋_GB2312" w:hAnsi="仿宋_GB2312" w:eastAsia="仿宋_GB2312" w:cs="仿宋_GB2312"/>
                <w:sz w:val="20"/>
              </w:rPr>
              <w:t>女性盆腔B超（子宫、附件）</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6B242943">
            <w:pPr>
              <w:pStyle w:val="4"/>
              <w:jc w:val="left"/>
            </w:pPr>
            <w:r>
              <w:rPr>
                <w:rFonts w:ascii="仿宋_GB2312" w:hAnsi="仿宋_GB2312" w:eastAsia="仿宋_GB2312" w:cs="仿宋_GB2312"/>
                <w:sz w:val="20"/>
              </w:rPr>
              <w:t>检查子宫、附件有无先天性病变及器质性病变</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51B9BA05">
            <w:pPr>
              <w:pStyle w:val="4"/>
              <w:jc w:val="center"/>
            </w:pPr>
            <w:r>
              <w:rPr>
                <w:rFonts w:ascii="仿宋_GB2312" w:hAnsi="仿宋_GB2312" w:eastAsia="仿宋_GB2312" w:cs="仿宋_GB2312"/>
                <w:sz w:val="20"/>
              </w:rPr>
              <w:t>/</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263AD49F">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3798699A"/>
        </w:tc>
      </w:tr>
      <w:tr w14:paraId="33D8B1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34C8DC44">
            <w:pPr>
              <w:pStyle w:val="4"/>
              <w:jc w:val="center"/>
            </w:pPr>
            <w:r>
              <w:rPr>
                <w:rFonts w:ascii="仿宋_GB2312" w:hAnsi="仿宋_GB2312" w:eastAsia="仿宋_GB2312" w:cs="仿宋_GB2312"/>
                <w:sz w:val="20"/>
              </w:rPr>
              <w:t>23</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17032B15">
            <w:pPr>
              <w:pStyle w:val="4"/>
              <w:jc w:val="left"/>
            </w:pPr>
            <w:r>
              <w:rPr>
                <w:rFonts w:ascii="仿宋_GB2312" w:hAnsi="仿宋_GB2312" w:eastAsia="仿宋_GB2312" w:cs="仿宋_GB2312"/>
                <w:sz w:val="20"/>
              </w:rPr>
              <w:t>双肾B超</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511FAC0F">
            <w:pPr>
              <w:pStyle w:val="4"/>
              <w:jc w:val="left"/>
            </w:pPr>
            <w:r>
              <w:rPr>
                <w:rFonts w:ascii="仿宋_GB2312" w:hAnsi="仿宋_GB2312" w:eastAsia="仿宋_GB2312" w:cs="仿宋_GB2312"/>
                <w:sz w:val="20"/>
              </w:rPr>
              <w:t>了解双肾有无结石、肿瘤及其它异常</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6034E207">
            <w:pPr>
              <w:pStyle w:val="4"/>
              <w:jc w:val="center"/>
            </w:pPr>
            <w:r>
              <w:rPr>
                <w:rFonts w:ascii="仿宋_GB2312" w:hAnsi="仿宋_GB2312" w:eastAsia="仿宋_GB2312" w:cs="仿宋_GB2312"/>
                <w:sz w:val="20"/>
              </w:rPr>
              <w:t>/</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23AF2644">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21FEB78F"/>
        </w:tc>
      </w:tr>
      <w:tr w14:paraId="6E4ECB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7516962">
            <w:pPr>
              <w:pStyle w:val="4"/>
              <w:jc w:val="center"/>
            </w:pPr>
            <w:r>
              <w:rPr>
                <w:rFonts w:ascii="仿宋_GB2312" w:hAnsi="仿宋_GB2312" w:eastAsia="仿宋_GB2312" w:cs="仿宋_GB2312"/>
                <w:sz w:val="20"/>
              </w:rPr>
              <w:t>24</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3A452542">
            <w:pPr>
              <w:pStyle w:val="4"/>
              <w:jc w:val="left"/>
            </w:pPr>
            <w:r>
              <w:rPr>
                <w:rFonts w:ascii="仿宋_GB2312" w:hAnsi="仿宋_GB2312" w:eastAsia="仿宋_GB2312" w:cs="仿宋_GB2312"/>
                <w:sz w:val="20"/>
              </w:rPr>
              <w:t>乳腺B超</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1B48B607">
            <w:pPr>
              <w:pStyle w:val="4"/>
              <w:jc w:val="left"/>
            </w:pPr>
            <w:r>
              <w:rPr>
                <w:rFonts w:ascii="仿宋_GB2312" w:hAnsi="仿宋_GB2312" w:eastAsia="仿宋_GB2312" w:cs="仿宋_GB2312"/>
                <w:sz w:val="20"/>
              </w:rPr>
              <w:t>提高早期乳腺癌的检出率，了解有无乳腺增生、脂肪瘤以及周围淋巴结情况</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640F522C">
            <w:pPr>
              <w:pStyle w:val="4"/>
              <w:jc w:val="center"/>
            </w:pPr>
            <w:r>
              <w:rPr>
                <w:rFonts w:ascii="仿宋_GB2312" w:hAnsi="仿宋_GB2312" w:eastAsia="仿宋_GB2312" w:cs="仿宋_GB2312"/>
                <w:sz w:val="20"/>
              </w:rPr>
              <w:t>/</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2A59C1DD">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75D867FA"/>
        </w:tc>
      </w:tr>
      <w:tr w14:paraId="1C7176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34AEDC0A">
            <w:pPr>
              <w:pStyle w:val="4"/>
              <w:jc w:val="center"/>
            </w:pPr>
            <w:r>
              <w:rPr>
                <w:rFonts w:ascii="仿宋_GB2312" w:hAnsi="仿宋_GB2312" w:eastAsia="仿宋_GB2312" w:cs="仿宋_GB2312"/>
                <w:sz w:val="20"/>
              </w:rPr>
              <w:t>25</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488FF11D">
            <w:pPr>
              <w:pStyle w:val="4"/>
              <w:jc w:val="left"/>
            </w:pPr>
            <w:r>
              <w:rPr>
                <w:rFonts w:ascii="仿宋_GB2312" w:hAnsi="仿宋_GB2312" w:eastAsia="仿宋_GB2312" w:cs="仿宋_GB2312"/>
                <w:sz w:val="20"/>
              </w:rPr>
              <w:t>妇科检查液基薄层细胞检查</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42584465">
            <w:pPr>
              <w:pStyle w:val="4"/>
              <w:jc w:val="left"/>
            </w:pPr>
            <w:r>
              <w:rPr>
                <w:rFonts w:ascii="仿宋_GB2312" w:hAnsi="仿宋_GB2312" w:eastAsia="仿宋_GB2312" w:cs="仿宋_GB2312"/>
                <w:sz w:val="20"/>
              </w:rPr>
              <w:t>筛查有无妇科炎症及肿瘤</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75CE9AFF">
            <w:pPr>
              <w:pStyle w:val="4"/>
              <w:jc w:val="center"/>
            </w:pPr>
            <w:r>
              <w:rPr>
                <w:rFonts w:ascii="仿宋_GB2312" w:hAnsi="仿宋_GB2312" w:eastAsia="仿宋_GB2312" w:cs="仿宋_GB2312"/>
                <w:sz w:val="20"/>
              </w:rPr>
              <w:t>/</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45AFAD39">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77414F40">
            <w:pPr>
              <w:pStyle w:val="4"/>
              <w:jc w:val="center"/>
            </w:pPr>
            <w:r>
              <w:rPr>
                <w:rFonts w:ascii="仿宋_GB2312" w:hAnsi="仿宋_GB2312" w:eastAsia="仿宋_GB2312" w:cs="仿宋_GB2312"/>
                <w:color w:val="000000"/>
                <w:sz w:val="20"/>
              </w:rPr>
              <w:t>/</w:t>
            </w:r>
          </w:p>
        </w:tc>
      </w:tr>
      <w:tr w14:paraId="099F36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7" w:type="pct"/>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3A400BD8">
            <w:pPr>
              <w:pStyle w:val="4"/>
              <w:jc w:val="center"/>
            </w:pPr>
            <w:r>
              <w:rPr>
                <w:rFonts w:ascii="仿宋_GB2312" w:hAnsi="仿宋_GB2312" w:eastAsia="仿宋_GB2312" w:cs="仿宋_GB2312"/>
                <w:sz w:val="20"/>
              </w:rPr>
              <w:t>26</w:t>
            </w:r>
          </w:p>
        </w:tc>
        <w:tc>
          <w:tcPr>
            <w:tcW w:w="1175" w:type="pct"/>
            <w:tcBorders>
              <w:top w:val="nil"/>
              <w:left w:val="nil"/>
              <w:bottom w:val="single" w:color="000000" w:sz="4" w:space="0"/>
              <w:right w:val="single" w:color="000000" w:sz="4" w:space="0"/>
            </w:tcBorders>
            <w:tcMar>
              <w:top w:w="0" w:type="dxa"/>
              <w:left w:w="105" w:type="dxa"/>
              <w:bottom w:w="0" w:type="dxa"/>
              <w:right w:w="105" w:type="dxa"/>
            </w:tcMar>
          </w:tcPr>
          <w:p w14:paraId="61D48EA0">
            <w:pPr>
              <w:pStyle w:val="4"/>
              <w:jc w:val="left"/>
            </w:pPr>
            <w:r>
              <w:rPr>
                <w:rFonts w:ascii="仿宋_GB2312" w:hAnsi="仿宋_GB2312" w:eastAsia="仿宋_GB2312" w:cs="仿宋_GB2312"/>
                <w:color w:val="000000"/>
                <w:sz w:val="20"/>
              </w:rPr>
              <w:t>经颅多普勒脑血流检查</w:t>
            </w:r>
          </w:p>
        </w:tc>
        <w:tc>
          <w:tcPr>
            <w:tcW w:w="1421" w:type="pct"/>
            <w:tcBorders>
              <w:top w:val="nil"/>
              <w:left w:val="nil"/>
              <w:bottom w:val="single" w:color="000000" w:sz="4" w:space="0"/>
              <w:right w:val="single" w:color="000000" w:sz="4" w:space="0"/>
            </w:tcBorders>
            <w:tcMar>
              <w:top w:w="0" w:type="dxa"/>
              <w:left w:w="105" w:type="dxa"/>
              <w:bottom w:w="0" w:type="dxa"/>
              <w:right w:w="105" w:type="dxa"/>
            </w:tcMar>
          </w:tcPr>
          <w:p w14:paraId="11373330">
            <w:pPr>
              <w:pStyle w:val="4"/>
              <w:jc w:val="left"/>
            </w:pPr>
            <w:r>
              <w:rPr>
                <w:rFonts w:ascii="仿宋_GB2312" w:hAnsi="仿宋_GB2312" w:eastAsia="仿宋_GB2312" w:cs="仿宋_GB2312"/>
                <w:color w:val="000000"/>
                <w:sz w:val="20"/>
              </w:rPr>
              <w:t>检查颅内血管血流速度，分析脑供血情况</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1927A99D">
            <w:pPr>
              <w:pStyle w:val="4"/>
              <w:jc w:val="center"/>
            </w:pP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1E9C173A">
            <w:pPr>
              <w:pStyle w:val="4"/>
              <w:jc w:val="center"/>
            </w:pPr>
            <w:r>
              <w:rPr>
                <w:rFonts w:ascii="仿宋_GB2312" w:hAnsi="仿宋_GB2312" w:eastAsia="仿宋_GB2312" w:cs="仿宋_GB2312"/>
                <w:sz w:val="20"/>
              </w:rPr>
              <w:t>/</w:t>
            </w:r>
          </w:p>
        </w:tc>
        <w:tc>
          <w:tcPr>
            <w:tcW w:w="594" w:type="pct"/>
            <w:tcBorders>
              <w:top w:val="nil"/>
              <w:left w:val="nil"/>
              <w:bottom w:val="single" w:color="000000" w:sz="4" w:space="0"/>
              <w:right w:val="single" w:color="000000" w:sz="4" w:space="0"/>
            </w:tcBorders>
            <w:tcMar>
              <w:top w:w="0" w:type="dxa"/>
              <w:left w:w="105" w:type="dxa"/>
              <w:bottom w:w="0" w:type="dxa"/>
              <w:right w:w="105" w:type="dxa"/>
            </w:tcMar>
          </w:tcPr>
          <w:p w14:paraId="44E15741">
            <w:pPr>
              <w:pStyle w:val="4"/>
              <w:jc w:val="center"/>
            </w:pPr>
            <w:r>
              <w:rPr>
                <w:rFonts w:ascii="仿宋_GB2312" w:hAnsi="仿宋_GB2312" w:eastAsia="仿宋_GB2312" w:cs="仿宋_GB2312"/>
                <w:sz w:val="20"/>
              </w:rPr>
              <w:t>/</w:t>
            </w:r>
          </w:p>
        </w:tc>
      </w:tr>
    </w:tbl>
    <w:p w14:paraId="273D629E">
      <w:pPr>
        <w:pStyle w:val="4"/>
        <w:numPr>
          <w:ilvl w:val="0"/>
          <w:numId w:val="0"/>
        </w:numPr>
        <w:rPr>
          <w:rFonts w:hint="default" w:ascii="仿宋_GB2312" w:hAnsi="仿宋_GB2312" w:eastAsia="仿宋_GB2312" w:cs="仿宋_GB2312"/>
          <w:sz w:val="20"/>
          <w:lang w:val="en-US" w:eastAsia="zh-CN"/>
        </w:rPr>
      </w:pPr>
    </w:p>
    <w:p w14:paraId="7D9F1D3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DF859B"/>
    <w:multiLevelType w:val="singleLevel"/>
    <w:tmpl w:val="F3DF859B"/>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F965079"/>
    <w:rsid w:val="749D73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143</Words>
  <Characters>145</Characters>
  <Lines>0</Lines>
  <Paragraphs>0</Paragraphs>
  <TotalTime>0</TotalTime>
  <ScaleCrop>false</ScaleCrop>
  <LinksUpToDate>false</LinksUpToDate>
  <CharactersWithSpaces>145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2026-09-20T08:39:00Z</dcterms:created>
  <dc:creator>Administrator</dc:creator>
  <cp:lastModifiedBy>高蕊玲</cp:lastModifiedBy>
  <dcterms:modified xsi:type="dcterms:W3CDTF">2026-09-20T08:42:36Z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eyJoZGlkIjoiOTgxNmNmZjVhMmM4MDAwYWIyMDJhZTY2MmY2ZmMyNzciLCJ1c2VySWQiOiIxNjY0MTM3NDI2In0=</vt:lpwstr>
  </property>
  <property fmtid="{D5CDD505-2E9C-101B-9397-08002B2CF9AE}" pid="4" name="ICV">
    <vt:lpwstr>7EEDC2B68F79453183D3C96C06316FBA_12</vt:lpwstr>
  </property>
</Properties>
</file>