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版本号：KY2026-3-15820260707001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园地、林地、草地分等及定级与基准地价制定项目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KY2026-3-158</w:t>
      </w:r>
      <w:r>
        <w:br/>
      </w:r>
      <w:r>
        <w:br/>
      </w:r>
      <w:r>
        <w:br/>
      </w:r>
    </w:p>
    <w:p>
      <w:pPr>
        <w:pStyle w:val="null3"/>
        <w:jc w:val="center"/>
        <w:outlineLvl w:val="2"/>
      </w:pPr>
      <w:r>
        <w:rPr>
          <w:rFonts w:ascii="仿宋_GB2312" w:hAnsi="仿宋_GB2312" w:cs="仿宋_GB2312" w:eastAsia="仿宋_GB2312"/>
          <w:sz w:val="28"/>
          <w:b/>
        </w:rPr>
        <w:t>蒲城县自然资源局</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蒲城县自然资源局</w:t>
      </w:r>
      <w:r>
        <w:rPr>
          <w:rFonts w:ascii="仿宋_GB2312" w:hAnsi="仿宋_GB2312" w:cs="仿宋_GB2312" w:eastAsia="仿宋_GB2312"/>
        </w:rPr>
        <w:t>委托，拟对</w:t>
      </w:r>
      <w:r>
        <w:rPr>
          <w:rFonts w:ascii="仿宋_GB2312" w:hAnsi="仿宋_GB2312" w:cs="仿宋_GB2312" w:eastAsia="仿宋_GB2312"/>
        </w:rPr>
        <w:t>园地、林地、草地分等及定级与基准地价制定项目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园地、林地、草地分等及定级与基准地价制定项目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蒲城县自然资源局园地、林地、草地分等及定级与基准地价制定项目，详见磋商文件。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采购包1（园地林地草地分等项目）：属于专门面向中小企业采购。</w:t>
      </w:r>
    </w:p>
    <w:p>
      <w:pPr>
        <w:pStyle w:val="null3"/>
      </w:pPr>
      <w:r>
        <w:rPr>
          <w:rFonts w:ascii="仿宋_GB2312" w:hAnsi="仿宋_GB2312" w:cs="仿宋_GB2312" w:eastAsia="仿宋_GB2312"/>
        </w:rPr>
        <w:t>采购包2（园林草定级和基准地价制定）：属于专门面向中小企业采购。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pPr>
      <w:r>
        <w:rPr>
          <w:rFonts w:ascii="仿宋_GB2312" w:hAnsi="仿宋_GB2312" w:cs="仿宋_GB2312" w:eastAsia="仿宋_GB2312"/>
        </w:rPr>
        <w:t>9、资质：供应商具备有效的土地规划乙级及以上资质或测绘乙级及以上资质。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pPr>
      <w:r>
        <w:rPr>
          <w:rFonts w:ascii="仿宋_GB2312" w:hAnsi="仿宋_GB2312" w:cs="仿宋_GB2312" w:eastAsia="仿宋_GB2312"/>
        </w:rPr>
        <w:t>9、资质：供应商具备有效的土地规划乙级及以上资质或测绘乙级及以上资质。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陕西省渭南市蒲城县红旗路东段9号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0913-7830666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采购包1：602,100.00元</w:t>
            </w:r>
          </w:p>
          <w:p>
            <w:pPr>
              <w:pStyle w:val="null3"/>
            </w:pPr>
            <w:r>
              <w:rPr>
                <w:rFonts w:ascii="仿宋_GB2312" w:hAnsi="仿宋_GB2312" w:cs="仿宋_GB2312" w:eastAsia="仿宋_GB2312"/>
              </w:rPr>
              <w:t>采购包2：817,900.00元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银行账号：86113010750181502001405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代理服务费收费标准：交费金额参照国家计委颁布的《招标代理服务收费管理暂行办法》（计价格[2002]1980号）及发改办价格[2003]857号文件的规定标准按服务计取。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蒲城县自然资源局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联系人：徐闫靖双、黄梦迪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蒲城县自然资源局园地、林地、草地分等及定级与基准地价制定项目。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602,100.00</w:t>
      </w:r>
    </w:p>
    <w:p>
      <w:pPr>
        <w:pStyle w:val="null3"/>
      </w:pPr>
      <w:r>
        <w:rPr>
          <w:rFonts w:ascii="仿宋_GB2312" w:hAnsi="仿宋_GB2312" w:cs="仿宋_GB2312" w:eastAsia="仿宋_GB2312"/>
        </w:rPr>
        <w:t>采购包最高限价（元）: 602,100.00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园地林地草地分等项目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602,100.00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817,900.00</w:t>
      </w:r>
    </w:p>
    <w:p>
      <w:pPr>
        <w:pStyle w:val="null3"/>
      </w:pPr>
      <w:r>
        <w:rPr>
          <w:rFonts w:ascii="仿宋_GB2312" w:hAnsi="仿宋_GB2312" w:cs="仿宋_GB2312" w:eastAsia="仿宋_GB2312"/>
        </w:rPr>
        <w:t>采购包最高限价（元）: 817,900.00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园林草定级和基准地价制定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817,900.00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标的名称：园地林地草地分等项目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一、项目主要服务内容及要求</w:t>
            </w:r>
          </w:p>
          <w:p>
            <w:pPr>
              <w:pStyle w:val="null3"/>
            </w:pPr>
            <w:r>
              <w:rPr>
                <w:rFonts w:ascii="仿宋_GB2312" w:hAnsi="仿宋_GB2312" w:cs="仿宋_GB2312" w:eastAsia="仿宋_GB2312"/>
                <w:sz w:val="21"/>
              </w:rPr>
              <w:t>1、项目概况:</w:t>
            </w:r>
          </w:p>
          <w:p>
            <w:pPr>
              <w:pStyle w:val="null3"/>
              <w:ind w:firstLine="420"/>
            </w:pPr>
            <w:r>
              <w:rPr>
                <w:rFonts w:ascii="仿宋_GB2312" w:hAnsi="仿宋_GB2312" w:cs="仿宋_GB2312" w:eastAsia="仿宋_GB2312"/>
                <w:sz w:val="21"/>
              </w:rPr>
              <w:t>核心任务是完成我县园地、林地、草地分等定级全流程工作，具体包括资料收集整理、外业补充调查、土壤采样化验、内业测算分析、报告及图件编制、数据库建设、成果审查汇交等。项目最终将形成完整的分等定级成果体系，为我县国土空间规划编制、自然资源保护利用、生态修复治理及相关管理决策提供科学、精准的基础数据支撑，确保按时完成上级下达的工作任务。</w:t>
            </w:r>
          </w:p>
          <w:p>
            <w:pPr>
              <w:pStyle w:val="null3"/>
            </w:pPr>
            <w:r>
              <w:rPr>
                <w:rFonts w:ascii="仿宋_GB2312" w:hAnsi="仿宋_GB2312" w:cs="仿宋_GB2312" w:eastAsia="仿宋_GB2312"/>
                <w:sz w:val="21"/>
              </w:rPr>
              <w:t>2、服务要求:</w:t>
            </w:r>
          </w:p>
          <w:p>
            <w:pPr>
              <w:pStyle w:val="null3"/>
              <w:ind w:firstLine="420"/>
            </w:pPr>
            <w:r>
              <w:rPr>
                <w:rFonts w:ascii="仿宋_GB2312" w:hAnsi="仿宋_GB2312" w:cs="仿宋_GB2312" w:eastAsia="仿宋_GB2312"/>
                <w:sz w:val="21"/>
              </w:rPr>
              <w:t>(1)在工作过程中，严格执行国家的有关法律法规，尊重并贯彻采购人的意见，维护采购人利益，严把质量关，把确保项目成果质量、提高投资效益作为服务目标。</w:t>
            </w:r>
          </w:p>
          <w:p>
            <w:pPr>
              <w:pStyle w:val="null3"/>
              <w:ind w:firstLine="420"/>
            </w:pPr>
            <w:r>
              <w:rPr>
                <w:rFonts w:ascii="仿宋_GB2312" w:hAnsi="仿宋_GB2312" w:cs="仿宋_GB2312" w:eastAsia="仿宋_GB2312"/>
                <w:sz w:val="21"/>
              </w:rPr>
              <w:t>(2)建立并向采购人分发项目部通讯录，做到即时顺畅沟通。</w:t>
            </w:r>
          </w:p>
          <w:p>
            <w:pPr>
              <w:pStyle w:val="null3"/>
              <w:ind w:firstLine="420"/>
            </w:pPr>
            <w:r>
              <w:rPr>
                <w:rFonts w:ascii="仿宋_GB2312" w:hAnsi="仿宋_GB2312" w:cs="仿宋_GB2312" w:eastAsia="仿宋_GB2312"/>
                <w:sz w:val="21"/>
              </w:rPr>
              <w:t>(3)供应商指派后勤保障负责人负责与采购人进行沟通，并协调前期工作事宜，并做好相关记录。</w:t>
            </w:r>
          </w:p>
          <w:p>
            <w:pPr>
              <w:pStyle w:val="null3"/>
              <w:ind w:firstLine="420"/>
            </w:pPr>
            <w:r>
              <w:rPr>
                <w:rFonts w:ascii="仿宋_GB2312" w:hAnsi="仿宋_GB2312" w:cs="仿宋_GB2312" w:eastAsia="仿宋_GB2312"/>
                <w:sz w:val="21"/>
              </w:rPr>
              <w:t>(4)工作过程中根据采购人要求，随时提供项目进度报告，对工作过程中出现的异常情况及时沟通协商，及时解决。</w:t>
            </w:r>
          </w:p>
          <w:p>
            <w:pPr>
              <w:pStyle w:val="null3"/>
              <w:ind w:firstLine="420"/>
            </w:pPr>
            <w:r>
              <w:rPr>
                <w:rFonts w:ascii="仿宋_GB2312" w:hAnsi="仿宋_GB2312" w:cs="仿宋_GB2312" w:eastAsia="仿宋_GB2312"/>
                <w:sz w:val="21"/>
              </w:rPr>
              <w:t>(5)成立项目组，以方便解决项目中的相关技术问题，后期服务由项目负责人负责组织实施，承诺在接到采购人通知后及时到达现场解决相关问题。</w:t>
            </w:r>
          </w:p>
          <w:p>
            <w:pPr>
              <w:pStyle w:val="null3"/>
              <w:ind w:firstLine="420"/>
            </w:pPr>
            <w:r>
              <w:rPr>
                <w:rFonts w:ascii="仿宋_GB2312" w:hAnsi="仿宋_GB2312" w:cs="仿宋_GB2312" w:eastAsia="仿宋_GB2312"/>
                <w:sz w:val="21"/>
              </w:rPr>
              <w:t>(6)项目评价工作中，对采购人提出的工作更改积极配合并以最快的速度安排实施。</w:t>
            </w:r>
          </w:p>
          <w:p>
            <w:pPr>
              <w:pStyle w:val="null3"/>
            </w:pPr>
            <w:r>
              <w:rPr>
                <w:rFonts w:ascii="仿宋_GB2312" w:hAnsi="仿宋_GB2312" w:cs="仿宋_GB2312" w:eastAsia="仿宋_GB2312"/>
                <w:sz w:val="21"/>
              </w:rPr>
              <w:t>对工作中发现的特殊情况，及时汇报，并按照采购人要求及时协商提出解决方案。</w:t>
            </w:r>
          </w:p>
          <w:p>
            <w:pPr>
              <w:pStyle w:val="null3"/>
              <w:ind w:firstLine="420"/>
            </w:pPr>
            <w:r>
              <w:rPr>
                <w:rFonts w:ascii="仿宋_GB2312" w:hAnsi="仿宋_GB2312" w:cs="仿宋_GB2312" w:eastAsia="仿宋_GB2312"/>
                <w:sz w:val="21"/>
              </w:rPr>
              <w:t>(7)在整个项目过程中，积极做好咨询工作，对采购人提出的疑问、要求，以专业的知识做出合理的解释。</w:t>
            </w:r>
          </w:p>
          <w:p>
            <w:pPr>
              <w:pStyle w:val="null3"/>
            </w:pPr>
            <w:r>
              <w:rPr>
                <w:rFonts w:ascii="仿宋_GB2312" w:hAnsi="仿宋_GB2312" w:cs="仿宋_GB2312" w:eastAsia="仿宋_GB2312"/>
                <w:sz w:val="21"/>
              </w:rPr>
              <w:t>(8)在成果提交工作后期，积极配合采购人工作，根据采购人需求，及时参与技术交底、工程验收等工程实施阶段所有涉及的相关技术工作。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二、工作内容和成果</w:t>
            </w:r>
          </w:p>
          <w:tbl>
            <w:tblPr>
              <w:tblInd w:type="dxa" w:w="30"/>
              <w:tblBorders>
                <w:top w:val="none" w:color="000000" w:sz="4"/>
                <w:left w:val="none" w:color="000000" w:sz="4"/>
                <w:bottom w:val="none" w:color="000000" w:sz="4"/>
                <w:right w:val="none" w:color="000000" w:sz="4"/>
                <w:insideH w:val="none"/>
                <w:insideV w:val="none"/>
              </w:tblBorders>
            </w:tblPr>
            <w:tblGrid>
              <w:gridCol w:w="434"/>
              <w:gridCol w:w="372"/>
              <w:gridCol w:w="1741"/>
            </w:tblGrid>
            <w:tr>
              <w:tc>
                <w:tcPr>
                  <w:tcW w:type="dxa" w:w="254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工作内容</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蒲城县园地林地草地分等工作</w:t>
                  </w:r>
                </w:p>
              </w:tc>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分等工作</w:t>
                  </w:r>
                </w:p>
              </w:tc>
              <w:tc>
                <w:tcPr>
                  <w:tcW w:type="dxa" w:w="1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依据园、林、草地分等技术规程和标准，确定分等指标体系、指标等级划分标准及其分值，确定分等指标权重，计算分等单元分值，进行等别划分。</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蒲城县园地林地草地分等汇总</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分等工作检查汇总</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资料收集分析，制定市级汇总技术方案。按照有关文件和规范，通过内业检查、人工核查的方法，检查分等成果的科学性和合理性。按照有关文件和规范，通过内业检查、人工核查的方法，检查分等成果的科学性和合理性。检查分等成果规范性和完整性。检查分等成果规范性和完整性。完成阶段性报表统计汇总，市级汇总成果编制及最终成果等别分布图。</w:t>
                  </w:r>
                </w:p>
              </w:tc>
            </w:tr>
          </w:tbl>
          <w:p>
            <w:pPr>
              <w:pStyle w:val="null3"/>
              <w:ind w:firstLine="422"/>
              <w:jc w:val="both"/>
            </w:pPr>
            <w:r>
              <w:rPr>
                <w:rFonts w:ascii="仿宋_GB2312" w:hAnsi="仿宋_GB2312" w:cs="仿宋_GB2312" w:eastAsia="仿宋_GB2312"/>
                <w:sz w:val="21"/>
                <w:b/>
              </w:rPr>
              <w:t>成果：</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b/>
              </w:rPr>
              <w:t>文字成果</w:t>
            </w:r>
            <w:r>
              <w:rPr>
                <w:rFonts w:ascii="仿宋_GB2312" w:hAnsi="仿宋_GB2312" w:cs="仿宋_GB2312" w:eastAsia="仿宋_GB2312"/>
                <w:sz w:val="21"/>
              </w:rPr>
              <w:t>：工作报告、技术报告、成果说明、验收报告；</w:t>
            </w:r>
          </w:p>
          <w:p>
            <w:pPr>
              <w:pStyle w:val="null3"/>
              <w:ind w:firstLine="422"/>
              <w:jc w:val="both"/>
            </w:pPr>
            <w:r>
              <w:rPr>
                <w:rFonts w:ascii="仿宋_GB2312" w:hAnsi="仿宋_GB2312" w:cs="仿宋_GB2312" w:eastAsia="仿宋_GB2312"/>
                <w:sz w:val="21"/>
                <w:b/>
              </w:rPr>
              <w:t>2.图件成果</w:t>
            </w:r>
            <w:r>
              <w:rPr>
                <w:rFonts w:ascii="仿宋_GB2312" w:hAnsi="仿宋_GB2312" w:cs="仿宋_GB2312" w:eastAsia="仿宋_GB2312"/>
                <w:sz w:val="21"/>
              </w:rPr>
              <w:t>：园林草等别分布图，园林草地分等单元图；</w:t>
            </w:r>
          </w:p>
          <w:p>
            <w:pPr>
              <w:pStyle w:val="null3"/>
            </w:pPr>
            <w:r>
              <w:rPr>
                <w:rFonts w:ascii="仿宋_GB2312" w:hAnsi="仿宋_GB2312" w:cs="仿宋_GB2312" w:eastAsia="仿宋_GB2312"/>
                <w:sz w:val="21"/>
                <w:b/>
              </w:rPr>
              <w:t>3.数据库成果</w:t>
            </w:r>
            <w:r>
              <w:rPr>
                <w:rFonts w:ascii="仿宋_GB2312" w:hAnsi="仿宋_GB2312" w:cs="仿宋_GB2312" w:eastAsia="仿宋_GB2312"/>
                <w:sz w:val="21"/>
              </w:rPr>
              <w:t>：园林草分等数据库。</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标的名称：园林草定级和基准地价制定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一、项目服务内容</w:t>
            </w:r>
          </w:p>
          <w:p>
            <w:pPr>
              <w:pStyle w:val="null3"/>
              <w:ind w:firstLine="420"/>
              <w:jc w:val="both"/>
            </w:pPr>
            <w:r>
              <w:rPr>
                <w:rFonts w:ascii="仿宋_GB2312" w:hAnsi="仿宋_GB2312" w:cs="仿宋_GB2312" w:eastAsia="仿宋_GB2312"/>
                <w:sz w:val="21"/>
              </w:rPr>
              <w:t>为全面做好园地林地草地定级和基准地价制定工作，按照《自然资源部办公厅关于做好2024年度自然资源评价评估工作的通知》、《自然资源部办公厅关于做好园地林地草地定级和基准地价制定有关工作的通知》（自然资办函〔2023〕399号）、《陕西省自然资源厅关于印发〈园地林地草地分等定级和基准地价制定工作实施方案〉的通知》（陕自然资用发〔2023〕14号）、《渭南市自然资源和规划局关于印发&lt;渭南市园地林地草地定级和基准地价制定工作实施方案&gt;的通知》（渭自然资发〔2023〕105号）等文件要求，依据《自然资源分等定级通则》（TD/T 1060-2021）、《园地分等定级规程》（TD/T1071-2022）、《林地分等定级技术规范》（T/CREVA 3101-2021）和《草地分等定级技术规范》（T/CREVA 3102-2021）等文件要求开展园林草地定级和基准地价制定工作。主要工作为园地林地草地定级、基准地价制定等技术规程开展园林草地定级和基准地价制定工作。主要工作为园地林地草地定级、基准地价制定</w:t>
            </w:r>
            <w:r>
              <w:rPr>
                <w:rFonts w:ascii="仿宋_GB2312" w:hAnsi="仿宋_GB2312" w:cs="仿宋_GB2312" w:eastAsia="仿宋_GB2312"/>
                <w:sz w:val="21"/>
                <w:color w:val="C00000"/>
              </w:rPr>
              <w:t>，</w:t>
            </w:r>
            <w:r>
              <w:rPr>
                <w:rFonts w:ascii="仿宋_GB2312" w:hAnsi="仿宋_GB2312" w:cs="仿宋_GB2312" w:eastAsia="仿宋_GB2312"/>
                <w:sz w:val="21"/>
              </w:rPr>
              <w:t>具体内容包括：</w:t>
            </w:r>
          </w:p>
          <w:p>
            <w:pPr>
              <w:pStyle w:val="null3"/>
              <w:jc w:val="both"/>
            </w:pPr>
            <w:r>
              <w:rPr>
                <w:rFonts w:ascii="仿宋_GB2312" w:hAnsi="仿宋_GB2312" w:cs="仿宋_GB2312" w:eastAsia="仿宋_GB2312"/>
                <w:sz w:val="21"/>
              </w:rPr>
              <w:t>（1）划定定级单元和编制定级工作底图</w:t>
            </w:r>
          </w:p>
          <w:p>
            <w:pPr>
              <w:pStyle w:val="null3"/>
              <w:ind w:firstLine="420"/>
              <w:jc w:val="both"/>
            </w:pPr>
            <w:r>
              <w:rPr>
                <w:rFonts w:ascii="仿宋_GB2312" w:hAnsi="仿宋_GB2312" w:cs="仿宋_GB2312" w:eastAsia="仿宋_GB2312"/>
                <w:sz w:val="21"/>
              </w:rPr>
              <w:t>园地林地草地定级以2022年度国土变更调查数据为底图，参考相关部门区划资料划分定级单元，编制定级工作底图。</w:t>
            </w:r>
          </w:p>
          <w:p>
            <w:pPr>
              <w:pStyle w:val="null3"/>
              <w:jc w:val="both"/>
            </w:pPr>
            <w:r>
              <w:rPr>
                <w:rFonts w:ascii="仿宋_GB2312" w:hAnsi="仿宋_GB2312" w:cs="仿宋_GB2312" w:eastAsia="仿宋_GB2312"/>
                <w:sz w:val="21"/>
              </w:rPr>
              <w:t>（2）建立园地林地草地定级指标体系，开展级别评价工作</w:t>
            </w:r>
          </w:p>
          <w:p>
            <w:pPr>
              <w:pStyle w:val="null3"/>
              <w:ind w:firstLine="420"/>
              <w:jc w:val="both"/>
            </w:pPr>
            <w:r>
              <w:rPr>
                <w:rFonts w:ascii="仿宋_GB2312" w:hAnsi="仿宋_GB2312" w:cs="仿宋_GB2312" w:eastAsia="仿宋_GB2312"/>
                <w:sz w:val="21"/>
              </w:rPr>
              <w:t>园地林地草地定级是依据相关技术规程和标准，结合蒲城县实际，论证确定蒲城县县园地、林地和草地定级指标体系和权重。针对获取困难数据和缺失数据资料，开展外业补充调查。对于定级指标进行量化处理，采用因素法或修正法进行园地、林地和草地定级，计算定级单元分值，确定级别划分标准，通过对总体进行分析或抽样调查的方法对级别划分结果进行验证与调整，确定级别划分结果。</w:t>
            </w:r>
          </w:p>
          <w:p>
            <w:pPr>
              <w:pStyle w:val="null3"/>
              <w:jc w:val="both"/>
            </w:pPr>
            <w:r>
              <w:rPr>
                <w:rFonts w:ascii="仿宋_GB2312" w:hAnsi="仿宋_GB2312" w:cs="仿宋_GB2312" w:eastAsia="仿宋_GB2312"/>
                <w:sz w:val="21"/>
              </w:rPr>
              <w:t>（3）开展园地林地草地基准地价制定工作</w:t>
            </w:r>
          </w:p>
          <w:p>
            <w:pPr>
              <w:pStyle w:val="null3"/>
              <w:ind w:firstLine="420"/>
              <w:jc w:val="both"/>
            </w:pPr>
            <w:r>
              <w:rPr>
                <w:rFonts w:ascii="仿宋_GB2312" w:hAnsi="仿宋_GB2312" w:cs="仿宋_GB2312" w:eastAsia="仿宋_GB2312"/>
                <w:sz w:val="21"/>
              </w:rPr>
              <w:t>通过基础资料调查与整理，界定园地、林地、草地基准地价内涵，采取样点地价平均法、定级指数模型法、基准地块评估法等方法，评估确定蒲城县园地、林地、草地基准地价，编制基准地价系数修正表。</w:t>
            </w:r>
          </w:p>
          <w:p>
            <w:pPr>
              <w:pStyle w:val="null3"/>
              <w:jc w:val="both"/>
            </w:pPr>
            <w:r>
              <w:rPr>
                <w:rFonts w:ascii="仿宋_GB2312" w:hAnsi="仿宋_GB2312" w:cs="仿宋_GB2312" w:eastAsia="仿宋_GB2312"/>
                <w:sz w:val="21"/>
              </w:rPr>
              <w:t>（4）建立园地林地草地定级与基准地价数据库，编制成果</w:t>
            </w:r>
          </w:p>
          <w:p>
            <w:pPr>
              <w:pStyle w:val="null3"/>
              <w:ind w:firstLine="420"/>
              <w:jc w:val="both"/>
            </w:pPr>
            <w:r>
              <w:rPr>
                <w:rFonts w:ascii="仿宋_GB2312" w:hAnsi="仿宋_GB2312" w:cs="仿宋_GB2312" w:eastAsia="仿宋_GB2312"/>
                <w:sz w:val="21"/>
              </w:rPr>
              <w:t>按照数据库建库要求，建立蒲城县园地、林地和草地定级与基准地价数据库，编制文字报告、数据成果、图件成果及基础资料汇编，并按要求完成数据汇交等相关工作。</w:t>
            </w:r>
          </w:p>
          <w:p>
            <w:pPr>
              <w:pStyle w:val="null3"/>
              <w:ind w:firstLine="420"/>
              <w:jc w:val="both"/>
            </w:pPr>
            <w:r>
              <w:rPr>
                <w:rFonts w:ascii="仿宋_GB2312" w:hAnsi="仿宋_GB2312" w:cs="仿宋_GB2312" w:eastAsia="仿宋_GB2312"/>
                <w:sz w:val="21"/>
              </w:rPr>
              <w:t>（5）完成蒲城县园地林地草地定级和基准地价成果上报验收</w:t>
            </w:r>
          </w:p>
          <w:p>
            <w:pPr>
              <w:pStyle w:val="null3"/>
            </w:pPr>
            <w:r>
              <w:rPr>
                <w:rFonts w:ascii="仿宋_GB2312" w:hAnsi="仿宋_GB2312" w:cs="仿宋_GB2312" w:eastAsia="仿宋_GB2312"/>
                <w:sz w:val="21"/>
              </w:rPr>
              <w:t>根据部、省工作要求，按程序上报蒲城县园地林地草地定级和基准地价成果，配合完成验收工作。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二、主要工作依据</w:t>
            </w:r>
          </w:p>
          <w:p>
            <w:pPr>
              <w:pStyle w:val="null3"/>
              <w:jc w:val="both"/>
            </w:pPr>
            <w:r>
              <w:rPr>
                <w:rFonts w:ascii="仿宋_GB2312" w:hAnsi="仿宋_GB2312" w:cs="仿宋_GB2312" w:eastAsia="仿宋_GB2312"/>
                <w:sz w:val="21"/>
              </w:rPr>
              <w:t>（1）《自然资源部办公厅关于做好2022年度自然资源评价评估工作的通知》（自然资办发〔2022〕13号）；</w:t>
            </w:r>
          </w:p>
          <w:p>
            <w:pPr>
              <w:pStyle w:val="null3"/>
              <w:jc w:val="both"/>
            </w:pPr>
            <w:r>
              <w:rPr>
                <w:rFonts w:ascii="仿宋_GB2312" w:hAnsi="仿宋_GB2312" w:cs="仿宋_GB2312" w:eastAsia="仿宋_GB2312"/>
                <w:sz w:val="21"/>
              </w:rPr>
              <w:t>（2）《自然资源部办公厅关于做好园地林地草地分等定级和基准地价制定有关工作的通知》（自然资办函〔2023〕399号）；</w:t>
            </w:r>
          </w:p>
          <w:p>
            <w:pPr>
              <w:pStyle w:val="null3"/>
              <w:jc w:val="both"/>
            </w:pPr>
            <w:r>
              <w:rPr>
                <w:rFonts w:ascii="仿宋_GB2312" w:hAnsi="仿宋_GB2312" w:cs="仿宋_GB2312" w:eastAsia="仿宋_GB2312"/>
                <w:sz w:val="21"/>
              </w:rPr>
              <w:t>（3）《陕西省自然资源厅关于做好2022年度自然资源评价评估工作的通知》（陕自然资用发〔2022〕12号）；</w:t>
            </w:r>
          </w:p>
          <w:p>
            <w:pPr>
              <w:pStyle w:val="null3"/>
              <w:jc w:val="both"/>
            </w:pPr>
            <w:r>
              <w:rPr>
                <w:rFonts w:ascii="仿宋_GB2312" w:hAnsi="仿宋_GB2312" w:cs="仿宋_GB2312" w:eastAsia="仿宋_GB2312"/>
                <w:sz w:val="21"/>
              </w:rPr>
              <w:t>（4）《陕西省自然资源厅关于印发〈园地林地草地分等定级和基准地价制定工作实施方案〉的通知》（陕自然资用发〔2023〕14号）；</w:t>
            </w:r>
          </w:p>
          <w:p>
            <w:pPr>
              <w:pStyle w:val="null3"/>
              <w:jc w:val="both"/>
            </w:pPr>
            <w:r>
              <w:rPr>
                <w:rFonts w:ascii="仿宋_GB2312" w:hAnsi="仿宋_GB2312" w:cs="仿宋_GB2312" w:eastAsia="仿宋_GB2312"/>
                <w:sz w:val="21"/>
              </w:rPr>
              <w:t>（5）《陕西省自然资源厅关于陕西省园林草地定级和基准地价制定工作安排的通知》（自然资办发〔2024〕2号）；</w:t>
            </w:r>
          </w:p>
          <w:p>
            <w:pPr>
              <w:pStyle w:val="null3"/>
            </w:pPr>
            <w:r>
              <w:rPr>
                <w:rFonts w:ascii="仿宋_GB2312" w:hAnsi="仿宋_GB2312" w:cs="仿宋_GB2312" w:eastAsia="仿宋_GB2312"/>
                <w:sz w:val="21"/>
              </w:rPr>
              <w:t>（6）《渭南市自然资源和规划局关于印发&lt;渭南市园地林地草地定级和基准地价制定工作实施方案&gt;的通知》（渭自然资发〔2023〕105号）。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交付时间：自合同签订之日起12个月内完成本项目所有工作。服务期限：自验收合格之日起一年。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交付时间：自合同签订之日起3个月内完成本项目所有工作。服务期限：自验收合格之日起1年。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蒲城县自然资源局指定地点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蒲城县自然资源局指定地点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进度款，工作成果验收通过后，达到付款条件起22个工作日内，支付合同总金额的60.0%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进度款，工作成果通过自然资源主管部门评审验收通过后，达到付款条件起22个工作日内，支付合同总金额的60.0%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提供服务或服务质量不能满足技术要求，采购人有权终止合同，甚至对供方违约行为进行追究。（三）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二）未按合同要求提供服务或服务质量不能满足技术要求，采购人有权终止合同，甚至对供方违约行为进行追究。（三）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2692780587@qq.com，并以邮件接收时间为退付的基准时间。3、磋商文件中所有的商务要求均为实质性要求，供应商必须响应并满足。4、成交供应商需要提交与电子化交易系统中一致的纸质版响应文件壹份（顺丰邮寄），邮寄地址：西安市雁展路1111号莱安中心T6-15层，联系人：徐闫靖双，联系电话029-81206622/81206633-841）5、为保证项目顺利实施，供应商可以报名多个采购包，但只能承担一个采购包的采购内容；评审顺序为采购包1→采购包2，依次评审。（采购包1成交供应商不进入采购包2的成交候选人排序；按照综合评审顺延至三家供应商进入成交候选人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供应商具备有效的土地规划乙级及以上资质或测绘乙级及以上资质。</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供应商具备有效的土地规划乙级及以上资质或测绘乙级及以上资质。</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分项报价表（服务）.docx 商务应答表 服务内容及服务要求应答表 标的清单 报价表 响应函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分项报价表（服务）.docx 商务应答表 服务内容及服务要求应答表 标的清单 报价表 响应函 其他说明.docx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分项报价表（服务）.docx 商务应答表 服务内容及服务要求应答表 标的清单 报价表 响应函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分项报价表（服务）.docx 商务应答表 服务内容及服务要求应答表 标的清单 报价表 响应函 其他说明.docx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供应商针对蒲城县园地、林地、草地资源现状及分等工作重点的理解程度，包括但不限于：①项目理解与需求分析；②重难点分析及解决办法；每有一项缺项扣3分，每有一项内容存在缺陷，扣1分。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1、详细评审---项目理解.docx</w:t>
            </w:r>
          </w:p>
        </w:tc>
      </w:tr>
      <w:tr>
        <w:tc>
          <w:tcPr>
            <w:tcW w:type="dxa" w:w="831"/>
            <w:vMerge/>
          </w:tcPr>
          <w:p/>
        </w:tc>
        <w:tc>
          <w:tcPr>
            <w:tcW w:type="dxa" w:w="1661"/>
          </w:tcPr>
          <w:p>
            <w:pPr>
              <w:pStyle w:val="null3"/>
            </w:pPr>
            <w:r>
              <w:rPr>
                <w:rFonts w:ascii="仿宋_GB2312" w:hAnsi="仿宋_GB2312" w:cs="仿宋_GB2312" w:eastAsia="仿宋_GB2312"/>
              </w:rPr>
              <w:t>技术路线与方法</w:t>
            </w:r>
          </w:p>
        </w:tc>
        <w:tc>
          <w:tcPr>
            <w:tcW w:type="dxa" w:w="2492"/>
          </w:tcPr>
          <w:p>
            <w:pPr>
              <w:pStyle w:val="null3"/>
            </w:pPr>
            <w:r>
              <w:rPr>
                <w:rFonts w:ascii="仿宋_GB2312" w:hAnsi="仿宋_GB2312" w:cs="仿宋_GB2312" w:eastAsia="仿宋_GB2312"/>
              </w:rPr>
              <w:t>供应商提供针对本项目的技术路线与方法，内容包括但不限于：①工作内容及方法；②工作目标及技术要求；③工作程序及流程（含资料收集整理、划分分等单元、建立指标体系、内业测算分析、分等单元分值计算、等别划分与校验等关键环节）。每有一项缺项扣4分，每有一项内容存在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2、详细评审---技术路线与方法.docx</w:t>
            </w:r>
          </w:p>
        </w:tc>
      </w:tr>
      <w:tr>
        <w:tc>
          <w:tcPr>
            <w:tcW w:type="dxa" w:w="831"/>
            <w:vMerge/>
          </w:tcPr>
          <w:p/>
        </w:tc>
        <w:tc>
          <w:tcPr>
            <w:tcW w:type="dxa" w:w="1661"/>
          </w:tcPr>
          <w:p>
            <w:pPr>
              <w:pStyle w:val="null3"/>
            </w:pPr>
            <w:r>
              <w:rPr>
                <w:rFonts w:ascii="仿宋_GB2312" w:hAnsi="仿宋_GB2312" w:cs="仿宋_GB2312" w:eastAsia="仿宋_GB2312"/>
              </w:rPr>
              <w:t>外业调查与土壤采样方案</w:t>
            </w:r>
          </w:p>
        </w:tc>
        <w:tc>
          <w:tcPr>
            <w:tcW w:type="dxa" w:w="2492"/>
          </w:tcPr>
          <w:p>
            <w:pPr>
              <w:pStyle w:val="null3"/>
            </w:pPr>
            <w:r>
              <w:rPr>
                <w:rFonts w:ascii="仿宋_GB2312" w:hAnsi="仿宋_GB2312" w:cs="仿宋_GB2312" w:eastAsia="仿宋_GB2312"/>
              </w:rPr>
              <w:t>供应商针对本项目提供外业调查与土壤采样方案，包括但不限于：①调查样点布设方法、②采样方案、③化验检测方案。每有一项缺项扣3分，每有一项内容存在缺陷，扣1.5分。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3、详细评审---外业调查与土壤采样方案.docx</w:t>
            </w:r>
          </w:p>
        </w:tc>
      </w:tr>
      <w:tr>
        <w:tc>
          <w:tcPr>
            <w:tcW w:type="dxa" w:w="831"/>
            <w:vMerge/>
          </w:tcPr>
          <w:p/>
        </w:tc>
        <w:tc>
          <w:tcPr>
            <w:tcW w:type="dxa" w:w="1661"/>
          </w:tcPr>
          <w:p>
            <w:pPr>
              <w:pStyle w:val="null3"/>
            </w:pPr>
            <w:r>
              <w:rPr>
                <w:rFonts w:ascii="仿宋_GB2312" w:hAnsi="仿宋_GB2312" w:cs="仿宋_GB2312" w:eastAsia="仿宋_GB2312"/>
              </w:rPr>
              <w:t>成果交付方案</w:t>
            </w:r>
          </w:p>
        </w:tc>
        <w:tc>
          <w:tcPr>
            <w:tcW w:type="dxa" w:w="2492"/>
          </w:tcPr>
          <w:p>
            <w:pPr>
              <w:pStyle w:val="null3"/>
            </w:pPr>
            <w:r>
              <w:rPr>
                <w:rFonts w:ascii="仿宋_GB2312" w:hAnsi="仿宋_GB2312" w:cs="仿宋_GB2312" w:eastAsia="仿宋_GB2312"/>
              </w:rPr>
              <w:t>供应商针对本项目提供成果交付方案，包括：①文字成果、②图件成果、③数据库成果；每有一项缺项扣3分，每有一项内容存在缺陷，扣1.5分。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4、详细评审---成果交付方案.docx</w:t>
            </w:r>
          </w:p>
        </w:tc>
      </w:tr>
      <w:tr>
        <w:tc>
          <w:tcPr>
            <w:tcW w:type="dxa" w:w="831"/>
            <w:vMerge/>
          </w:tcPr>
          <w:p/>
        </w:tc>
        <w:tc>
          <w:tcPr>
            <w:tcW w:type="dxa" w:w="1661"/>
          </w:tcPr>
          <w:p>
            <w:pPr>
              <w:pStyle w:val="null3"/>
            </w:pPr>
            <w:r>
              <w:rPr>
                <w:rFonts w:ascii="仿宋_GB2312" w:hAnsi="仿宋_GB2312" w:cs="仿宋_GB2312" w:eastAsia="仿宋_GB2312"/>
              </w:rPr>
              <w:t>进度计划与保障方案</w:t>
            </w:r>
          </w:p>
        </w:tc>
        <w:tc>
          <w:tcPr>
            <w:tcW w:type="dxa" w:w="2492"/>
          </w:tcPr>
          <w:p>
            <w:pPr>
              <w:pStyle w:val="null3"/>
            </w:pPr>
            <w:r>
              <w:rPr>
                <w:rFonts w:ascii="仿宋_GB2312" w:hAnsi="仿宋_GB2312" w:cs="仿宋_GB2312" w:eastAsia="仿宋_GB2312"/>
              </w:rPr>
              <w:t>供应商针对本项目的进度计划与保障方案，包括：①计划及进度安排、②进度保障措施及承诺；满分4分。每有一项缺项扣2分，每有一项内容存在缺陷，扣1分。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5、详细评审---进度计划与保障方案.docx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供应商针对本项目的质量保证措施，包括：①质量保证体系说明；②质量管理制度说明；③成果审查汇交流程说明；④数据质量控制措施方案。每提供一项完整内容得3分，不完整得1.5分，不提供不得分。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6、详细评审---质量保证措施.docx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1、拟派项目负责人具有土地规划/测绘/地理信息相关专业高级职称得3分；具有土地规划/测绘/地理信息相关专业中级职称的，得1分； 2、拟配备的项目组成员（除项目负责人外）： 具有土地管理/测绘/地理信息相关专业中级及以上职称的,每有一人得1分；本项最多得6分。 注：1.2项须提供证书复印件及供应商为其缴纳的近三个月任意一个月的社保证明或劳动合同。不提供不得分。 3、提供拟派本项目团队人员，包括：①人员名单、分工明确及工作职责划分合理，②配备数量、工作经验等方面满足项目需求。满分4分。每小项有一项缺项扣2分，每小项内容存在缺陷，扣1分。 备注：本文所称“缺陷”是指内容缺项、不完整或缺少关键点；非专门针对本项目或不适用本项目特性、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7、详细评审---项目团队人员.docx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的售后服务方案，包括：①售后服务体系说明；②服务响应机制说明（含响应时间、现场服务安排、沟通协调能力等）；③后续技术服务承诺；④售后服务承诺（根据采购文件中的售后要求进行承诺）；⑤配合验收方案承诺。每提供一份说明或承诺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提供供应商2023年1月1日至今(以合同签订日期为准)同类项目业绩合同，每份计2分，满分10分。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针对蒲城县园地、林地、草地定级及基准地价制定工作的理解程度，包括但不限于：①项目背景、现状与政策依据理解；②工作重难点分析及解决办法；每有一项缺项扣3分，每有一项内容存在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1、详细评审---项目理解.docx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供应商针对本项目提供技术方案，包括但不限于：①定级工作技术路线（含定级单元划分、指标体系建立、级别评价、级别验证与调整）、②基准地价制定技术路线（含地价内涵界定、样点调查、价格测算、系数修正表编制）、③定级与基准地价衔接逻辑。每有一项缺项扣4分，每有一项内容存在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2、详细评审---技术服务方案.docx</w:t>
            </w:r>
          </w:p>
        </w:tc>
      </w:tr>
      <w:tr>
        <w:tc>
          <w:tcPr>
            <w:tcW w:type="dxa" w:w="831"/>
            <w:vMerge/>
          </w:tcPr>
          <w:p/>
        </w:tc>
        <w:tc>
          <w:tcPr>
            <w:tcW w:type="dxa" w:w="1661"/>
          </w:tcPr>
          <w:p>
            <w:pPr>
              <w:pStyle w:val="null3"/>
            </w:pPr>
            <w:r>
              <w:rPr>
                <w:rFonts w:ascii="仿宋_GB2312" w:hAnsi="仿宋_GB2312" w:cs="仿宋_GB2312" w:eastAsia="仿宋_GB2312"/>
              </w:rPr>
              <w:t>外业调查方案</w:t>
            </w:r>
          </w:p>
        </w:tc>
        <w:tc>
          <w:tcPr>
            <w:tcW w:type="dxa" w:w="2492"/>
          </w:tcPr>
          <w:p>
            <w:pPr>
              <w:pStyle w:val="null3"/>
            </w:pPr>
            <w:r>
              <w:rPr>
                <w:rFonts w:ascii="仿宋_GB2312" w:hAnsi="仿宋_GB2312" w:cs="仿宋_GB2312" w:eastAsia="仿宋_GB2312"/>
              </w:rPr>
              <w:t>供应商针对本项目提供外业调查方案，包括但不限于：①调查样点布设方法与原则；②外业调查内容与工作流程；③数据采集与质量控制措施。每有一项缺项扣4分，每有一项内容存在缺陷，扣2分。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3、详细评审---外业调查方案.docx</w:t>
            </w:r>
          </w:p>
        </w:tc>
      </w:tr>
      <w:tr>
        <w:tc>
          <w:tcPr>
            <w:tcW w:type="dxa" w:w="831"/>
            <w:vMerge/>
          </w:tcPr>
          <w:p/>
        </w:tc>
        <w:tc>
          <w:tcPr>
            <w:tcW w:type="dxa" w:w="1661"/>
          </w:tcPr>
          <w:p>
            <w:pPr>
              <w:pStyle w:val="null3"/>
            </w:pPr>
            <w:r>
              <w:rPr>
                <w:rFonts w:ascii="仿宋_GB2312" w:hAnsi="仿宋_GB2312" w:cs="仿宋_GB2312" w:eastAsia="仿宋_GB2312"/>
              </w:rPr>
              <w:t>数据库建设方案</w:t>
            </w:r>
          </w:p>
        </w:tc>
        <w:tc>
          <w:tcPr>
            <w:tcW w:type="dxa" w:w="2492"/>
          </w:tcPr>
          <w:p>
            <w:pPr>
              <w:pStyle w:val="null3"/>
            </w:pPr>
            <w:r>
              <w:rPr>
                <w:rFonts w:ascii="仿宋_GB2312" w:hAnsi="仿宋_GB2312" w:cs="仿宋_GB2312" w:eastAsia="仿宋_GB2312"/>
              </w:rPr>
              <w:t>供应商针对本项目提供数据库建设方案，包括但不限于：①定级数据库建设方案；②基准地价数据库建设方案；③数据汇交与成果整合方案。每有一项缺项扣2分，每有一项内容存在缺陷，扣1分。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4、详细评审---数据库建设方案.docx</w:t>
            </w:r>
          </w:p>
        </w:tc>
      </w:tr>
      <w:tr>
        <w:tc>
          <w:tcPr>
            <w:tcW w:type="dxa" w:w="831"/>
            <w:vMerge/>
          </w:tcPr>
          <w:p/>
        </w:tc>
        <w:tc>
          <w:tcPr>
            <w:tcW w:type="dxa" w:w="1661"/>
          </w:tcPr>
          <w:p>
            <w:pPr>
              <w:pStyle w:val="null3"/>
            </w:pPr>
            <w:r>
              <w:rPr>
                <w:rFonts w:ascii="仿宋_GB2312" w:hAnsi="仿宋_GB2312" w:cs="仿宋_GB2312" w:eastAsia="仿宋_GB2312"/>
              </w:rPr>
              <w:t>进度计划与保障方案</w:t>
            </w:r>
          </w:p>
        </w:tc>
        <w:tc>
          <w:tcPr>
            <w:tcW w:type="dxa" w:w="2492"/>
          </w:tcPr>
          <w:p>
            <w:pPr>
              <w:pStyle w:val="null3"/>
            </w:pPr>
            <w:r>
              <w:rPr>
                <w:rFonts w:ascii="仿宋_GB2312" w:hAnsi="仿宋_GB2312" w:cs="仿宋_GB2312" w:eastAsia="仿宋_GB2312"/>
              </w:rPr>
              <w:t>供应商针对本项目的进度计划与保障方案，包括：①计划及进度安排、②进度保障措施及承诺；满分4分。每有一项缺项扣2分，每有一项内容存在缺陷，扣1分。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5、详细评审---进度计划与保障方案.docx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供应商针对本项目的质量保证措施，包括：①质量保证体系说明；②质量管理制度说明；③成果审查汇交流程说明；④数据质量控制措施方案。每提供一项完整内容得3分，不完整得1.5分，不提供不得分。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6、详细评审---质量保证措施.docx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1、拟派项目负责人具有土地管理/测绘/地理信息相关专业高级职称得5分；具有土地管理/测绘/地理信息相关专业中级职称的，得3分； 2、拟配备的项目组成员（除项目负责人外）： 具有土地管理/测绘/地理信息相关专业中级及以上职称的,每有一人得1分；本项最多得6分。 注：1.2项须提供证书复印件及供应商为其缴纳的近三个月任意一个月的社保证明或劳动合同。不提供不得分。 提供拟派本项目团队人员，包括：①人员名单、分工明确及工作职责划分合理，②配备数量、工作经验等方面满足项目需求。满分4分。每小项有一项缺项扣2分，每小项内容存在缺陷，扣1分。 备注：本文所称“缺陷”是指内容缺项、不完整或缺少关键点；非专门针对本项目或不适用本项目特性、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7、详细评审---项目团队人员.docx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的售后服务方案，包括：①售后服务体系说明；②服务响应机制说明（含响应时间、现场服务安排、沟通协调能力等）；③后续技术服务承诺；④配合验收方案承诺。每提供一份说明或承诺计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提供供应商2023年1月1日至今(以合同签订日期为准)同类项目业绩合同，每份计2分，满分10分。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详见附件：1、详细评审---项目理解.docx</w:t>
      </w:r>
    </w:p>
    <w:p>
      <w:pPr>
        <w:pStyle w:val="null3"/>
        <w:ind w:firstLine="960"/>
      </w:pPr>
      <w:r>
        <w:rPr>
          <w:rFonts w:ascii="仿宋_GB2312" w:hAnsi="仿宋_GB2312" w:cs="仿宋_GB2312" w:eastAsia="仿宋_GB2312"/>
        </w:rPr>
        <w:t>详见附件：2、详细评审---技术路线与方法.docx</w:t>
      </w:r>
    </w:p>
    <w:p>
      <w:pPr>
        <w:pStyle w:val="null3"/>
        <w:ind w:firstLine="960"/>
      </w:pPr>
      <w:r>
        <w:rPr>
          <w:rFonts w:ascii="仿宋_GB2312" w:hAnsi="仿宋_GB2312" w:cs="仿宋_GB2312" w:eastAsia="仿宋_GB2312"/>
        </w:rPr>
        <w:t>详见附件：3、详细评审---外业调查与土壤采样方案.docx</w:t>
      </w:r>
    </w:p>
    <w:p>
      <w:pPr>
        <w:pStyle w:val="null3"/>
        <w:ind w:firstLine="960"/>
      </w:pPr>
      <w:r>
        <w:rPr>
          <w:rFonts w:ascii="仿宋_GB2312" w:hAnsi="仿宋_GB2312" w:cs="仿宋_GB2312" w:eastAsia="仿宋_GB2312"/>
        </w:rPr>
        <w:t>详见附件：4、详细评审---成果交付方案.docx</w:t>
      </w:r>
    </w:p>
    <w:p>
      <w:pPr>
        <w:pStyle w:val="null3"/>
        <w:ind w:firstLine="960"/>
      </w:pPr>
      <w:r>
        <w:rPr>
          <w:rFonts w:ascii="仿宋_GB2312" w:hAnsi="仿宋_GB2312" w:cs="仿宋_GB2312" w:eastAsia="仿宋_GB2312"/>
        </w:rPr>
        <w:t>详见附件：5、详细评审---进度计划与保障方案.docx</w:t>
      </w:r>
    </w:p>
    <w:p>
      <w:pPr>
        <w:pStyle w:val="null3"/>
        <w:ind w:firstLine="960"/>
      </w:pPr>
      <w:r>
        <w:rPr>
          <w:rFonts w:ascii="仿宋_GB2312" w:hAnsi="仿宋_GB2312" w:cs="仿宋_GB2312" w:eastAsia="仿宋_GB2312"/>
        </w:rPr>
        <w:t>详见附件：6、详细评审---质量保证措施.docx</w:t>
      </w:r>
    </w:p>
    <w:p>
      <w:pPr>
        <w:pStyle w:val="null3"/>
        <w:ind w:firstLine="960"/>
      </w:pPr>
      <w:r>
        <w:rPr>
          <w:rFonts w:ascii="仿宋_GB2312" w:hAnsi="仿宋_GB2312" w:cs="仿宋_GB2312" w:eastAsia="仿宋_GB2312"/>
        </w:rPr>
        <w:t>详见附件：7、详细评审---项目团队人员.docx</w:t>
      </w:r>
    </w:p>
    <w:p>
      <w:pPr>
        <w:pStyle w:val="null3"/>
        <w:ind w:firstLine="960"/>
      </w:pPr>
      <w:r>
        <w:rPr>
          <w:rFonts w:ascii="仿宋_GB2312" w:hAnsi="仿宋_GB2312" w:cs="仿宋_GB2312" w:eastAsia="仿宋_GB2312"/>
        </w:rPr>
        <w:t>详见附件：8、详细评审---售后服务方案.docx</w:t>
      </w:r>
    </w:p>
    <w:p>
      <w:pPr>
        <w:pStyle w:val="null3"/>
        <w:ind w:firstLine="960"/>
      </w:pPr>
      <w:r>
        <w:rPr>
          <w:rFonts w:ascii="仿宋_GB2312" w:hAnsi="仿宋_GB2312" w:cs="仿宋_GB2312" w:eastAsia="仿宋_GB2312"/>
        </w:rPr>
        <w:t>详见附件：9、详细评审---业绩.docx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详见附件：1、详细评审---项目理解.docx</w:t>
      </w:r>
    </w:p>
    <w:p>
      <w:pPr>
        <w:pStyle w:val="null3"/>
        <w:ind w:firstLine="960"/>
      </w:pPr>
      <w:r>
        <w:rPr>
          <w:rFonts w:ascii="仿宋_GB2312" w:hAnsi="仿宋_GB2312" w:cs="仿宋_GB2312" w:eastAsia="仿宋_GB2312"/>
        </w:rPr>
        <w:t>详见附件：2、详细评审---技术服务方案.docx</w:t>
      </w:r>
    </w:p>
    <w:p>
      <w:pPr>
        <w:pStyle w:val="null3"/>
        <w:ind w:firstLine="960"/>
      </w:pPr>
      <w:r>
        <w:rPr>
          <w:rFonts w:ascii="仿宋_GB2312" w:hAnsi="仿宋_GB2312" w:cs="仿宋_GB2312" w:eastAsia="仿宋_GB2312"/>
        </w:rPr>
        <w:t>详见附件：3、详细评审---外业调查方案.docx</w:t>
      </w:r>
    </w:p>
    <w:p>
      <w:pPr>
        <w:pStyle w:val="null3"/>
        <w:ind w:firstLine="960"/>
      </w:pPr>
      <w:r>
        <w:rPr>
          <w:rFonts w:ascii="仿宋_GB2312" w:hAnsi="仿宋_GB2312" w:cs="仿宋_GB2312" w:eastAsia="仿宋_GB2312"/>
        </w:rPr>
        <w:t>详见附件：4、详细评审---数据库建设方案.docx</w:t>
      </w:r>
    </w:p>
    <w:p>
      <w:pPr>
        <w:pStyle w:val="null3"/>
        <w:ind w:firstLine="960"/>
      </w:pPr>
      <w:r>
        <w:rPr>
          <w:rFonts w:ascii="仿宋_GB2312" w:hAnsi="仿宋_GB2312" w:cs="仿宋_GB2312" w:eastAsia="仿宋_GB2312"/>
        </w:rPr>
        <w:t>详见附件：5、详细评审---进度计划与保障方案.docx</w:t>
      </w:r>
    </w:p>
    <w:p>
      <w:pPr>
        <w:pStyle w:val="null3"/>
        <w:ind w:firstLine="960"/>
      </w:pPr>
      <w:r>
        <w:rPr>
          <w:rFonts w:ascii="仿宋_GB2312" w:hAnsi="仿宋_GB2312" w:cs="仿宋_GB2312" w:eastAsia="仿宋_GB2312"/>
        </w:rPr>
        <w:t>详见附件：6、详细评审---质量保证措施.docx</w:t>
      </w:r>
    </w:p>
    <w:p>
      <w:pPr>
        <w:pStyle w:val="null3"/>
        <w:ind w:firstLine="960"/>
      </w:pPr>
      <w:r>
        <w:rPr>
          <w:rFonts w:ascii="仿宋_GB2312" w:hAnsi="仿宋_GB2312" w:cs="仿宋_GB2312" w:eastAsia="仿宋_GB2312"/>
        </w:rPr>
        <w:t>详见附件：7、详细评审---项目团队人员.docx</w:t>
      </w:r>
    </w:p>
    <w:p>
      <w:pPr>
        <w:pStyle w:val="null3"/>
        <w:ind w:firstLine="960"/>
      </w:pPr>
      <w:r>
        <w:rPr>
          <w:rFonts w:ascii="仿宋_GB2312" w:hAnsi="仿宋_GB2312" w:cs="仿宋_GB2312" w:eastAsia="仿宋_GB2312"/>
        </w:rPr>
        <w:t>详见附件：8、详细评审---售后服务方案.docx</w:t>
      </w:r>
    </w:p>
    <w:p>
      <w:pPr>
        <w:pStyle w:val="null3"/>
        <w:ind w:firstLine="960"/>
      </w:pPr>
      <w:r>
        <w:rPr>
          <w:rFonts w:ascii="仿宋_GB2312" w:hAnsi="仿宋_GB2312" w:cs="仿宋_GB2312" w:eastAsia="仿宋_GB2312"/>
        </w:rPr>
        <w:t>详见附件：9、详细评审---业绩.docx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