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3F961">
      <w:pPr>
        <w:spacing w:before="156" w:beforeLines="50" w:after="156" w:afterLines="50" w:line="360" w:lineRule="auto"/>
        <w:jc w:val="center"/>
        <w:rPr>
          <w:rFonts w:hint="eastAsia" w:ascii="仿宋" w:hAnsi="仿宋" w:eastAsia="仿宋" w:cs="仿宋"/>
          <w:b/>
          <w:szCs w:val="32"/>
          <w:highlight w:val="none"/>
        </w:rPr>
      </w:pPr>
      <w:r>
        <w:rPr>
          <w:rFonts w:hint="eastAsia" w:ascii="仿宋" w:hAnsi="仿宋" w:eastAsia="仿宋" w:cs="仿宋"/>
          <w:b/>
          <w:szCs w:val="32"/>
          <w:highlight w:val="none"/>
          <w:lang w:val="en-US" w:eastAsia="zh-CN"/>
        </w:rPr>
        <w:t>采购包1</w:t>
      </w:r>
      <w:r>
        <w:rPr>
          <w:rFonts w:hint="eastAsia" w:ascii="仿宋" w:hAnsi="仿宋" w:eastAsia="仿宋" w:cs="仿宋"/>
          <w:b/>
          <w:szCs w:val="32"/>
          <w:highlight w:val="none"/>
        </w:rPr>
        <w:t>(本合同仅供参考 具体以双方签订为准）</w:t>
      </w:r>
    </w:p>
    <w:p w14:paraId="5074C8C9">
      <w:pPr>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sz w:val="28"/>
          <w:szCs w:val="28"/>
          <w:highlight w:val="none"/>
        </w:rPr>
      </w:pPr>
      <w:bookmarkStart w:id="0" w:name="_Toc30119"/>
      <w:r>
        <w:rPr>
          <w:rFonts w:hint="eastAsia" w:ascii="宋体" w:hAnsi="宋体" w:eastAsia="宋体" w:cs="宋体"/>
          <w:b/>
          <w:bCs/>
          <w:color w:val="000000"/>
          <w:sz w:val="28"/>
          <w:szCs w:val="28"/>
          <w:highlight w:val="none"/>
        </w:rPr>
        <w:t>政府采购合同条款</w:t>
      </w:r>
      <w:bookmarkEnd w:id="0"/>
    </w:p>
    <w:p w14:paraId="0604DA2D">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（本格式条款供采购人和</w:t>
      </w:r>
      <w:r>
        <w:rPr>
          <w:rFonts w:hint="eastAsia" w:ascii="宋体" w:hAnsi="宋体" w:eastAsia="宋体" w:cs="宋体"/>
          <w:color w:val="000000"/>
          <w:sz w:val="22"/>
          <w:szCs w:val="22"/>
          <w:highlight w:val="none"/>
          <w:lang w:val="en-US" w:eastAsia="zh-CN"/>
        </w:rPr>
        <w:t>中标</w:t>
      </w:r>
      <w:r>
        <w:rPr>
          <w:rFonts w:hint="eastAsia" w:ascii="宋体" w:hAnsi="宋体" w:eastAsia="宋体" w:cs="宋体"/>
          <w:color w:val="000000"/>
          <w:sz w:val="22"/>
          <w:szCs w:val="22"/>
          <w:highlight w:val="none"/>
        </w:rPr>
        <w:t>供应商双方签订合同参考，最终以采购人实际签订的合同为准）</w:t>
      </w:r>
    </w:p>
    <w:p w14:paraId="750998B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zh-CN"/>
        </w:rPr>
        <w:t xml:space="preserve">合同编号：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rPr>
        <w:t xml:space="preserve">                              </w:t>
      </w:r>
    </w:p>
    <w:p w14:paraId="618A212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lang w:val="zh-CN"/>
        </w:rPr>
        <w:t>签订时间：</w:t>
      </w:r>
      <w:r>
        <w:rPr>
          <w:rFonts w:hint="eastAsia" w:ascii="宋体" w:hAnsi="宋体" w:eastAsia="宋体" w:cs="宋体"/>
          <w:color w:val="000000"/>
          <w:sz w:val="22"/>
          <w:szCs w:val="22"/>
          <w:highlight w:val="none"/>
        </w:rPr>
        <w:t xml:space="preserve">                               </w:t>
      </w:r>
    </w:p>
    <w:p w14:paraId="0F57E35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zh-CN"/>
        </w:rPr>
        <w:t>采购人：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（甲方）</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rPr>
        <w:t xml:space="preserve">                       </w:t>
      </w:r>
    </w:p>
    <w:p w14:paraId="6BBA819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zh-CN"/>
        </w:rPr>
        <w:t>供应商：</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（乙方）</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p>
    <w:p w14:paraId="04539C97">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000000"/>
          <w:sz w:val="22"/>
          <w:szCs w:val="22"/>
          <w:highlight w:val="none"/>
          <w:lang w:val="zh-CN"/>
        </w:rPr>
        <w:t>根据《中华人民共和国政府采购法》及实施条例、《中华人民共和国</w:t>
      </w:r>
      <w:r>
        <w:rPr>
          <w:rFonts w:hint="eastAsia" w:ascii="宋体" w:hAnsi="宋体" w:eastAsia="宋体" w:cs="宋体"/>
          <w:color w:val="000000"/>
          <w:sz w:val="22"/>
          <w:szCs w:val="22"/>
          <w:highlight w:val="none"/>
        </w:rPr>
        <w:t>民法典</w:t>
      </w:r>
      <w:r>
        <w:rPr>
          <w:rFonts w:hint="eastAsia" w:ascii="宋体" w:hAnsi="宋体" w:eastAsia="宋体" w:cs="宋体"/>
          <w:color w:val="000000"/>
          <w:sz w:val="22"/>
          <w:szCs w:val="22"/>
          <w:highlight w:val="none"/>
          <w:lang w:val="zh-CN"/>
        </w:rPr>
        <w:t>》和</w:t>
      </w:r>
      <w:r>
        <w:rPr>
          <w:rFonts w:hint="eastAsia" w:ascii="宋体" w:hAnsi="宋体" w:eastAsia="宋体" w:cs="宋体"/>
          <w:color w:val="000000"/>
          <w:sz w:val="22"/>
          <w:szCs w:val="22"/>
          <w:highlight w:val="none"/>
          <w:u w:val="single"/>
          <w:lang w:eastAsia="zh-CN"/>
        </w:rPr>
        <w:t>（</w:t>
      </w:r>
      <w:r>
        <w:rPr>
          <w:rFonts w:hint="eastAsia" w:ascii="宋体" w:hAnsi="宋体" w:eastAsia="宋体" w:cs="宋体"/>
          <w:color w:val="000000"/>
          <w:sz w:val="22"/>
          <w:szCs w:val="22"/>
          <w:highlight w:val="none"/>
          <w:u w:val="single"/>
          <w:lang w:val="en-US" w:eastAsia="zh-CN"/>
        </w:rPr>
        <w:t>项目名称</w:t>
      </w:r>
      <w:r>
        <w:rPr>
          <w:rFonts w:hint="eastAsia" w:ascii="宋体" w:hAnsi="宋体" w:eastAsia="宋体" w:cs="宋体"/>
          <w:color w:val="000000"/>
          <w:sz w:val="22"/>
          <w:szCs w:val="22"/>
          <w:highlight w:val="none"/>
          <w:u w:val="single"/>
          <w:lang w:eastAsia="zh-CN"/>
        </w:rPr>
        <w:t>）</w:t>
      </w:r>
      <w:r>
        <w:rPr>
          <w:rFonts w:hint="eastAsia" w:ascii="宋体" w:hAnsi="宋体" w:eastAsia="宋体" w:cs="宋体"/>
          <w:color w:val="000000"/>
          <w:sz w:val="22"/>
          <w:szCs w:val="22"/>
          <w:highlight w:val="none"/>
          <w:u w:val="single"/>
          <w:lang w:val="zh-CN"/>
        </w:rPr>
        <w:t xml:space="preserve">（项目编号：          </w:t>
      </w:r>
      <w:r>
        <w:rPr>
          <w:rFonts w:hint="eastAsia" w:ascii="宋体" w:hAnsi="宋体" w:eastAsia="宋体" w:cs="宋体"/>
          <w:color w:val="000000"/>
          <w:sz w:val="22"/>
          <w:szCs w:val="22"/>
          <w:highlight w:val="none"/>
          <w:lang w:val="zh-CN"/>
        </w:rPr>
        <w:t>）的</w:t>
      </w:r>
      <w:r>
        <w:rPr>
          <w:rFonts w:hint="eastAsia" w:ascii="宋体" w:hAnsi="宋体" w:eastAsia="宋体" w:cs="宋体"/>
          <w:color w:val="000000"/>
          <w:sz w:val="22"/>
          <w:szCs w:val="22"/>
          <w:highlight w:val="none"/>
        </w:rPr>
        <w:t>招标</w:t>
      </w:r>
      <w:r>
        <w:rPr>
          <w:rFonts w:hint="eastAsia" w:ascii="宋体" w:hAnsi="宋体" w:eastAsia="宋体" w:cs="宋体"/>
          <w:color w:val="000000"/>
          <w:sz w:val="22"/>
          <w:szCs w:val="22"/>
          <w:highlight w:val="none"/>
          <w:lang w:val="zh-CN"/>
        </w:rPr>
        <w:t>文件、</w:t>
      </w:r>
      <w:r>
        <w:rPr>
          <w:rFonts w:hint="eastAsia" w:ascii="宋体" w:hAnsi="宋体" w:eastAsia="宋体" w:cs="宋体"/>
          <w:color w:val="000000"/>
          <w:sz w:val="22"/>
          <w:szCs w:val="22"/>
          <w:highlight w:val="none"/>
        </w:rPr>
        <w:t>投标</w:t>
      </w:r>
      <w:r>
        <w:rPr>
          <w:rFonts w:hint="eastAsia" w:ascii="宋体" w:hAnsi="宋体" w:eastAsia="宋体" w:cs="宋体"/>
          <w:color w:val="000000"/>
          <w:sz w:val="22"/>
          <w:szCs w:val="22"/>
          <w:highlight w:val="none"/>
          <w:lang w:val="zh-CN"/>
        </w:rPr>
        <w:t>文件等有关规定，为确保甲方采购项目的顺利实施，甲、乙双方在平等自愿原则下签订本合同，并共同遵守如下条款：</w:t>
      </w:r>
    </w:p>
    <w:p w14:paraId="53A651B1">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一、项目概况</w:t>
      </w:r>
    </w:p>
    <w:p w14:paraId="40A92251">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388B3EE8">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项目地点：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5F59B33B">
      <w:pPr>
        <w:pageBreakBefore w:val="0"/>
        <w:widowControl w:val="0"/>
        <w:kinsoku/>
        <w:wordWrap/>
        <w:overflowPunct/>
        <w:topLinePunct w:val="0"/>
        <w:bidi w:val="0"/>
        <w:adjustRightInd w:val="0"/>
        <w:snapToGrid w:val="0"/>
        <w:spacing w:line="360" w:lineRule="auto"/>
        <w:ind w:firstLine="435" w:firstLineChars="198"/>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采购清单及数量：</w:t>
      </w:r>
    </w:p>
    <w:tbl>
      <w:tblPr>
        <w:tblStyle w:val="4"/>
        <w:tblW w:w="505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 w:type="dxa"/>
          <w:bottom w:w="0" w:type="dxa"/>
          <w:right w:w="10" w:type="dxa"/>
        </w:tblCellMar>
      </w:tblPr>
      <w:tblGrid>
        <w:gridCol w:w="692"/>
        <w:gridCol w:w="1287"/>
        <w:gridCol w:w="1765"/>
        <w:gridCol w:w="1100"/>
        <w:gridCol w:w="1073"/>
        <w:gridCol w:w="1140"/>
        <w:gridCol w:w="1364"/>
      </w:tblGrid>
      <w:tr w14:paraId="337336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12" w:space="0"/>
              <w:left w:val="single" w:color="auto" w:sz="12" w:space="0"/>
              <w:bottom w:val="single" w:color="auto" w:sz="4" w:space="0"/>
              <w:right w:val="single" w:color="auto" w:sz="4" w:space="0"/>
            </w:tcBorders>
            <w:noWrap w:val="0"/>
            <w:vAlign w:val="top"/>
          </w:tcPr>
          <w:p w14:paraId="784C6F4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序号</w:t>
            </w:r>
          </w:p>
        </w:tc>
        <w:tc>
          <w:tcPr>
            <w:tcW w:w="764" w:type="pct"/>
            <w:tcBorders>
              <w:top w:val="single" w:color="auto" w:sz="12" w:space="0"/>
              <w:left w:val="single" w:color="auto" w:sz="4" w:space="0"/>
              <w:bottom w:val="single" w:color="auto" w:sz="4" w:space="0"/>
              <w:right w:val="single" w:color="auto" w:sz="4" w:space="0"/>
            </w:tcBorders>
            <w:noWrap w:val="0"/>
            <w:vAlign w:val="top"/>
          </w:tcPr>
          <w:p w14:paraId="73ECD9A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设备名称</w:t>
            </w:r>
          </w:p>
        </w:tc>
        <w:tc>
          <w:tcPr>
            <w:tcW w:w="1048" w:type="pct"/>
            <w:tcBorders>
              <w:top w:val="single" w:color="auto" w:sz="12" w:space="0"/>
              <w:left w:val="single" w:color="auto" w:sz="4" w:space="0"/>
              <w:bottom w:val="single" w:color="auto" w:sz="4" w:space="0"/>
              <w:right w:val="single" w:color="auto" w:sz="4" w:space="0"/>
            </w:tcBorders>
            <w:noWrap w:val="0"/>
            <w:vAlign w:val="top"/>
          </w:tcPr>
          <w:p w14:paraId="7245E58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品牌和规格型号</w:t>
            </w:r>
          </w:p>
        </w:tc>
        <w:tc>
          <w:tcPr>
            <w:tcW w:w="653" w:type="pct"/>
            <w:tcBorders>
              <w:top w:val="single" w:color="auto" w:sz="12" w:space="0"/>
              <w:left w:val="single" w:color="auto" w:sz="4" w:space="0"/>
              <w:bottom w:val="single" w:color="auto" w:sz="4" w:space="0"/>
              <w:right w:val="single" w:color="auto" w:sz="4" w:space="0"/>
            </w:tcBorders>
            <w:noWrap w:val="0"/>
            <w:vAlign w:val="top"/>
          </w:tcPr>
          <w:p w14:paraId="213050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制造商</w:t>
            </w:r>
          </w:p>
        </w:tc>
        <w:tc>
          <w:tcPr>
            <w:tcW w:w="637" w:type="pct"/>
            <w:tcBorders>
              <w:top w:val="single" w:color="auto" w:sz="12" w:space="0"/>
              <w:left w:val="single" w:color="auto" w:sz="4" w:space="0"/>
              <w:bottom w:val="single" w:color="auto" w:sz="4" w:space="0"/>
              <w:right w:val="single" w:color="auto" w:sz="4" w:space="0"/>
            </w:tcBorders>
            <w:noWrap w:val="0"/>
            <w:vAlign w:val="top"/>
          </w:tcPr>
          <w:p w14:paraId="0BBC2E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数量</w:t>
            </w:r>
          </w:p>
        </w:tc>
        <w:tc>
          <w:tcPr>
            <w:tcW w:w="677" w:type="pct"/>
            <w:tcBorders>
              <w:top w:val="single" w:color="auto" w:sz="12" w:space="0"/>
              <w:left w:val="single" w:color="auto" w:sz="4" w:space="0"/>
              <w:bottom w:val="single" w:color="auto" w:sz="4" w:space="0"/>
              <w:right w:val="single" w:color="auto" w:sz="4" w:space="0"/>
            </w:tcBorders>
            <w:noWrap w:val="0"/>
            <w:vAlign w:val="top"/>
          </w:tcPr>
          <w:p w14:paraId="64C3E00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所报</w:t>
            </w:r>
            <w:r>
              <w:rPr>
                <w:rFonts w:hint="eastAsia" w:ascii="宋体" w:hAnsi="宋体" w:eastAsia="宋体" w:cs="宋体"/>
                <w:sz w:val="22"/>
                <w:szCs w:val="22"/>
                <w:highlight w:val="none"/>
              </w:rPr>
              <w:t>单价</w:t>
            </w:r>
          </w:p>
        </w:tc>
        <w:tc>
          <w:tcPr>
            <w:tcW w:w="807" w:type="pct"/>
            <w:tcBorders>
              <w:top w:val="single" w:color="auto" w:sz="12" w:space="0"/>
              <w:left w:val="single" w:color="auto" w:sz="4" w:space="0"/>
              <w:bottom w:val="single" w:color="auto" w:sz="4" w:space="0"/>
              <w:right w:val="single" w:color="auto" w:sz="12" w:space="0"/>
            </w:tcBorders>
            <w:noWrap w:val="0"/>
            <w:vAlign w:val="top"/>
          </w:tcPr>
          <w:p w14:paraId="3DFE0D9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合计</w:t>
            </w:r>
          </w:p>
        </w:tc>
      </w:tr>
      <w:tr w14:paraId="250E6C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5809885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5E38FBF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41EF2D5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530E1AA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581F548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7E10B459">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16B74C4F">
            <w:pPr>
              <w:spacing w:line="360" w:lineRule="auto"/>
              <w:jc w:val="center"/>
              <w:rPr>
                <w:rFonts w:hint="eastAsia" w:ascii="宋体" w:hAnsi="宋体" w:eastAsia="宋体" w:cs="宋体"/>
                <w:b w:val="0"/>
                <w:bCs w:val="0"/>
                <w:color w:val="000000"/>
                <w:sz w:val="22"/>
                <w:szCs w:val="22"/>
              </w:rPr>
            </w:pPr>
          </w:p>
        </w:tc>
      </w:tr>
      <w:tr w14:paraId="7B09B2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78E3C5A2">
            <w:pPr>
              <w:spacing w:line="360" w:lineRule="auto"/>
              <w:jc w:val="center"/>
              <w:rPr>
                <w:rFonts w:hint="eastAsia" w:ascii="宋体" w:hAnsi="宋体" w:eastAsia="宋体" w:cs="宋体"/>
                <w:b w:val="0"/>
                <w:bCs w:val="0"/>
                <w:color w:val="000000"/>
                <w:sz w:val="22"/>
                <w:szCs w:val="22"/>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36F4596E">
            <w:pPr>
              <w:spacing w:line="360" w:lineRule="auto"/>
              <w:jc w:val="center"/>
              <w:rPr>
                <w:rFonts w:hint="eastAsia" w:ascii="宋体" w:hAnsi="宋体" w:eastAsia="宋体" w:cs="宋体"/>
                <w:b w:val="0"/>
                <w:bCs w:val="0"/>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352313EA">
            <w:pPr>
              <w:spacing w:line="360" w:lineRule="auto"/>
              <w:jc w:val="center"/>
              <w:rPr>
                <w:rFonts w:hint="eastAsia" w:ascii="宋体" w:hAnsi="宋体" w:eastAsia="宋体" w:cs="宋体"/>
                <w:b w:val="0"/>
                <w:bCs w:val="0"/>
                <w:color w:val="000000"/>
                <w:sz w:val="22"/>
                <w:szCs w:val="22"/>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45F0EDED">
            <w:pPr>
              <w:spacing w:line="360" w:lineRule="auto"/>
              <w:jc w:val="center"/>
              <w:rPr>
                <w:rFonts w:hint="eastAsia" w:ascii="宋体" w:hAnsi="宋体" w:eastAsia="宋体" w:cs="宋体"/>
                <w:b w:val="0"/>
                <w:bCs w:val="0"/>
                <w:color w:val="000000"/>
                <w:sz w:val="22"/>
                <w:szCs w:val="22"/>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58CAB7E8">
            <w:pPr>
              <w:spacing w:line="360" w:lineRule="auto"/>
              <w:jc w:val="center"/>
              <w:rPr>
                <w:rFonts w:hint="eastAsia" w:ascii="宋体" w:hAnsi="宋体" w:eastAsia="宋体" w:cs="宋体"/>
                <w:b w:val="0"/>
                <w:bCs w:val="0"/>
                <w:color w:val="000000"/>
                <w:sz w:val="22"/>
                <w:szCs w:val="22"/>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62470289">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6FADD8AF">
            <w:pPr>
              <w:spacing w:line="360" w:lineRule="auto"/>
              <w:jc w:val="center"/>
              <w:rPr>
                <w:rFonts w:hint="eastAsia" w:ascii="宋体" w:hAnsi="宋体" w:eastAsia="宋体" w:cs="宋体"/>
                <w:b w:val="0"/>
                <w:bCs w:val="0"/>
                <w:color w:val="000000"/>
                <w:sz w:val="22"/>
                <w:szCs w:val="22"/>
              </w:rPr>
            </w:pPr>
          </w:p>
        </w:tc>
      </w:tr>
      <w:tr w14:paraId="1F5F65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6FE1D5FF">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414E3E03">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65872468">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5C3CC21C">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6C64659C">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54910A83">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4AF22590">
            <w:pPr>
              <w:spacing w:line="360" w:lineRule="auto"/>
              <w:jc w:val="center"/>
              <w:rPr>
                <w:rFonts w:hint="eastAsia" w:ascii="宋体" w:hAnsi="宋体" w:eastAsia="宋体" w:cs="宋体"/>
                <w:color w:val="000000"/>
                <w:sz w:val="22"/>
                <w:szCs w:val="22"/>
              </w:rPr>
            </w:pPr>
          </w:p>
        </w:tc>
      </w:tr>
      <w:tr w14:paraId="6A2C4F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02865216">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463239DE">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5FB16D3A">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5A6A55D3">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4E336893">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182BC238">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558136BE">
            <w:pPr>
              <w:spacing w:line="360" w:lineRule="auto"/>
              <w:jc w:val="center"/>
              <w:rPr>
                <w:rFonts w:hint="eastAsia" w:ascii="宋体" w:hAnsi="宋体" w:eastAsia="宋体" w:cs="宋体"/>
                <w:color w:val="000000"/>
                <w:sz w:val="22"/>
                <w:szCs w:val="22"/>
              </w:rPr>
            </w:pPr>
          </w:p>
        </w:tc>
      </w:tr>
      <w:tr w14:paraId="61AE06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1175" w:type="pct"/>
            <w:gridSpan w:val="2"/>
            <w:tcBorders>
              <w:top w:val="single" w:color="auto" w:sz="4" w:space="0"/>
              <w:left w:val="single" w:color="auto" w:sz="12" w:space="0"/>
              <w:bottom w:val="single" w:color="auto" w:sz="12" w:space="0"/>
              <w:right w:val="single" w:color="auto" w:sz="4" w:space="0"/>
            </w:tcBorders>
            <w:noWrap w:val="0"/>
            <w:vAlign w:val="top"/>
          </w:tcPr>
          <w:p w14:paraId="712EB4E1">
            <w:pPr>
              <w:spacing w:line="360" w:lineRule="auto"/>
              <w:jc w:val="center"/>
              <w:rPr>
                <w:rFonts w:hint="eastAsia" w:ascii="宋体" w:hAnsi="宋体" w:eastAsia="宋体" w:cs="宋体"/>
                <w:sz w:val="22"/>
                <w:szCs w:val="22"/>
              </w:rPr>
            </w:pPr>
            <w:r>
              <w:rPr>
                <w:rFonts w:hint="eastAsia" w:ascii="宋体" w:hAnsi="宋体" w:eastAsia="宋体" w:cs="宋体"/>
                <w:sz w:val="22"/>
                <w:szCs w:val="22"/>
              </w:rPr>
              <w:t>总价</w:t>
            </w:r>
          </w:p>
        </w:tc>
        <w:tc>
          <w:tcPr>
            <w:tcW w:w="3824" w:type="pct"/>
            <w:gridSpan w:val="5"/>
            <w:tcBorders>
              <w:top w:val="single" w:color="auto" w:sz="4" w:space="0"/>
              <w:left w:val="single" w:color="auto" w:sz="4" w:space="0"/>
              <w:bottom w:val="single" w:color="auto" w:sz="12" w:space="0"/>
              <w:right w:val="single" w:color="auto" w:sz="12" w:space="0"/>
            </w:tcBorders>
            <w:noWrap w:val="0"/>
            <w:vAlign w:val="top"/>
          </w:tcPr>
          <w:p w14:paraId="3034072B">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rPr>
              <w:t>大写</w:t>
            </w:r>
            <w:r>
              <w:rPr>
                <w:rFonts w:hint="eastAsia" w:ascii="宋体" w:hAnsi="宋体" w:eastAsia="宋体" w:cs="宋体"/>
                <w:sz w:val="22"/>
                <w:szCs w:val="22"/>
                <w:lang w:eastAsia="zh-CN"/>
              </w:rPr>
              <w:t>：</w:t>
            </w:r>
          </w:p>
          <w:p w14:paraId="1ECC5387">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小写：</w:t>
            </w:r>
          </w:p>
        </w:tc>
      </w:tr>
    </w:tbl>
    <w:p w14:paraId="10AA2525">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rPr>
        <w:t>二、</w:t>
      </w:r>
      <w:r>
        <w:rPr>
          <w:rFonts w:hint="eastAsia" w:ascii="宋体" w:hAnsi="宋体" w:eastAsia="宋体" w:cs="宋体"/>
          <w:b/>
          <w:bCs/>
          <w:color w:val="000000"/>
          <w:sz w:val="22"/>
          <w:szCs w:val="22"/>
          <w:highlight w:val="none"/>
          <w:lang w:val="en-US" w:eastAsia="zh-CN"/>
        </w:rPr>
        <w:t>交货（包含安装调试）</w:t>
      </w: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供货</w:t>
      </w:r>
      <w:r>
        <w:rPr>
          <w:rFonts w:hint="eastAsia" w:ascii="宋体" w:hAnsi="宋体" w:eastAsia="宋体" w:cs="宋体"/>
          <w:b/>
          <w:color w:val="auto"/>
          <w:sz w:val="22"/>
          <w:szCs w:val="22"/>
          <w:highlight w:val="none"/>
        </w:rPr>
        <w:t>期</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lang w:val="en-US" w:eastAsia="zh-CN"/>
        </w:rPr>
        <w:t>质保期</w:t>
      </w:r>
    </w:p>
    <w:p w14:paraId="197D4764">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交货地点：</w:t>
      </w:r>
      <w:r>
        <w:rPr>
          <w:rFonts w:hint="eastAsia" w:ascii="宋体" w:hAnsi="宋体" w:eastAsia="宋体" w:cs="宋体"/>
          <w:color w:val="auto"/>
          <w:sz w:val="22"/>
          <w:szCs w:val="22"/>
          <w:highlight w:val="none"/>
          <w:u w:val="single"/>
          <w:lang w:val="en-US" w:eastAsia="zh-CN"/>
        </w:rPr>
        <w:t xml:space="preserve"> 采购人指定地点 </w:t>
      </w:r>
      <w:r>
        <w:rPr>
          <w:rFonts w:hint="eastAsia" w:ascii="宋体" w:hAnsi="宋体" w:eastAsia="宋体" w:cs="宋体"/>
          <w:color w:val="auto"/>
          <w:sz w:val="22"/>
          <w:szCs w:val="22"/>
          <w:highlight w:val="none"/>
        </w:rPr>
        <w:t>。</w:t>
      </w:r>
    </w:p>
    <w:p w14:paraId="2084EE02">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本合同</w:t>
      </w:r>
      <w:r>
        <w:rPr>
          <w:rFonts w:hint="eastAsia" w:ascii="宋体" w:hAnsi="宋体" w:eastAsia="宋体" w:cs="宋体"/>
          <w:color w:val="auto"/>
          <w:sz w:val="22"/>
          <w:szCs w:val="22"/>
          <w:highlight w:val="none"/>
          <w:lang w:val="en-US" w:eastAsia="zh-CN"/>
        </w:rPr>
        <w:t>交货</w:t>
      </w:r>
      <w:r>
        <w:rPr>
          <w:rFonts w:hint="eastAsia" w:ascii="宋体" w:hAnsi="宋体" w:eastAsia="宋体" w:cs="宋体"/>
          <w:color w:val="auto"/>
          <w:sz w:val="22"/>
          <w:szCs w:val="22"/>
          <w:highlight w:val="none"/>
        </w:rPr>
        <w:t>期限为</w:t>
      </w:r>
      <w:r>
        <w:rPr>
          <w:rFonts w:hint="eastAsia" w:ascii="宋体" w:hAnsi="宋体" w:eastAsia="宋体" w:cs="宋体"/>
          <w:color w:val="auto"/>
          <w:sz w:val="22"/>
          <w:szCs w:val="22"/>
          <w:highlight w:val="none"/>
          <w:lang w:val="en-US" w:eastAsia="zh-CN"/>
        </w:rPr>
        <w:t xml:space="preserve">： </w:t>
      </w:r>
    </w:p>
    <w:p w14:paraId="3B989EDF">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3、质保期：</w:t>
      </w:r>
    </w:p>
    <w:p w14:paraId="1547F9D2">
      <w:pPr>
        <w:pageBreakBefore w:val="0"/>
        <w:widowControl w:val="0"/>
        <w:kinsoku/>
        <w:wordWrap/>
        <w:overflowPunct/>
        <w:topLinePunct w:val="0"/>
        <w:autoSpaceDE w:val="0"/>
        <w:autoSpaceDN w:val="0"/>
        <w:bidi w:val="0"/>
        <w:adjustRightInd w:val="0"/>
        <w:spacing w:line="360" w:lineRule="auto"/>
        <w:ind w:firstLine="442" w:firstLineChars="200"/>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color w:val="auto"/>
          <w:sz w:val="22"/>
          <w:szCs w:val="22"/>
          <w:highlight w:val="none"/>
        </w:rPr>
        <w:t>三、</w:t>
      </w:r>
      <w:r>
        <w:rPr>
          <w:rFonts w:hint="eastAsia" w:ascii="宋体" w:hAnsi="宋体" w:eastAsia="宋体" w:cs="宋体"/>
          <w:b/>
          <w:bCs/>
          <w:color w:val="000000"/>
          <w:sz w:val="22"/>
          <w:szCs w:val="22"/>
          <w:highlight w:val="none"/>
          <w:lang w:val="zh-CN"/>
        </w:rPr>
        <w:t>合同总价款</w:t>
      </w:r>
    </w:p>
    <w:p w14:paraId="7A530BF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000000"/>
          <w:sz w:val="22"/>
          <w:szCs w:val="22"/>
          <w:highlight w:val="none"/>
          <w:lang w:val="zh-CN"/>
        </w:rPr>
        <w:t>1、本合同总价为人民币大写：</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lang w:val="zh-CN"/>
        </w:rPr>
        <w:t>元）。</w:t>
      </w:r>
    </w:p>
    <w:p w14:paraId="257D45A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rPr>
        <w:t>2、</w:t>
      </w:r>
      <w:r>
        <w:rPr>
          <w:rFonts w:hint="eastAsia" w:ascii="宋体" w:hAnsi="宋体" w:eastAsia="宋体" w:cs="宋体"/>
          <w:color w:val="000000"/>
          <w:sz w:val="22"/>
          <w:szCs w:val="22"/>
          <w:highlight w:val="none"/>
          <w:lang w:val="zh-CN"/>
        </w:rPr>
        <w:t>合同总价即成交价，为一次性报价，不受市场价变化或实际工作量变化的影响。合同</w:t>
      </w:r>
      <w:r>
        <w:rPr>
          <w:rFonts w:hint="eastAsia" w:ascii="宋体" w:hAnsi="宋体" w:eastAsia="宋体" w:cs="宋体"/>
          <w:color w:val="000000"/>
          <w:sz w:val="22"/>
          <w:szCs w:val="22"/>
          <w:highlight w:val="none"/>
          <w:lang w:val="zh-CN" w:eastAsia="zh-CN"/>
        </w:rPr>
        <w:t>总价</w:t>
      </w:r>
      <w:r>
        <w:rPr>
          <w:rFonts w:hint="eastAsia" w:ascii="宋体" w:hAnsi="宋体" w:eastAsia="宋体" w:cs="宋体"/>
          <w:color w:val="000000"/>
          <w:sz w:val="22"/>
          <w:szCs w:val="22"/>
          <w:highlight w:val="none"/>
          <w:lang w:val="zh-CN"/>
        </w:rPr>
        <w:t>须是完成招标项目范围等全部工作内容的价格体现，包括本项目涉及的设计、设备价格、税金、运杂费（含仓储费、</w:t>
      </w:r>
      <w:r>
        <w:rPr>
          <w:rFonts w:hint="eastAsia" w:ascii="宋体" w:hAnsi="宋体" w:eastAsia="宋体" w:cs="宋体"/>
          <w:color w:val="000000"/>
          <w:sz w:val="22"/>
          <w:szCs w:val="22"/>
          <w:highlight w:val="none"/>
          <w:lang w:val="zh-CN" w:eastAsia="zh-CN"/>
        </w:rPr>
        <w:t>运输费、</w:t>
      </w:r>
      <w:r>
        <w:rPr>
          <w:rFonts w:hint="eastAsia" w:ascii="宋体" w:hAnsi="宋体" w:eastAsia="宋体" w:cs="宋体"/>
          <w:color w:val="000000"/>
          <w:sz w:val="22"/>
          <w:szCs w:val="22"/>
          <w:highlight w:val="none"/>
          <w:lang w:val="zh-CN"/>
        </w:rPr>
        <w:t>装卸费）、保险费、出厂装箱清单所列易损件、备品备件、与项目相关配套辅助材料及专用工具，安装、调试、技术服务费（含培训、指导）和售后服务等涉及的所有费用以及乙方应交纳的各种政策文件规定的所有费用和所需承担的一切风险的费用。</w:t>
      </w:r>
    </w:p>
    <w:p w14:paraId="560EB50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rPr>
      </w:pPr>
      <w:r>
        <w:rPr>
          <w:rFonts w:hint="eastAsia" w:ascii="宋体" w:hAnsi="宋体" w:eastAsia="宋体" w:cs="宋体"/>
          <w:color w:val="000000"/>
          <w:sz w:val="22"/>
          <w:szCs w:val="22"/>
          <w:highlight w:val="none"/>
          <w:lang w:val="zh-CN"/>
        </w:rPr>
        <w:t>3、本合同执行期间合同总价不变，甲方无须另向乙方支付本合同规定之外的其他任何费用。</w:t>
      </w:r>
    </w:p>
    <w:p w14:paraId="47818C56">
      <w:pPr>
        <w:pageBreakBefore w:val="0"/>
        <w:widowControl w:val="0"/>
        <w:numPr>
          <w:ilvl w:val="0"/>
          <w:numId w:val="0"/>
        </w:numPr>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四、</w:t>
      </w:r>
      <w:r>
        <w:rPr>
          <w:rFonts w:hint="eastAsia" w:ascii="宋体" w:hAnsi="宋体" w:eastAsia="宋体" w:cs="宋体"/>
          <w:b/>
          <w:color w:val="auto"/>
          <w:sz w:val="22"/>
          <w:szCs w:val="22"/>
          <w:highlight w:val="none"/>
        </w:rPr>
        <w:t>付款方式</w:t>
      </w:r>
    </w:p>
    <w:p w14:paraId="4C01398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w:t>
      </w:r>
      <w:r>
        <w:rPr>
          <w:rFonts w:hint="eastAsia" w:ascii="宋体" w:hAnsi="宋体" w:eastAsia="宋体" w:cs="宋体"/>
          <w:color w:val="000000"/>
          <w:sz w:val="22"/>
          <w:szCs w:val="22"/>
          <w:highlight w:val="none"/>
          <w:lang w:val="en-US" w:eastAsia="zh-CN"/>
        </w:rPr>
        <w:t>合同签订之日起15日内，中标服务商持中标通知书、</w:t>
      </w:r>
      <w:r>
        <w:rPr>
          <w:rFonts w:hint="default" w:ascii="宋体" w:hAnsi="宋体" w:eastAsia="宋体" w:cs="宋体"/>
          <w:color w:val="000000"/>
          <w:sz w:val="22"/>
          <w:szCs w:val="22"/>
          <w:highlight w:val="none"/>
          <w:lang w:val="en-US" w:eastAsia="zh-CN"/>
        </w:rPr>
        <w:t>合同、当期付款金额的普通增值税发票，与采购人结算合同总价款的</w:t>
      </w:r>
      <w:r>
        <w:rPr>
          <w:rFonts w:hint="eastAsia" w:ascii="宋体" w:hAnsi="宋体" w:eastAsia="宋体" w:cs="宋体"/>
          <w:color w:val="000000"/>
          <w:sz w:val="22"/>
          <w:szCs w:val="22"/>
          <w:highlight w:val="none"/>
          <w:lang w:val="en-US" w:eastAsia="zh-CN"/>
        </w:rPr>
        <w:t>60%；</w:t>
      </w:r>
    </w:p>
    <w:p w14:paraId="6608E36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（2）货物到货验收合格后15日内付合同金额的</w:t>
      </w:r>
      <w:r>
        <w:rPr>
          <w:rFonts w:hint="eastAsia" w:ascii="宋体" w:hAnsi="宋体" w:eastAsia="宋体" w:cs="宋体"/>
          <w:color w:val="000000"/>
          <w:sz w:val="22"/>
          <w:szCs w:val="22"/>
          <w:highlight w:val="none"/>
          <w:lang w:val="en-US" w:eastAsia="zh-CN"/>
        </w:rPr>
        <w:t>30</w:t>
      </w:r>
      <w:r>
        <w:rPr>
          <w:rFonts w:hint="eastAsia" w:ascii="宋体" w:hAnsi="宋体" w:eastAsia="宋体" w:cs="宋体"/>
          <w:color w:val="000000"/>
          <w:sz w:val="22"/>
          <w:szCs w:val="22"/>
          <w:highlight w:val="none"/>
          <w:lang w:val="zh-CN"/>
        </w:rPr>
        <w:t>%。</w:t>
      </w:r>
    </w:p>
    <w:p w14:paraId="7E09E8A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（3）</w:t>
      </w:r>
      <w:r>
        <w:rPr>
          <w:rFonts w:hint="eastAsia" w:ascii="宋体" w:hAnsi="宋体" w:eastAsia="宋体" w:cs="宋体"/>
          <w:color w:val="000000"/>
          <w:sz w:val="22"/>
          <w:szCs w:val="22"/>
          <w:highlight w:val="none"/>
          <w:lang w:val="en-US" w:eastAsia="zh-CN"/>
        </w:rPr>
        <w:t>合同履约期满后，项目终验通过后7日内，</w:t>
      </w:r>
      <w:r>
        <w:rPr>
          <w:rFonts w:hint="default" w:ascii="宋体" w:hAnsi="宋体" w:eastAsia="宋体" w:cs="宋体"/>
          <w:color w:val="000000"/>
          <w:sz w:val="22"/>
          <w:szCs w:val="22"/>
          <w:highlight w:val="none"/>
          <w:lang w:val="en-US" w:eastAsia="zh-CN"/>
        </w:rPr>
        <w:t>中标服务商</w:t>
      </w:r>
      <w:r>
        <w:rPr>
          <w:rFonts w:hint="eastAsia" w:ascii="宋体" w:hAnsi="宋体" w:eastAsia="宋体" w:cs="宋体"/>
          <w:color w:val="000000"/>
          <w:sz w:val="22"/>
          <w:szCs w:val="22"/>
          <w:highlight w:val="none"/>
          <w:lang w:val="zh-CN"/>
        </w:rPr>
        <w:t>持成交通知书、服务合同、发票、政府采购项目验收单，</w:t>
      </w:r>
      <w:r>
        <w:rPr>
          <w:rFonts w:hint="default" w:ascii="宋体" w:hAnsi="宋体" w:eastAsia="宋体" w:cs="宋体"/>
          <w:color w:val="000000"/>
          <w:sz w:val="22"/>
          <w:szCs w:val="22"/>
          <w:highlight w:val="none"/>
          <w:lang w:val="en-US" w:eastAsia="zh-CN"/>
        </w:rPr>
        <w:t>与采购人结算合同总价款的</w:t>
      </w:r>
      <w:r>
        <w:rPr>
          <w:rFonts w:hint="eastAsia" w:ascii="宋体" w:hAnsi="宋体" w:eastAsia="宋体" w:cs="宋体"/>
          <w:color w:val="000000"/>
          <w:sz w:val="22"/>
          <w:szCs w:val="22"/>
          <w:highlight w:val="none"/>
          <w:lang w:val="en-US" w:eastAsia="zh-CN"/>
        </w:rPr>
        <w:t>10%</w:t>
      </w:r>
      <w:r>
        <w:rPr>
          <w:rFonts w:hint="eastAsia" w:ascii="宋体" w:hAnsi="宋体" w:eastAsia="宋体" w:cs="宋体"/>
          <w:color w:val="000000"/>
          <w:sz w:val="22"/>
          <w:szCs w:val="22"/>
          <w:highlight w:val="none"/>
          <w:lang w:val="zh-CN"/>
        </w:rPr>
        <w:t>。</w:t>
      </w:r>
    </w:p>
    <w:p w14:paraId="5D2FF60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支付方式：银行转账。</w:t>
      </w:r>
    </w:p>
    <w:p w14:paraId="46D7600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结算方式：乙方在接受付款前开具等额发票给甲方。甲方付款前，乙方应向甲方出具等额合法的发票，否则甲方有权拒绝付款且不承担违约责任。</w:t>
      </w:r>
    </w:p>
    <w:p w14:paraId="0CDF1380">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五</w:t>
      </w:r>
      <w:r>
        <w:rPr>
          <w:rFonts w:hint="eastAsia" w:ascii="宋体" w:hAnsi="宋体" w:eastAsia="宋体" w:cs="宋体"/>
          <w:b/>
          <w:color w:val="auto"/>
          <w:sz w:val="22"/>
          <w:szCs w:val="22"/>
          <w:highlight w:val="none"/>
        </w:rPr>
        <w:t>、质量标准</w:t>
      </w:r>
    </w:p>
    <w:p w14:paraId="40610DF3">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保证所供产品的设计、功能、质量、性能及产品测试等，均应按国家通行的现行标准和相应的技术规范执行，这些标准和技术规范应为合同签订日为止最新公布发行的标准和技术规范，无国家标准的应符合行业标准或企业标准，并满足甲方要求。</w:t>
      </w:r>
    </w:p>
    <w:p w14:paraId="5627F2F3">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2、保证所供硬件进货渠道正规，无假货、水货或翻新货，并能按期交付。</w:t>
      </w:r>
    </w:p>
    <w:p w14:paraId="38C850C9">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3、保证所供产品在装卸、运输和仓储过程中有足够的包装保护，防止产品受潮、锈蚀、遭受冲撞及其他不可预见的损坏。</w:t>
      </w:r>
    </w:p>
    <w:p w14:paraId="02687836">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4、所供产品因侵权而产生的一切后果由乙方负责，甲方保留索赔权力。</w:t>
      </w:r>
    </w:p>
    <w:p w14:paraId="22CBD608">
      <w:pPr>
        <w:pageBreakBefore w:val="0"/>
        <w:widowControl w:val="0"/>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六</w:t>
      </w:r>
      <w:r>
        <w:rPr>
          <w:rFonts w:hint="eastAsia" w:ascii="宋体" w:hAnsi="宋体" w:eastAsia="宋体" w:cs="宋体"/>
          <w:b/>
          <w:color w:val="auto"/>
          <w:sz w:val="22"/>
          <w:szCs w:val="22"/>
          <w:highlight w:val="none"/>
        </w:rPr>
        <w:t>、验收</w:t>
      </w:r>
      <w:r>
        <w:rPr>
          <w:rFonts w:hint="eastAsia" w:ascii="宋体" w:hAnsi="宋体" w:eastAsia="宋体" w:cs="宋体"/>
          <w:b/>
          <w:color w:val="auto"/>
          <w:sz w:val="22"/>
          <w:szCs w:val="22"/>
          <w:highlight w:val="none"/>
          <w:lang w:val="en-US" w:eastAsia="zh-CN"/>
        </w:rPr>
        <w:t>要求</w:t>
      </w:r>
    </w:p>
    <w:p w14:paraId="06A32FFD">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（1）验收要求满足本项目的技术要求，双方签订合同需包含以上全部技术要求的量化指标，并以此为准进行验收。</w:t>
      </w:r>
    </w:p>
    <w:p w14:paraId="5149D4C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（2）项目验收时应将设备操作手册、白皮书等及全部有关产品说明书、技术文件、资料、及安装、验收报告等文档汇集成册交付使用单位。</w:t>
      </w:r>
    </w:p>
    <w:p w14:paraId="6E978FC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 xml:space="preserve">（3）验收费用由中标服务商全额承担；项目分为试运行验收、最终验收两个阶段，由服务商发起验收申请，采购人组织开展验收工作。 </w:t>
      </w:r>
    </w:p>
    <w:p w14:paraId="4AC5671C">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（4）验收依据：合同及附加文本；招标文件、中标人的投标文件及澄清（承诺）函；国家相应的标准、规范。</w:t>
      </w:r>
    </w:p>
    <w:p w14:paraId="31614628">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七、售后服务及培训</w:t>
      </w:r>
    </w:p>
    <w:p w14:paraId="1EBE412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(1)提供免费技术培训服务，确保采购人指定人员熟练掌握气象站系统的操作、维护及故障处理技能，培训费用已包含在总价中。</w:t>
      </w:r>
    </w:p>
    <w:p w14:paraId="1069F82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(2)培训内容包括:气象站设备基础原理、数据采集流程、数据质量控制通用规范、设备安装调试流程、日常操作方法、传感器基础校准、常见故障排查、软件系统基础运维等。</w:t>
      </w:r>
    </w:p>
    <w:p w14:paraId="7443C207">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(3)质保期内提供免费技术咨询，响应时间不超过4小时。</w:t>
      </w:r>
    </w:p>
    <w:p w14:paraId="02F37F71">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(4)质保期内，对因设备质量、安装工艺或软件缺陷导致的故障，免费维修、更换零部件。</w:t>
      </w:r>
    </w:p>
    <w:p w14:paraId="3269272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(5)接到报修通知后24小时内响应，48小时内到场处理，复杂故障3个工作日内修复。</w:t>
      </w:r>
    </w:p>
    <w:p w14:paraId="4F9C9934">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b/>
          <w:bCs/>
          <w:color w:val="000000"/>
          <w:sz w:val="22"/>
          <w:szCs w:val="22"/>
          <w:highlight w:val="none"/>
          <w:lang w:val="en-US" w:eastAsia="zh-CN"/>
        </w:rPr>
        <w:t>八、</w:t>
      </w:r>
      <w:r>
        <w:rPr>
          <w:rFonts w:hint="eastAsia" w:ascii="宋体" w:hAnsi="宋体" w:eastAsia="宋体" w:cs="宋体"/>
          <w:b/>
          <w:bCs/>
          <w:color w:val="000000"/>
          <w:sz w:val="22"/>
          <w:szCs w:val="22"/>
          <w:highlight w:val="none"/>
          <w:lang w:val="zh-CN"/>
        </w:rPr>
        <w:t>不可抗力事件处理</w:t>
      </w:r>
    </w:p>
    <w:p w14:paraId="124B4341">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1、在合同有效期内，任何一方因不可抗力事件导致不能履行合同，则合同履行期可延长，其延长期与不可抗力影响期相同。</w:t>
      </w:r>
    </w:p>
    <w:p w14:paraId="407D90D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2、不可抗力事件发生后，应立即通知对方，并寄送有关权威机构出具的证明。</w:t>
      </w:r>
    </w:p>
    <w:p w14:paraId="21EDC55D">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3、不可抗力事件延续</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lang w:val="zh-CN"/>
        </w:rPr>
        <w:t>天以上，双方应通过友好协商，确定是否继续履行合同。</w:t>
      </w:r>
    </w:p>
    <w:p w14:paraId="282B5CA2">
      <w:pPr>
        <w:pageBreakBefore w:val="0"/>
        <w:widowControl w:val="0"/>
        <w:kinsoku/>
        <w:wordWrap/>
        <w:overflowPunct/>
        <w:topLinePunct w:val="0"/>
        <w:bidi w:val="0"/>
        <w:spacing w:line="360" w:lineRule="auto"/>
        <w:ind w:firstLine="48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双方约定不可抗力情况指：双方不可预见、不可避免、不可克服的客观情况，但不包括双方的违约或疏忽。这些事件包括但不限于：战争、严重火灾、洪水、台风、地震等。</w:t>
      </w:r>
    </w:p>
    <w:p w14:paraId="1750722E">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九、</w:t>
      </w:r>
      <w:r>
        <w:rPr>
          <w:rFonts w:hint="eastAsia" w:ascii="宋体" w:hAnsi="宋体" w:eastAsia="宋体" w:cs="宋体"/>
          <w:b/>
          <w:color w:val="auto"/>
          <w:sz w:val="22"/>
          <w:szCs w:val="22"/>
          <w:highlight w:val="none"/>
        </w:rPr>
        <w:t>违约责任</w:t>
      </w:r>
    </w:p>
    <w:p w14:paraId="6096E98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违约责任：（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2）供应商未经采购人同意，以任何形式向第三人泄露项目信息及秘密的，采购人有权解除合同且要求供应商承担违约责任。（3）供应商应在收到解除通知后5天内退还已收取的款项，履行合同的相关费用由供应商承担。（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5）未经采购人书面同意，供应商不得转让或部分转让合同，如供应商违约，采购人有权解除合同或要求供应商承担违约责任。2、解决争议的方法：合同执行中发生争议的，当事人双方应协商解决。协商达不成一致时，可向有管辖权的人民法院提起诉讼。</w:t>
      </w:r>
    </w:p>
    <w:p w14:paraId="67B5CD33">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十、知识产权</w:t>
      </w:r>
    </w:p>
    <w:p w14:paraId="763BDA35">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default" w:ascii="宋体" w:hAnsi="宋体" w:eastAsia="宋体" w:cs="宋体"/>
          <w:color w:val="auto"/>
          <w:sz w:val="22"/>
          <w:szCs w:val="22"/>
          <w:highlight w:val="none"/>
          <w:lang w:val="en-US" w:eastAsia="zh-CN"/>
        </w:rPr>
      </w:pPr>
      <w:r>
        <w:rPr>
          <w:rFonts w:hint="default" w:ascii="宋体" w:hAnsi="宋体" w:eastAsia="宋体" w:cs="宋体"/>
          <w:color w:val="auto"/>
          <w:sz w:val="22"/>
          <w:szCs w:val="22"/>
          <w:highlight w:val="none"/>
          <w:lang w:val="en-US" w:eastAsia="zh-CN"/>
        </w:rPr>
        <w:t>中标供应商须保证采购人在使用其提供的货物、服务及其任何部分时不受到第三方关于侵犯专利权、商标权、著作权等知识产权的指控。基于本项目产生的定制化软件、二次开发代码、接口程序等知识产权归采购人所有。</w:t>
      </w:r>
    </w:p>
    <w:p w14:paraId="2ADA65F0">
      <w:pPr>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十一</w:t>
      </w:r>
      <w:r>
        <w:rPr>
          <w:rFonts w:hint="eastAsia" w:ascii="宋体" w:hAnsi="宋体" w:eastAsia="宋体" w:cs="宋体"/>
          <w:b/>
          <w:bCs/>
          <w:color w:val="auto"/>
          <w:sz w:val="22"/>
          <w:szCs w:val="22"/>
          <w:highlight w:val="none"/>
        </w:rPr>
        <w:t>、保密条款</w:t>
      </w:r>
    </w:p>
    <w:p w14:paraId="25A15541">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甲乙双方均有责任对本合同内容保守秘密，对因协议内容的公开而造成经济和名誉损失，有责任的一方应该承担法律责任。</w:t>
      </w:r>
    </w:p>
    <w:p w14:paraId="61C82293">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lang w:val="en-US" w:eastAsia="zh-CN"/>
        </w:rPr>
        <w:t>2、</w:t>
      </w:r>
      <w:r>
        <w:rPr>
          <w:rFonts w:hint="eastAsia" w:ascii="宋体" w:hAnsi="宋体" w:eastAsia="宋体" w:cs="宋体"/>
          <w:bCs/>
          <w:color w:val="auto"/>
          <w:sz w:val="22"/>
          <w:szCs w:val="22"/>
          <w:highlight w:val="none"/>
        </w:rPr>
        <w:t>乙方在服务过程中必须严格遵守甲方相关规定。</w:t>
      </w:r>
    </w:p>
    <w:p w14:paraId="09150FCA">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十二、</w:t>
      </w:r>
      <w:r>
        <w:rPr>
          <w:rFonts w:hint="eastAsia" w:ascii="宋体" w:hAnsi="宋体" w:eastAsia="宋体" w:cs="宋体"/>
          <w:b/>
          <w:bCs/>
          <w:color w:val="000000"/>
          <w:sz w:val="22"/>
          <w:szCs w:val="22"/>
          <w:highlight w:val="none"/>
          <w:lang w:val="zh-CN"/>
        </w:rPr>
        <w:t>合同的变更和终止</w:t>
      </w:r>
    </w:p>
    <w:p w14:paraId="6A9C1BA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合同一经签订，不得擅自变更、中止或者终止合同。对确需变更、调整或者中止、终止合同的，应按规定履行相应的手续。</w:t>
      </w:r>
    </w:p>
    <w:p w14:paraId="47AFEAC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十三、</w:t>
      </w:r>
      <w:r>
        <w:rPr>
          <w:rFonts w:hint="eastAsia" w:ascii="宋体" w:hAnsi="宋体" w:eastAsia="宋体" w:cs="宋体"/>
          <w:b/>
          <w:bCs/>
          <w:color w:val="000000"/>
          <w:sz w:val="22"/>
          <w:szCs w:val="22"/>
          <w:highlight w:val="none"/>
          <w:lang w:val="zh-CN"/>
        </w:rPr>
        <w:t>解决合同纠纷的方式</w:t>
      </w:r>
    </w:p>
    <w:p w14:paraId="19C6F5F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1、在执行本合同中发生的或与本合同有关的争端，双方应通过友好协商解决，经协商在</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lang w:val="zh-CN"/>
        </w:rPr>
        <w:t>天内不能达成协议时，则采取以下第____种方式解决争议：</w:t>
      </w:r>
    </w:p>
    <w:p w14:paraId="424F5A4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（1）向甲方所在地有管辖权的人民法院提起诉讼；</w:t>
      </w:r>
    </w:p>
    <w:p w14:paraId="31B4690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（2）向____________仲裁委员会按其仲裁规则申请仲裁。</w:t>
      </w:r>
    </w:p>
    <w:p w14:paraId="4E4DB3E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2、在仲裁期间，本合同应继续履行。</w:t>
      </w:r>
    </w:p>
    <w:p w14:paraId="658165F5">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十四、</w:t>
      </w:r>
      <w:r>
        <w:rPr>
          <w:rFonts w:hint="eastAsia" w:ascii="宋体" w:hAnsi="宋体" w:eastAsia="宋体" w:cs="宋体"/>
          <w:b/>
          <w:bCs/>
          <w:color w:val="000000"/>
          <w:sz w:val="22"/>
          <w:szCs w:val="22"/>
          <w:highlight w:val="none"/>
          <w:lang w:val="zh-CN"/>
        </w:rPr>
        <w:t>合同的转让</w:t>
      </w:r>
    </w:p>
    <w:p w14:paraId="5A5D072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乙方不得擅自部分或全部转让其应履行的合同义务。</w:t>
      </w:r>
    </w:p>
    <w:p w14:paraId="1F701730">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en-US" w:eastAsia="zh-CN"/>
        </w:rPr>
      </w:pPr>
      <w:r>
        <w:rPr>
          <w:rFonts w:hint="eastAsia" w:ascii="宋体" w:hAnsi="宋体" w:eastAsia="宋体" w:cs="宋体"/>
          <w:b/>
          <w:bCs/>
          <w:color w:val="000000"/>
          <w:sz w:val="22"/>
          <w:szCs w:val="22"/>
          <w:highlight w:val="none"/>
          <w:lang w:val="en-US" w:eastAsia="zh-CN"/>
        </w:rPr>
        <w:t xml:space="preserve">十五、补充协议 </w:t>
      </w:r>
    </w:p>
    <w:p w14:paraId="69CD3E6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合同未尽事宜，经双方协商可签订补充协议，所签订的补充协议与本合同具有同等的法律效力，补充协议的生效应符合本合同的有关规定。合同补充条款应同时报同级财政部门备案。</w:t>
      </w:r>
    </w:p>
    <w:p w14:paraId="7AC6FEB3">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十六、</w:t>
      </w:r>
      <w:r>
        <w:rPr>
          <w:rFonts w:hint="eastAsia" w:ascii="宋体" w:hAnsi="宋体" w:eastAsia="宋体" w:cs="宋体"/>
          <w:b/>
          <w:bCs/>
          <w:color w:val="000000"/>
          <w:sz w:val="22"/>
          <w:szCs w:val="22"/>
          <w:highlight w:val="none"/>
          <w:lang w:val="zh-CN"/>
        </w:rPr>
        <w:t>合同生效及其他</w:t>
      </w:r>
    </w:p>
    <w:p w14:paraId="29A9EF8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1、本合同自签订之日起生效。</w:t>
      </w:r>
    </w:p>
    <w:p w14:paraId="0027F09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2、本合同一式</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lang w:val="zh-CN"/>
        </w:rPr>
        <w:t>份，甲乙双方各执</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lang w:val="zh-CN"/>
        </w:rPr>
        <w:t>份</w:t>
      </w:r>
      <w:r>
        <w:rPr>
          <w:rFonts w:hint="eastAsia" w:ascii="宋体" w:hAnsi="宋体" w:eastAsia="宋体" w:cs="宋体"/>
          <w:color w:val="000000"/>
          <w:sz w:val="22"/>
          <w:szCs w:val="22"/>
          <w:highlight w:val="none"/>
        </w:rPr>
        <w:t>。</w:t>
      </w:r>
    </w:p>
    <w:p w14:paraId="08F5C39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3、本合同应按照中华人民共和国的现行法律进行解释。</w:t>
      </w:r>
    </w:p>
    <w:p w14:paraId="4448970E">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十七、</w:t>
      </w:r>
      <w:r>
        <w:rPr>
          <w:rFonts w:hint="eastAsia" w:ascii="宋体" w:hAnsi="宋体" w:eastAsia="宋体" w:cs="宋体"/>
          <w:b/>
          <w:bCs/>
          <w:color w:val="000000"/>
          <w:sz w:val="22"/>
          <w:szCs w:val="22"/>
          <w:highlight w:val="none"/>
          <w:lang w:val="zh-CN"/>
        </w:rPr>
        <w:t>组成本合同的文件</w:t>
      </w:r>
    </w:p>
    <w:p w14:paraId="6CBD23C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w:t>
      </w:r>
      <w:r>
        <w:rPr>
          <w:rFonts w:hint="eastAsia" w:ascii="宋体" w:hAnsi="宋体" w:eastAsia="宋体" w:cs="宋体"/>
          <w:color w:val="000000"/>
          <w:sz w:val="22"/>
          <w:szCs w:val="22"/>
          <w:highlight w:val="none"/>
          <w:lang w:val="en-US" w:eastAsia="zh-CN"/>
        </w:rPr>
        <w:t>中标</w:t>
      </w:r>
      <w:r>
        <w:rPr>
          <w:rFonts w:hint="eastAsia" w:ascii="宋体" w:hAnsi="宋体" w:eastAsia="宋体" w:cs="宋体"/>
          <w:color w:val="000000"/>
          <w:sz w:val="22"/>
          <w:szCs w:val="22"/>
          <w:highlight w:val="none"/>
          <w:lang w:val="zh-CN"/>
        </w:rPr>
        <w:t>通知书</w:t>
      </w:r>
    </w:p>
    <w:p w14:paraId="63DC44B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2、项目</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lang w:val="zh-CN"/>
        </w:rPr>
        <w:t>文件</w:t>
      </w:r>
    </w:p>
    <w:p w14:paraId="43EA40EC">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3、项目修改澄清文件</w:t>
      </w:r>
    </w:p>
    <w:p w14:paraId="6DE3292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4、项目招标文件</w:t>
      </w:r>
    </w:p>
    <w:p w14:paraId="293867AC">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5、其他</w:t>
      </w:r>
    </w:p>
    <w:p w14:paraId="4A9E013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p>
    <w:p w14:paraId="2183433C">
      <w:pPr>
        <w:spacing w:line="360" w:lineRule="auto"/>
        <w:rPr>
          <w:rFonts w:hint="eastAsia" w:ascii="宋体" w:hAnsi="宋体" w:eastAsia="宋体" w:cs="宋体"/>
          <w:sz w:val="22"/>
          <w:szCs w:val="22"/>
          <w:lang w:val="zh-CN"/>
        </w:rPr>
      </w:pPr>
      <w:r>
        <w:rPr>
          <w:rFonts w:hint="eastAsia" w:ascii="宋体" w:hAnsi="宋体" w:eastAsia="宋体" w:cs="宋体"/>
          <w:sz w:val="22"/>
          <w:szCs w:val="22"/>
          <w:lang w:val="zh-CN"/>
        </w:rPr>
        <w:br w:type="page"/>
      </w:r>
    </w:p>
    <w:p w14:paraId="7E5A120C">
      <w:pPr>
        <w:pStyle w:val="2"/>
        <w:spacing w:line="360" w:lineRule="auto"/>
        <w:rPr>
          <w:rFonts w:hint="eastAsia" w:ascii="宋体" w:hAnsi="宋体" w:eastAsia="宋体" w:cs="宋体"/>
          <w:sz w:val="22"/>
          <w:szCs w:val="22"/>
          <w:lang w:val="zh-CN"/>
        </w:rPr>
      </w:pPr>
      <w:r>
        <w:rPr>
          <w:rFonts w:hint="eastAsia" w:ascii="宋体" w:hAnsi="宋体" w:eastAsia="宋体" w:cs="宋体"/>
          <w:sz w:val="22"/>
          <w:szCs w:val="22"/>
          <w:lang w:val="zh-CN"/>
        </w:rPr>
        <w:t>（</w:t>
      </w:r>
      <w:r>
        <w:rPr>
          <w:rFonts w:hint="eastAsia" w:ascii="宋体" w:hAnsi="宋体" w:eastAsia="宋体" w:cs="宋体"/>
          <w:sz w:val="22"/>
          <w:szCs w:val="22"/>
          <w:lang w:val="en-US" w:eastAsia="zh-CN"/>
        </w:rPr>
        <w:t>本页无正文</w:t>
      </w:r>
      <w:r>
        <w:rPr>
          <w:rFonts w:hint="eastAsia" w:ascii="宋体" w:hAnsi="宋体" w:eastAsia="宋体" w:cs="宋体"/>
          <w:sz w:val="22"/>
          <w:szCs w:val="22"/>
          <w:lang w:val="zh-CN"/>
        </w:rPr>
        <w:t>）</w:t>
      </w:r>
    </w:p>
    <w:p w14:paraId="5B135B1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p>
    <w:p w14:paraId="26E255C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采购人（甲方）：（盖章）</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供应商（乙方）：（盖章）   </w:t>
      </w:r>
    </w:p>
    <w:p w14:paraId="2456BA1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地 址：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地  址：                    </w:t>
      </w:r>
    </w:p>
    <w:p w14:paraId="7520F36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邮政编码：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邮政编码：                  </w:t>
      </w:r>
    </w:p>
    <w:p w14:paraId="7907D3D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法定代表人或其授权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法定代表人或其授权</w:t>
      </w:r>
    </w:p>
    <w:p w14:paraId="6D9049F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的代理人：（签字或盖章）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的代理人：（签字或盖章）    </w:t>
      </w:r>
    </w:p>
    <w:p w14:paraId="57C1F0F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开户银行：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开户银行：                  </w:t>
      </w:r>
    </w:p>
    <w:p w14:paraId="67C059A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账号：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账号：                       </w:t>
      </w:r>
    </w:p>
    <w:p w14:paraId="01338C8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电话：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电话：                      </w:t>
      </w:r>
    </w:p>
    <w:p w14:paraId="4BFA9A5D">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传真：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传真：                      </w:t>
      </w:r>
    </w:p>
    <w:p w14:paraId="436C2A9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电子邮箱：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电子邮箱：                  </w:t>
      </w:r>
    </w:p>
    <w:p w14:paraId="1CC25CCA">
      <w:pPr>
        <w:pStyle w:val="6"/>
        <w:spacing w:line="360" w:lineRule="auto"/>
        <w:rPr>
          <w:rFonts w:hint="eastAsia" w:ascii="宋体" w:hAnsi="宋体" w:eastAsia="宋体" w:cs="宋体"/>
          <w:color w:val="000000"/>
          <w:sz w:val="22"/>
          <w:szCs w:val="22"/>
          <w:highlight w:val="none"/>
          <w:lang w:val="zh-CN"/>
        </w:rPr>
      </w:pPr>
    </w:p>
    <w:p w14:paraId="28018A38">
      <w:pPr>
        <w:pStyle w:val="6"/>
        <w:spacing w:line="360" w:lineRule="auto"/>
        <w:rPr>
          <w:rFonts w:hint="eastAsia" w:ascii="宋体" w:hAnsi="宋体" w:eastAsia="宋体" w:cs="宋体"/>
          <w:color w:val="000000"/>
          <w:sz w:val="22"/>
          <w:szCs w:val="22"/>
          <w:highlight w:val="none"/>
          <w:lang w:val="zh-CN"/>
        </w:rPr>
      </w:pPr>
    </w:p>
    <w:p w14:paraId="102DD911">
      <w:pPr>
        <w:pStyle w:val="6"/>
        <w:spacing w:line="360" w:lineRule="auto"/>
        <w:rPr>
          <w:rFonts w:hint="eastAsia"/>
          <w:sz w:val="22"/>
          <w:szCs w:val="22"/>
          <w:lang w:val="en-US" w:eastAsia="zh-Hans"/>
        </w:rPr>
      </w:pPr>
      <w:r>
        <w:rPr>
          <w:rFonts w:hint="eastAsia" w:ascii="宋体" w:hAnsi="宋体" w:eastAsia="宋体" w:cs="宋体"/>
          <w:color w:val="000000"/>
          <w:sz w:val="22"/>
          <w:szCs w:val="22"/>
          <w:highlight w:val="none"/>
          <w:lang w:val="zh-CN"/>
        </w:rPr>
        <w:t>注：本合同未定事宜，双方可根据具体情况结合有关规定另行签订补充协议，补充协议与本合同具有同等法律效力。</w:t>
      </w:r>
    </w:p>
    <w:p w14:paraId="7E88D4CB"/>
    <w:p w14:paraId="0337E874"/>
    <w:p w14:paraId="31331148"/>
    <w:p w14:paraId="06D87C71"/>
    <w:p w14:paraId="66CF3C5B"/>
    <w:p w14:paraId="04D31A57"/>
    <w:p w14:paraId="6787D7E8"/>
    <w:p w14:paraId="14F097D9"/>
    <w:p w14:paraId="49515EAE"/>
    <w:p w14:paraId="739ECA12"/>
    <w:p w14:paraId="0D770F22"/>
    <w:p w14:paraId="74F2182F"/>
    <w:p w14:paraId="57B4F8D3"/>
    <w:p w14:paraId="497B1A7B"/>
    <w:p w14:paraId="7250E175"/>
    <w:p w14:paraId="2C3086B1"/>
    <w:p w14:paraId="20D82B1E"/>
    <w:p w14:paraId="74C43A14"/>
    <w:p w14:paraId="4C0F7162"/>
    <w:p w14:paraId="2F4AD9E2"/>
    <w:p w14:paraId="5E25321E">
      <w:pPr>
        <w:spacing w:before="156" w:beforeLines="50" w:after="156" w:afterLines="50" w:line="360" w:lineRule="auto"/>
        <w:jc w:val="center"/>
        <w:rPr>
          <w:rFonts w:ascii="仿宋" w:hAnsi="仿宋" w:eastAsia="仿宋" w:cs="仿宋"/>
          <w:b/>
          <w:sz w:val="24"/>
          <w:szCs w:val="24"/>
          <w:highlight w:val="none"/>
        </w:rPr>
      </w:pPr>
      <w:r>
        <w:rPr>
          <w:rFonts w:hint="eastAsia" w:ascii="仿宋" w:hAnsi="仿宋" w:eastAsia="仿宋" w:cs="仿宋"/>
          <w:b/>
          <w:sz w:val="24"/>
          <w:szCs w:val="24"/>
          <w:highlight w:val="none"/>
          <w:lang w:val="en-US" w:eastAsia="zh-CN"/>
        </w:rPr>
        <w:t>采购包2</w:t>
      </w:r>
      <w:r>
        <w:rPr>
          <w:rFonts w:hint="eastAsia" w:ascii="仿宋" w:hAnsi="仿宋" w:eastAsia="仿宋" w:cs="仿宋"/>
          <w:b/>
          <w:sz w:val="24"/>
          <w:szCs w:val="24"/>
          <w:highlight w:val="none"/>
        </w:rPr>
        <w:t>(本合同仅供参考 具体以双方签订为准）</w:t>
      </w:r>
    </w:p>
    <w:p w14:paraId="7D361E4C">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bCs/>
          <w:sz w:val="24"/>
          <w:szCs w:val="24"/>
          <w:highlight w:val="none"/>
        </w:rPr>
        <w:t>甲方：</w:t>
      </w:r>
      <w:bookmarkStart w:id="1" w:name="_GoBack"/>
      <w:bookmarkEnd w:id="1"/>
    </w:p>
    <w:p w14:paraId="4B35CF27">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乙方：</w:t>
      </w:r>
    </w:p>
    <w:p w14:paraId="094DB786">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rPr>
        <w:t>(项目编号：</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rPr>
        <w:t>由</w:t>
      </w:r>
      <w:r>
        <w:rPr>
          <w:rFonts w:hint="eastAsia" w:ascii="仿宋" w:hAnsi="仿宋" w:eastAsia="仿宋" w:cs="仿宋"/>
          <w:bCs/>
          <w:sz w:val="24"/>
          <w:szCs w:val="24"/>
          <w:highlight w:val="none"/>
          <w:u w:val="single"/>
          <w:lang w:eastAsia="zh-CN"/>
        </w:rPr>
        <w:t>西北国际（陕西）造价管理集团有限公司</w:t>
      </w:r>
      <w:r>
        <w:rPr>
          <w:rFonts w:hint="eastAsia" w:ascii="仿宋" w:hAnsi="仿宋" w:eastAsia="仿宋" w:cs="仿宋"/>
          <w:bCs/>
          <w:sz w:val="24"/>
          <w:szCs w:val="24"/>
          <w:highlight w:val="none"/>
        </w:rPr>
        <w:t>组织</w:t>
      </w:r>
      <w:r>
        <w:rPr>
          <w:rFonts w:hint="eastAsia" w:ascii="仿宋" w:hAnsi="仿宋" w:eastAsia="仿宋" w:cs="仿宋"/>
          <w:bCs/>
          <w:sz w:val="24"/>
          <w:szCs w:val="24"/>
          <w:highlight w:val="none"/>
          <w:lang w:val="en-US" w:eastAsia="zh-CN"/>
        </w:rPr>
        <w:t>公开招标</w:t>
      </w:r>
      <w:r>
        <w:rPr>
          <w:rFonts w:hint="eastAsia" w:ascii="仿宋" w:hAnsi="仿宋" w:eastAsia="仿宋" w:cs="仿宋"/>
          <w:bCs/>
          <w:sz w:val="24"/>
          <w:szCs w:val="24"/>
          <w:highlight w:val="none"/>
        </w:rPr>
        <w:t xml:space="preserve">， </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(以下简称“甲方”)确定</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（以下简称“乙方”）为成交供应商。</w:t>
      </w:r>
    </w:p>
    <w:p w14:paraId="40CCF30A">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依据《中华人民共和国政府采购法》、《中华人民共和国民法典》及相关法律法规，经双方协商按下述条款和条件签署本合同。</w:t>
      </w:r>
    </w:p>
    <w:p w14:paraId="1910FB1A">
      <w:pPr>
        <w:autoSpaceDE w:val="0"/>
        <w:autoSpaceDN w:val="0"/>
        <w:adjustRightInd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一、合同价款</w:t>
      </w:r>
    </w:p>
    <w:p w14:paraId="6EF1E525">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（一）合同总价款为人民币（大写）</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w:t>
      </w:r>
    </w:p>
    <w:p w14:paraId="5D6F92F7">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（二）合同总价包括为完成本项目要求的全部</w:t>
      </w:r>
      <w:r>
        <w:rPr>
          <w:rFonts w:hint="eastAsia" w:ascii="仿宋" w:hAnsi="仿宋" w:eastAsia="仿宋" w:cs="仿宋"/>
          <w:bCs/>
          <w:sz w:val="24"/>
          <w:szCs w:val="24"/>
          <w:highlight w:val="none"/>
          <w:lang w:val="en-US" w:eastAsia="zh-CN"/>
        </w:rPr>
        <w:t>采购</w:t>
      </w:r>
      <w:r>
        <w:rPr>
          <w:rFonts w:hint="eastAsia" w:ascii="仿宋" w:hAnsi="仿宋" w:eastAsia="仿宋" w:cs="仿宋"/>
          <w:bCs/>
          <w:sz w:val="24"/>
          <w:szCs w:val="24"/>
          <w:highlight w:val="none"/>
        </w:rPr>
        <w:t>内容的所有费用，招标人不再另行支付合同价以外的其他任何费用</w:t>
      </w:r>
      <w:r>
        <w:rPr>
          <w:rFonts w:hint="eastAsia" w:ascii="仿宋" w:hAnsi="仿宋" w:eastAsia="仿宋" w:cs="仿宋"/>
          <w:bCs/>
          <w:sz w:val="24"/>
          <w:szCs w:val="24"/>
          <w:highlight w:val="none"/>
          <w:lang w:val="zh-CN"/>
        </w:rPr>
        <w:t>。</w:t>
      </w:r>
    </w:p>
    <w:p w14:paraId="3413F042">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（三）合同总价一次性包死，不受市场价格变化因素的影响。</w:t>
      </w:r>
    </w:p>
    <w:p w14:paraId="430A89B6">
      <w:pPr>
        <w:autoSpaceDE w:val="0"/>
        <w:autoSpaceDN w:val="0"/>
        <w:adjustRightInd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二、款项结算</w:t>
      </w:r>
    </w:p>
    <w:p w14:paraId="1E50B824">
      <w:pPr>
        <w:spacing w:line="360" w:lineRule="auto"/>
        <w:ind w:firstLine="480" w:firstLineChars="200"/>
        <w:rPr>
          <w:rFonts w:ascii="仿宋" w:hAnsi="仿宋" w:eastAsia="仿宋" w:cs="仿宋"/>
          <w:color w:val="FF0000"/>
          <w:sz w:val="24"/>
          <w:szCs w:val="24"/>
          <w:highlight w:val="none"/>
        </w:rPr>
      </w:pPr>
      <w:r>
        <w:rPr>
          <w:rFonts w:hint="eastAsia" w:ascii="仿宋" w:hAnsi="仿宋" w:eastAsia="仿宋" w:cs="仿宋"/>
          <w:sz w:val="24"/>
          <w:szCs w:val="24"/>
          <w:highlight w:val="none"/>
        </w:rPr>
        <w:t>（一）结算方式：银行转账</w:t>
      </w:r>
    </w:p>
    <w:p w14:paraId="0D148791">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（二）付款条件说明：</w:t>
      </w:r>
      <w:r>
        <w:rPr>
          <w:rFonts w:hint="eastAsia" w:ascii="仿宋" w:hAnsi="仿宋" w:eastAsia="仿宋" w:cs="仿宋"/>
          <w:color w:val="auto"/>
          <w:sz w:val="24"/>
          <w:szCs w:val="24"/>
          <w:highlight w:val="none"/>
          <w:lang w:val="en-US" w:eastAsia="zh-CN"/>
        </w:rPr>
        <w:t>分期付款</w:t>
      </w:r>
    </w:p>
    <w:p w14:paraId="3AE2BAF9">
      <w:pPr>
        <w:spacing w:line="500" w:lineRule="exact"/>
        <w:ind w:firstLine="480" w:firstLineChars="200"/>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3.1合同签订之日起7日内，中标服务商持中标通知书、</w:t>
      </w:r>
      <w:r>
        <w:rPr>
          <w:rFonts w:hint="default" w:ascii="仿宋" w:hAnsi="仿宋" w:eastAsia="仿宋" w:cs="Times New Roman"/>
          <w:color w:val="auto"/>
          <w:sz w:val="24"/>
          <w:szCs w:val="24"/>
          <w:lang w:val="en-US" w:eastAsia="zh-CN"/>
        </w:rPr>
        <w:t>合同、当期付款金额的普通增值税发票，与采购人结算合同总价款的</w:t>
      </w:r>
      <w:r>
        <w:rPr>
          <w:rFonts w:hint="eastAsia" w:ascii="仿宋" w:hAnsi="仿宋" w:eastAsia="仿宋" w:cs="Times New Roman"/>
          <w:color w:val="auto"/>
          <w:sz w:val="24"/>
          <w:szCs w:val="24"/>
          <w:lang w:val="en-US" w:eastAsia="zh-CN"/>
        </w:rPr>
        <w:t>60%；</w:t>
      </w:r>
    </w:p>
    <w:p w14:paraId="21E80D95">
      <w:pPr>
        <w:spacing w:line="500" w:lineRule="exact"/>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lang w:val="en-US" w:eastAsia="zh-CN"/>
        </w:rPr>
        <w:t>经甲方确认系统部署完毕</w:t>
      </w:r>
      <w:r>
        <w:rPr>
          <w:rFonts w:hint="eastAsia" w:ascii="仿宋" w:hAnsi="仿宋" w:eastAsia="仿宋" w:cs="Times New Roman"/>
          <w:color w:val="auto"/>
          <w:sz w:val="24"/>
          <w:szCs w:val="24"/>
          <w:highlight w:val="none"/>
          <w:lang w:val="en-US" w:eastAsia="zh-CN"/>
        </w:rPr>
        <w:t>，试运行验收通过后7日内，中标服务商持中标通知书、</w:t>
      </w:r>
      <w:r>
        <w:rPr>
          <w:rFonts w:hint="default" w:ascii="仿宋" w:hAnsi="仿宋" w:eastAsia="仿宋" w:cs="Times New Roman"/>
          <w:color w:val="auto"/>
          <w:sz w:val="24"/>
          <w:szCs w:val="24"/>
          <w:highlight w:val="none"/>
          <w:lang w:val="en-US" w:eastAsia="zh-CN"/>
        </w:rPr>
        <w:t>合同、当期付款金额的普通增值税发票，与采购人结算合同总价款的</w:t>
      </w:r>
      <w:r>
        <w:rPr>
          <w:rFonts w:hint="eastAsia" w:ascii="仿宋" w:hAnsi="仿宋" w:eastAsia="仿宋" w:cs="Times New Roman"/>
          <w:color w:val="auto"/>
          <w:sz w:val="24"/>
          <w:szCs w:val="24"/>
          <w:highlight w:val="none"/>
          <w:lang w:val="en-US" w:eastAsia="zh-CN"/>
        </w:rPr>
        <w:t>30%</w:t>
      </w:r>
      <w:r>
        <w:rPr>
          <w:rFonts w:hint="default" w:ascii="仿宋" w:hAnsi="仿宋" w:eastAsia="仿宋" w:cs="Times New Roman"/>
          <w:color w:val="auto"/>
          <w:sz w:val="24"/>
          <w:szCs w:val="24"/>
          <w:highlight w:val="none"/>
          <w:lang w:val="en-US" w:eastAsia="zh-CN"/>
        </w:rPr>
        <w:t>。</w:t>
      </w:r>
    </w:p>
    <w:p w14:paraId="1AD2107A">
      <w:pPr>
        <w:spacing w:line="500" w:lineRule="exact"/>
        <w:ind w:firstLine="480" w:firstLineChars="200"/>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highlight w:val="none"/>
          <w:lang w:val="en-US" w:eastAsia="zh-CN"/>
        </w:rPr>
        <w:t>合同履约期满后，项目终验通过后7日内，</w:t>
      </w:r>
      <w:r>
        <w:rPr>
          <w:rFonts w:hint="default" w:ascii="仿宋" w:hAnsi="仿宋" w:eastAsia="仿宋" w:cs="Times New Roman"/>
          <w:color w:val="auto"/>
          <w:sz w:val="24"/>
          <w:szCs w:val="24"/>
          <w:highlight w:val="none"/>
          <w:lang w:val="en-US" w:eastAsia="zh-CN"/>
        </w:rPr>
        <w:t>中标服</w:t>
      </w:r>
      <w:r>
        <w:rPr>
          <w:rFonts w:hint="default" w:ascii="仿宋" w:hAnsi="仿宋" w:eastAsia="仿宋" w:cs="Times New Roman"/>
          <w:color w:val="auto"/>
          <w:sz w:val="24"/>
          <w:szCs w:val="24"/>
          <w:lang w:val="en-US" w:eastAsia="zh-CN"/>
        </w:rPr>
        <w:t>务商</w:t>
      </w:r>
      <w:r>
        <w:rPr>
          <w:rFonts w:hint="eastAsia" w:ascii="仿宋" w:hAnsi="仿宋" w:eastAsia="仿宋" w:cs="Times New Roman"/>
          <w:color w:val="auto"/>
          <w:sz w:val="24"/>
          <w:szCs w:val="24"/>
        </w:rPr>
        <w:t>持成交通知书、服务合同、发票、政府采购项目验收单，</w:t>
      </w:r>
      <w:r>
        <w:rPr>
          <w:rFonts w:hint="default" w:ascii="仿宋" w:hAnsi="仿宋" w:eastAsia="仿宋" w:cs="Times New Roman"/>
          <w:color w:val="auto"/>
          <w:sz w:val="24"/>
          <w:szCs w:val="24"/>
          <w:lang w:val="en-US" w:eastAsia="zh-CN"/>
        </w:rPr>
        <w:t>与采购人结算合同总价款的</w:t>
      </w:r>
      <w:r>
        <w:rPr>
          <w:rFonts w:hint="eastAsia" w:ascii="仿宋" w:hAnsi="仿宋" w:eastAsia="仿宋" w:cs="Times New Roman"/>
          <w:color w:val="auto"/>
          <w:sz w:val="24"/>
          <w:szCs w:val="24"/>
          <w:lang w:val="en-US" w:eastAsia="zh-CN"/>
        </w:rPr>
        <w:t>10%</w:t>
      </w:r>
      <w:r>
        <w:rPr>
          <w:rFonts w:hint="default" w:ascii="仿宋" w:hAnsi="仿宋" w:eastAsia="仿宋" w:cs="Times New Roman"/>
          <w:color w:val="auto"/>
          <w:sz w:val="24"/>
          <w:szCs w:val="24"/>
          <w:lang w:val="en-US" w:eastAsia="zh-CN"/>
        </w:rPr>
        <w:t>。</w:t>
      </w:r>
    </w:p>
    <w:p w14:paraId="74CFBEAA">
      <w:pPr>
        <w:spacing w:line="500" w:lineRule="exact"/>
        <w:ind w:firstLine="480" w:firstLineChars="200"/>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3.2、</w:t>
      </w:r>
      <w:r>
        <w:rPr>
          <w:rFonts w:hint="eastAsia" w:ascii="仿宋" w:hAnsi="仿宋" w:eastAsia="仿宋" w:cs="Times New Roman"/>
          <w:color w:val="auto"/>
          <w:sz w:val="24"/>
          <w:szCs w:val="24"/>
        </w:rPr>
        <w:t>结算方式：银行转账。</w:t>
      </w:r>
    </w:p>
    <w:p w14:paraId="3D1A3E60">
      <w:pPr>
        <w:spacing w:line="500" w:lineRule="exact"/>
        <w:ind w:firstLine="480" w:firstLineChars="200"/>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3.3、</w:t>
      </w:r>
      <w:r>
        <w:rPr>
          <w:rFonts w:hint="eastAsia" w:ascii="仿宋" w:hAnsi="仿宋" w:eastAsia="仿宋" w:cs="Times New Roman"/>
          <w:color w:val="auto"/>
          <w:sz w:val="24"/>
          <w:szCs w:val="24"/>
        </w:rPr>
        <w:t>结算单位：由</w:t>
      </w:r>
      <w:r>
        <w:rPr>
          <w:rFonts w:hint="eastAsia" w:ascii="仿宋" w:hAnsi="仿宋" w:eastAsia="仿宋" w:cs="Times New Roman"/>
          <w:color w:val="auto"/>
          <w:sz w:val="24"/>
          <w:szCs w:val="24"/>
          <w:lang w:val="en-US" w:eastAsia="zh-CN"/>
        </w:rPr>
        <w:t>采购人</w:t>
      </w:r>
      <w:r>
        <w:rPr>
          <w:rFonts w:hint="eastAsia" w:ascii="仿宋" w:hAnsi="仿宋" w:eastAsia="仿宋" w:cs="Times New Roman"/>
          <w:color w:val="auto"/>
          <w:sz w:val="24"/>
          <w:szCs w:val="24"/>
        </w:rPr>
        <w:t>负责结算，</w:t>
      </w:r>
      <w:r>
        <w:rPr>
          <w:rFonts w:hint="eastAsia" w:ascii="仿宋" w:hAnsi="仿宋" w:eastAsia="仿宋" w:cs="Times New Roman"/>
          <w:color w:val="auto"/>
          <w:sz w:val="24"/>
          <w:szCs w:val="24"/>
          <w:lang w:val="en-US" w:eastAsia="zh-CN"/>
        </w:rPr>
        <w:t>中标服务商</w:t>
      </w:r>
      <w:r>
        <w:rPr>
          <w:rFonts w:hint="eastAsia" w:ascii="仿宋" w:hAnsi="仿宋" w:eastAsia="仿宋" w:cs="Times New Roman"/>
          <w:color w:val="auto"/>
          <w:sz w:val="24"/>
          <w:szCs w:val="24"/>
        </w:rPr>
        <w:t>开具相应金额的有效财务发票给</w:t>
      </w:r>
      <w:r>
        <w:rPr>
          <w:rFonts w:hint="eastAsia" w:ascii="仿宋" w:hAnsi="仿宋" w:eastAsia="仿宋" w:cs="Times New Roman"/>
          <w:color w:val="auto"/>
          <w:sz w:val="24"/>
          <w:szCs w:val="24"/>
          <w:lang w:val="en-US" w:eastAsia="zh-CN"/>
        </w:rPr>
        <w:t>采购人</w:t>
      </w:r>
      <w:r>
        <w:rPr>
          <w:rFonts w:hint="eastAsia" w:ascii="仿宋" w:hAnsi="仿宋" w:eastAsia="仿宋" w:cs="Times New Roman"/>
          <w:color w:val="auto"/>
          <w:sz w:val="24"/>
          <w:szCs w:val="24"/>
        </w:rPr>
        <w:t>。</w:t>
      </w:r>
    </w:p>
    <w:p w14:paraId="67D7A958">
      <w:pPr>
        <w:snapToGrid w:val="0"/>
        <w:spacing w:line="360" w:lineRule="auto"/>
        <w:ind w:firstLine="482" w:firstLineChars="200"/>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rPr>
        <w:t>三、</w:t>
      </w:r>
      <w:r>
        <w:rPr>
          <w:rFonts w:hint="eastAsia" w:ascii="仿宋" w:hAnsi="仿宋" w:eastAsia="仿宋" w:cs="仿宋"/>
          <w:b/>
          <w:sz w:val="24"/>
          <w:szCs w:val="24"/>
          <w:highlight w:val="none"/>
          <w:lang w:val="en-US" w:eastAsia="zh-CN"/>
        </w:rPr>
        <w:t>合同履约</w:t>
      </w:r>
      <w:r>
        <w:rPr>
          <w:rFonts w:hint="eastAsia" w:ascii="仿宋" w:hAnsi="仿宋" w:eastAsia="仿宋" w:cs="仿宋"/>
          <w:b/>
          <w:sz w:val="24"/>
          <w:szCs w:val="24"/>
          <w:highlight w:val="none"/>
        </w:rPr>
        <w:t>地点</w:t>
      </w:r>
      <w:r>
        <w:rPr>
          <w:rFonts w:hint="eastAsia" w:ascii="仿宋" w:hAnsi="仿宋" w:eastAsia="仿宋" w:cs="仿宋"/>
          <w:b/>
          <w:sz w:val="24"/>
          <w:szCs w:val="24"/>
          <w:highlight w:val="none"/>
          <w:lang w:val="en-US" w:eastAsia="zh-CN"/>
        </w:rPr>
        <w:t>及期限</w:t>
      </w:r>
      <w:r>
        <w:rPr>
          <w:rFonts w:hint="eastAsia" w:ascii="仿宋" w:hAnsi="仿宋" w:eastAsia="仿宋" w:cs="仿宋"/>
          <w:b/>
          <w:sz w:val="24"/>
          <w:szCs w:val="24"/>
          <w:highlight w:val="none"/>
          <w:lang w:eastAsia="zh-CN"/>
        </w:rPr>
        <w:t>期限</w:t>
      </w:r>
    </w:p>
    <w:p w14:paraId="6FD68364">
      <w:pPr>
        <w:snapToGrid w:val="0"/>
        <w:spacing w:line="360" w:lineRule="auto"/>
        <w:ind w:left="638" w:leftChars="304"/>
        <w:rPr>
          <w:rFonts w:ascii="仿宋" w:hAnsi="仿宋" w:eastAsia="仿宋" w:cs="仿宋"/>
          <w:bCs/>
          <w:sz w:val="24"/>
          <w:szCs w:val="24"/>
          <w:highlight w:val="none"/>
        </w:rPr>
      </w:pPr>
      <w:r>
        <w:rPr>
          <w:rFonts w:hint="eastAsia" w:ascii="仿宋" w:hAnsi="仿宋" w:eastAsia="仿宋" w:cs="仿宋"/>
          <w:bCs/>
          <w:sz w:val="24"/>
          <w:szCs w:val="24"/>
          <w:highlight w:val="none"/>
        </w:rPr>
        <w:t>（一）合同履约地点：甲方指定地点</w:t>
      </w:r>
    </w:p>
    <w:p w14:paraId="00049B7F">
      <w:pPr>
        <w:snapToGrid w:val="0"/>
        <w:spacing w:line="360" w:lineRule="auto"/>
        <w:ind w:left="638" w:leftChars="304"/>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（二）合同履行期限：合同签订后于2026年12月底前完成研发和建设。</w:t>
      </w:r>
    </w:p>
    <w:p w14:paraId="190D7517">
      <w:pPr>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四、质量验收标准或规范</w:t>
      </w:r>
    </w:p>
    <w:p w14:paraId="3B3DFC02">
      <w:pPr>
        <w:spacing w:line="500" w:lineRule="exact"/>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（1）验收要求满足本项目的技术要求，双方签订合同需包含以上全部技术要求的量化指标，并以此为准进行验收。</w:t>
      </w:r>
    </w:p>
    <w:p w14:paraId="0E09413C">
      <w:pPr>
        <w:spacing w:line="500" w:lineRule="exact"/>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（2）项目验收时应将设备操作手册、白皮书等及全部有关产品说明书、技术文件、资料、及安装、验收报告等文档汇集成册交付使用单位。</w:t>
      </w:r>
    </w:p>
    <w:p w14:paraId="4778009C">
      <w:pPr>
        <w:spacing w:line="500" w:lineRule="exact"/>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 xml:space="preserve">（3）验收费用由中标服务商全额承担；项目分为试运行验收、最终验收两个阶段，由服务商发起验收申请，采购人组织开展验收工作。 </w:t>
      </w:r>
    </w:p>
    <w:p w14:paraId="6FF26B78">
      <w:pPr>
        <w:spacing w:line="500" w:lineRule="exact"/>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（4）验收依据：合同及附加文本；招标文件、中标人的投标文件及澄清（承诺）函；国家相应的标准、规范。</w:t>
      </w:r>
    </w:p>
    <w:p w14:paraId="35A026D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五、成果交付要求</w:t>
      </w:r>
    </w:p>
    <w:p w14:paraId="4332B5F4">
      <w:pPr>
        <w:spacing w:line="500" w:lineRule="exact"/>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按照建设内容清单提交软硬件系统。</w:t>
      </w:r>
    </w:p>
    <w:p w14:paraId="528EB36B">
      <w:pPr>
        <w:spacing w:line="500" w:lineRule="exact"/>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项目建设过程的需求规格说明书、工作报告、技术报告、系统测试方案及用例、系统测试报告、运行维护手册、用户操作手册、部署手册、试运行方案、试运行评估报告、培训教程、项目总结报告等文档材料。</w:t>
      </w:r>
    </w:p>
    <w:p w14:paraId="2478232E">
      <w:pPr>
        <w:snapToGrid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lang w:val="en-US" w:eastAsia="zh-CN"/>
        </w:rPr>
        <w:t>六</w:t>
      </w:r>
      <w:r>
        <w:rPr>
          <w:rFonts w:hint="eastAsia" w:ascii="仿宋" w:hAnsi="仿宋" w:eastAsia="仿宋" w:cs="仿宋"/>
          <w:b/>
          <w:sz w:val="24"/>
          <w:szCs w:val="24"/>
          <w:highlight w:val="none"/>
        </w:rPr>
        <w:t>、甲方的权利及义务</w:t>
      </w:r>
    </w:p>
    <w:p w14:paraId="3926467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（一）甲方的权利</w:t>
      </w:r>
    </w:p>
    <w:p w14:paraId="7159E1F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1．甲方有权向乙方询问工作进展情况及相关的内容。</w:t>
      </w:r>
    </w:p>
    <w:p w14:paraId="73509B6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2．甲方有权阐述对具体问题的意见和建议。</w:t>
      </w:r>
    </w:p>
    <w:p w14:paraId="172795ED">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 甲方有权根据项目的具体情况，要求乙方按期到项目现场勘探解决争议。</w:t>
      </w:r>
    </w:p>
    <w:p w14:paraId="3C066717">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4．当甲方认定专业技术人员不按合同履行其职责，或与第三人串通给甲方造成经济损失的，甲方有权要求更换技术专业人员，直至终止合同并要求乙方承担相应的赔偿责任。</w:t>
      </w:r>
    </w:p>
    <w:p w14:paraId="749253EA">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（二）甲方的义务</w:t>
      </w:r>
    </w:p>
    <w:p w14:paraId="2769597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1．甲方应负责与本项目有关的第三人的协调，为乙方工作提供外部条件。</w:t>
      </w:r>
    </w:p>
    <w:p w14:paraId="1D127352">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2．甲方应当在约定的时间内，向乙方提供与本项目有关的资料。</w:t>
      </w:r>
    </w:p>
    <w:p w14:paraId="131F4D2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3．甲方应当按照合同约定支付合同价款。</w:t>
      </w:r>
    </w:p>
    <w:p w14:paraId="035F6FE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4．甲方应当授权胜任本项目的代表，负责与乙方联系。</w:t>
      </w:r>
    </w:p>
    <w:p w14:paraId="158F7EF1">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lang w:val="en-US" w:eastAsia="zh-CN"/>
        </w:rPr>
        <w:t>七</w:t>
      </w:r>
      <w:r>
        <w:rPr>
          <w:rFonts w:hint="eastAsia" w:ascii="仿宋" w:hAnsi="仿宋" w:eastAsia="仿宋" w:cs="仿宋"/>
          <w:b/>
          <w:sz w:val="24"/>
          <w:szCs w:val="24"/>
          <w:highlight w:val="none"/>
        </w:rPr>
        <w:t>、乙方的权利及义务</w:t>
      </w:r>
    </w:p>
    <w:p w14:paraId="171BF21D">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（一）乙方的权利</w:t>
      </w:r>
    </w:p>
    <w:p w14:paraId="533E848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1.乙方在项目实施过程中，发现甲方提供的技术资料、数据或者工作条件等不符合合同的约定或者存在问题的，应及时将情况书面通知甲方。</w:t>
      </w:r>
    </w:p>
    <w:p w14:paraId="66872AA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2．乙方在项目实施过程中，有权对第三人提出与本业务有关的问题进行核对或查问。</w:t>
      </w:r>
    </w:p>
    <w:p w14:paraId="52C086F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（二）乙方的义务</w:t>
      </w:r>
    </w:p>
    <w:p w14:paraId="630EBCB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1．向甲方提供与本项目有关的资料，包括承担本业务的专业人员名单、工作计划等，并按合同专用条件中约定的范围实施业务。</w:t>
      </w:r>
    </w:p>
    <w:p w14:paraId="2073EB5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2．按照合同约定和甲方要求的服务目标提供技术服务，解决技术问题，提供相关成果资料等服务，保证服务质量；</w:t>
      </w:r>
    </w:p>
    <w:p w14:paraId="7A43D345">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3．在项目实施期间，乙方应按照甲方的要求提供培训。同时，针对项目出现较大争议的情况，乙方能有效提出解决争议的方案。</w:t>
      </w:r>
    </w:p>
    <w:p w14:paraId="59D8D246">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4.技术服务存在质量缺陷的，乙方应负责改进和采取补救措施，以保证服务达到约定质量要求；甲方验收不合格的，乙方应进行返工，直至通过甲方验收为止，因此造成延误的，由乙方承担相关责任。</w:t>
      </w:r>
    </w:p>
    <w:p w14:paraId="7DACE4ED">
      <w:pPr>
        <w:autoSpaceDE w:val="0"/>
        <w:autoSpaceDN w:val="0"/>
        <w:adjustRightInd w:val="0"/>
        <w:spacing w:line="360" w:lineRule="auto"/>
        <w:ind w:firstLine="482" w:firstLineChars="200"/>
        <w:rPr>
          <w:rFonts w:hint="default"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八</w:t>
      </w:r>
      <w:r>
        <w:rPr>
          <w:rFonts w:hint="eastAsia" w:ascii="仿宋" w:hAnsi="仿宋" w:eastAsia="仿宋" w:cs="仿宋"/>
          <w:b/>
          <w:sz w:val="24"/>
          <w:szCs w:val="24"/>
          <w:highlight w:val="none"/>
        </w:rPr>
        <w:t>、测试、验收要求</w:t>
      </w:r>
      <w:r>
        <w:rPr>
          <w:rFonts w:hint="eastAsia" w:ascii="仿宋" w:hAnsi="仿宋" w:eastAsia="仿宋" w:cs="仿宋"/>
          <w:b/>
          <w:sz w:val="24"/>
          <w:szCs w:val="24"/>
          <w:highlight w:val="none"/>
          <w:lang w:val="en-US" w:eastAsia="zh-CN"/>
        </w:rPr>
        <w:t>及标准</w:t>
      </w:r>
    </w:p>
    <w:p w14:paraId="6F6D871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1、测试要求</w:t>
      </w:r>
    </w:p>
    <w:p w14:paraId="3E5651D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 按</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要求完成系统测试，提供完工文档和自行测试文档。测试以国家相关标准为依据，并满足系统集成时制定的目标。</w:t>
      </w:r>
    </w:p>
    <w:p w14:paraId="1ED5642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 软件测试以</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审定的功能详单为依据，编制相应测试文档，进行测试。</w:t>
      </w:r>
    </w:p>
    <w:p w14:paraId="169B16E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 </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组织完工测试。</w:t>
      </w:r>
    </w:p>
    <w:p w14:paraId="227FD563">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2、验收要求</w:t>
      </w:r>
    </w:p>
    <w:p w14:paraId="145A1E8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 系统测试中发现设备性能指标或功能上不符合标书和合同要求时，将被看作性能不合格。</w:t>
      </w:r>
    </w:p>
    <w:p w14:paraId="746A270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 系统能够达到国家测试标准及用户方系统测试要求。</w:t>
      </w:r>
    </w:p>
    <w:p w14:paraId="7F58DD4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 系统建设完成后，</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按本标书中的各项技术指标、规格、性能及方案进行验收。</w:t>
      </w:r>
    </w:p>
    <w:p w14:paraId="59A254C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 采购人、采购代理机构可以邀请参加本项目的其他供应商或者第三方专业机 构及专家参与验收，相关验收意见作为验收的参考资料。</w:t>
      </w:r>
    </w:p>
    <w:p w14:paraId="31069847">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3、验收依据：</w:t>
      </w:r>
    </w:p>
    <w:p w14:paraId="52CB9560">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 合同文本； </w:t>
      </w:r>
    </w:p>
    <w:p w14:paraId="0E752273">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 国家有关的验收标准及规范；</w:t>
      </w:r>
    </w:p>
    <w:p w14:paraId="799C661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 招标文件；</w:t>
      </w:r>
    </w:p>
    <w:p w14:paraId="362999EB">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 响应文件。</w:t>
      </w:r>
    </w:p>
    <w:p w14:paraId="12C62A17">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4、验收标准：</w:t>
      </w:r>
    </w:p>
    <w:p w14:paraId="11090DC3">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符合国家现行技术规范合格标准及采购人要求。</w:t>
      </w:r>
    </w:p>
    <w:p w14:paraId="4D70A6AB">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lang w:val="en-US" w:eastAsia="zh-CN"/>
        </w:rPr>
        <w:t>九</w:t>
      </w: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eastAsia="zh-Hans"/>
        </w:rPr>
        <w:t>技术服务要求</w:t>
      </w:r>
    </w:p>
    <w:p w14:paraId="157BF4D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质保期：3年，通过验收之日起，乙方提供应用系统部分3年免费技术支持服务；30分钟内完成远程诊断。需要现场解决的问题，乙方技术人员须在24小时内达到西安市气象局现场。</w:t>
      </w:r>
    </w:p>
    <w:p w14:paraId="40EA1406">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质保期内，乙方须配备一支稳定的专业技术服务团队，提供7*24小时的服务响应，并负责产品的一切维护工作。提供详细的售后服务计划，包括售后服务方式、人员配置、服务期限、故障响应及维修时间等。在出现故障后，乙方应在30分钟内完成远程登陆诊断，指导采购人排除故障；需要现场解决的问题，乙方技术人员应在24小时内到达现场，技术人员所发生的差旅费由乙方承担。</w:t>
      </w:r>
    </w:p>
    <w:p w14:paraId="1EA7E8A9">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提供超过质保期后的技术跟踪服务，包含电话疑难问题解答、远程技术指导等。</w:t>
      </w:r>
    </w:p>
    <w:p w14:paraId="538428E3">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lang w:val="en-US" w:eastAsia="zh-CN"/>
        </w:rPr>
        <w:t>十</w:t>
      </w:r>
      <w:r>
        <w:rPr>
          <w:rFonts w:hint="eastAsia" w:ascii="仿宋" w:hAnsi="仿宋" w:eastAsia="仿宋" w:cs="仿宋"/>
          <w:b/>
          <w:sz w:val="24"/>
          <w:szCs w:val="24"/>
          <w:highlight w:val="none"/>
        </w:rPr>
        <w:t>、知识产权</w:t>
      </w:r>
    </w:p>
    <w:p w14:paraId="62137C7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 xml:space="preserve">（一）乙方保证所提供的技术服务没有侵犯第三方专利权、专有技术、商业秘密及其他知识产权，若甲方使用乙方提供的技术服务成果受到第三方追究责任，由乙方负责妥善解决，并赔偿由此给甲方造成的所有损失（包括不限于对第三方权益的侵害和守约方维权所产生的律师费等费用）。 </w:t>
      </w:r>
    </w:p>
    <w:p w14:paraId="27E5F744">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 xml:space="preserve">（二）乙方无论出于任何目的如在其他地方使用该成果，必须经甲方同意方可使用。否则，甲方有权要求终止涉及到该中标知识产权的任何使用活动并保留追究卖方相应的法律责任的权利。 </w:t>
      </w:r>
    </w:p>
    <w:p w14:paraId="3700CD4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（三）乙方为执行本合同而提供的技术资料使用权归甲方所有。</w:t>
      </w:r>
    </w:p>
    <w:p w14:paraId="47E361E8">
      <w:pPr>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lang w:val="en-US" w:eastAsia="zh-CN"/>
        </w:rPr>
        <w:t>十一</w:t>
      </w:r>
      <w:r>
        <w:rPr>
          <w:rFonts w:hint="eastAsia" w:ascii="仿宋" w:hAnsi="仿宋" w:eastAsia="仿宋" w:cs="仿宋"/>
          <w:b/>
          <w:sz w:val="24"/>
          <w:szCs w:val="24"/>
          <w:highlight w:val="none"/>
        </w:rPr>
        <w:t>、保密规定</w:t>
      </w:r>
    </w:p>
    <w:p w14:paraId="06B7B25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71EE7653">
      <w:pPr>
        <w:autoSpaceDE w:val="0"/>
        <w:autoSpaceDN w:val="0"/>
        <w:adjustRightInd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二</w:t>
      </w:r>
      <w:r>
        <w:rPr>
          <w:rFonts w:hint="eastAsia" w:ascii="仿宋" w:hAnsi="仿宋" w:eastAsia="仿宋" w:cs="仿宋"/>
          <w:b/>
          <w:sz w:val="24"/>
          <w:szCs w:val="24"/>
          <w:highlight w:val="none"/>
        </w:rPr>
        <w:t>、其它事项</w:t>
      </w:r>
    </w:p>
    <w:p w14:paraId="5DD1EFC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（一）乙方不得转让、分包给其它单位或个人。</w:t>
      </w:r>
    </w:p>
    <w:p w14:paraId="65B1CB4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（二）乙方的投标文件和承诺等内容将列入合同。</w:t>
      </w:r>
    </w:p>
    <w:p w14:paraId="5801B4B6">
      <w:pPr>
        <w:autoSpaceDE w:val="0"/>
        <w:autoSpaceDN w:val="0"/>
        <w:adjustRightInd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三</w:t>
      </w:r>
      <w:r>
        <w:rPr>
          <w:rFonts w:hint="eastAsia" w:ascii="仿宋" w:hAnsi="仿宋" w:eastAsia="仿宋" w:cs="仿宋"/>
          <w:b/>
          <w:sz w:val="24"/>
          <w:szCs w:val="24"/>
          <w:highlight w:val="none"/>
        </w:rPr>
        <w:t>、违约责任</w:t>
      </w:r>
    </w:p>
    <w:p w14:paraId="44A4931A">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（一）按《中华人民共和国政府采购法》、《中华人民共和国民法典》中的相关条款执行。</w:t>
      </w:r>
    </w:p>
    <w:p w14:paraId="5F44C7B2">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未按合同要求提供服务或服务质量不能满足本次项目要求，甲方有权终止合同和对乙方违约行为进行追究，同时按有关规定进行相应的处罚</w:t>
      </w:r>
      <w:r>
        <w:rPr>
          <w:rFonts w:hint="eastAsia" w:ascii="仿宋" w:hAnsi="仿宋" w:eastAsia="仿宋" w:cs="仿宋"/>
          <w:bCs/>
          <w:sz w:val="24"/>
          <w:szCs w:val="24"/>
          <w:highlight w:val="none"/>
        </w:rPr>
        <w:t>。</w:t>
      </w:r>
    </w:p>
    <w:p w14:paraId="68A8C7FC">
      <w:pPr>
        <w:autoSpaceDE w:val="0"/>
        <w:autoSpaceDN w:val="0"/>
        <w:adjustRightInd w:val="0"/>
        <w:spacing w:line="360" w:lineRule="auto"/>
        <w:ind w:firstLine="482" w:firstLineChars="200"/>
        <w:rPr>
          <w:rFonts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、合同争议解决的方式</w:t>
      </w:r>
    </w:p>
    <w:p w14:paraId="2B50A6C0">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本合同在履行过程中发生的争议，由甲、乙双方当事人协商解决，协商不成的按下列第</w:t>
      </w:r>
      <w:r>
        <w:rPr>
          <w:rFonts w:hint="eastAsia" w:ascii="仿宋" w:hAnsi="仿宋" w:eastAsia="仿宋" w:cs="仿宋"/>
          <w:bCs/>
          <w:sz w:val="24"/>
          <w:szCs w:val="24"/>
          <w:highlight w:val="none"/>
          <w:u w:val="single"/>
        </w:rPr>
        <w:t>（</w:t>
      </w:r>
      <w:r>
        <w:rPr>
          <w:rFonts w:hint="eastAsia" w:ascii="仿宋" w:hAnsi="仿宋" w:eastAsia="仿宋" w:cs="仿宋"/>
          <w:bCs/>
          <w:sz w:val="24"/>
          <w:szCs w:val="24"/>
          <w:highlight w:val="none"/>
          <w:u w:val="single"/>
          <w:lang w:val="en-US" w:eastAsia="zh-CN"/>
        </w:rPr>
        <w:t>二</w:t>
      </w:r>
      <w:r>
        <w:rPr>
          <w:rFonts w:hint="eastAsia" w:ascii="仿宋" w:hAnsi="仿宋" w:eastAsia="仿宋" w:cs="仿宋"/>
          <w:bCs/>
          <w:sz w:val="24"/>
          <w:szCs w:val="24"/>
          <w:highlight w:val="none"/>
          <w:u w:val="single"/>
        </w:rPr>
        <w:t>）</w:t>
      </w:r>
      <w:r>
        <w:rPr>
          <w:rFonts w:hint="eastAsia" w:ascii="仿宋" w:hAnsi="仿宋" w:eastAsia="仿宋" w:cs="仿宋"/>
          <w:bCs/>
          <w:sz w:val="24"/>
          <w:szCs w:val="24"/>
          <w:highlight w:val="none"/>
        </w:rPr>
        <w:t>种方式解决：</w:t>
      </w:r>
    </w:p>
    <w:p w14:paraId="046968BA">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（一）提交西安仲裁委员会仲裁；</w:t>
      </w:r>
    </w:p>
    <w:p w14:paraId="57024896">
      <w:pPr>
        <w:autoSpaceDE w:val="0"/>
        <w:autoSpaceDN w:val="0"/>
        <w:adjustRightInd w:val="0"/>
        <w:spacing w:line="360" w:lineRule="auto"/>
        <w:ind w:firstLine="480" w:firstLineChars="200"/>
        <w:rPr>
          <w:rFonts w:ascii="仿宋" w:hAnsi="仿宋" w:eastAsia="仿宋" w:cs="仿宋"/>
          <w:bCs/>
          <w:color w:val="FF0000"/>
          <w:sz w:val="24"/>
          <w:szCs w:val="24"/>
          <w:highlight w:val="none"/>
        </w:rPr>
      </w:pPr>
      <w:r>
        <w:rPr>
          <w:rFonts w:hint="eastAsia" w:ascii="仿宋" w:hAnsi="仿宋" w:eastAsia="仿宋" w:cs="仿宋"/>
          <w:bCs/>
          <w:sz w:val="24"/>
          <w:szCs w:val="24"/>
          <w:highlight w:val="none"/>
        </w:rPr>
        <w:t>（二）依法向甲方所在地法院起诉。</w:t>
      </w:r>
    </w:p>
    <w:p w14:paraId="72E23395">
      <w:pPr>
        <w:autoSpaceDE w:val="0"/>
        <w:autoSpaceDN w:val="0"/>
        <w:adjustRightInd w:val="0"/>
        <w:spacing w:line="360" w:lineRule="auto"/>
        <w:ind w:firstLine="482" w:firstLineChars="200"/>
        <w:rPr>
          <w:rFonts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五</w:t>
      </w:r>
      <w:r>
        <w:rPr>
          <w:rFonts w:hint="eastAsia" w:ascii="仿宋" w:hAnsi="仿宋" w:eastAsia="仿宋" w:cs="仿宋"/>
          <w:b/>
          <w:bCs/>
          <w:sz w:val="24"/>
          <w:szCs w:val="24"/>
          <w:highlight w:val="none"/>
        </w:rPr>
        <w:t>、合同生效</w:t>
      </w:r>
    </w:p>
    <w:p w14:paraId="35829128">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（一）本合同经双方签字盖章后生效。</w:t>
      </w:r>
    </w:p>
    <w:p w14:paraId="5E363676">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（二）本合同须经甲、乙双方的法定代表人（授权代理人）在合同书上签字并加盖本单位公章后正式生效。</w:t>
      </w:r>
    </w:p>
    <w:p w14:paraId="331BCB2B">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（三）合同生效后，甲、乙双方须严格执行本合同条款的规定，全面履行合同，违者按《中华人民共和国民法典》的有关规定承担相应责任。</w:t>
      </w:r>
    </w:p>
    <w:p w14:paraId="10F4679D">
      <w:pPr>
        <w:autoSpaceDE w:val="0"/>
        <w:autoSpaceDN w:val="0"/>
        <w:adjustRightInd w:val="0"/>
        <w:spacing w:line="360" w:lineRule="auto"/>
        <w:ind w:firstLine="480" w:firstLineChars="200"/>
        <w:rPr>
          <w:rFonts w:ascii="仿宋" w:hAnsi="仿宋" w:eastAsia="仿宋" w:cs="仿宋"/>
          <w:bCs/>
          <w:sz w:val="24"/>
          <w:szCs w:val="24"/>
          <w:highlight w:val="none"/>
        </w:rPr>
      </w:pPr>
      <w:r>
        <w:rPr>
          <w:rFonts w:hint="eastAsia" w:ascii="仿宋" w:hAnsi="仿宋" w:eastAsia="仿宋" w:cs="仿宋"/>
          <w:bCs/>
          <w:sz w:val="24"/>
          <w:szCs w:val="24"/>
          <w:highlight w:val="none"/>
        </w:rPr>
        <w:t>（四）本合同一式</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份，甲乙双方各执</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份。</w:t>
      </w:r>
    </w:p>
    <w:p w14:paraId="77AD6A55">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bCs/>
          <w:sz w:val="24"/>
          <w:szCs w:val="24"/>
          <w:highlight w:val="none"/>
        </w:rPr>
        <w:t>（五）本合同如有未尽事宜，甲、乙双方协商解决。</w:t>
      </w:r>
    </w:p>
    <w:p w14:paraId="7927A224">
      <w:pPr>
        <w:pStyle w:val="3"/>
        <w:jc w:val="center"/>
        <w:rPr>
          <w:rFonts w:ascii="仿宋" w:hAnsi="仿宋" w:eastAsia="仿宋" w:cs="仿宋"/>
          <w:sz w:val="24"/>
          <w:highlight w:val="none"/>
        </w:rPr>
      </w:pPr>
    </w:p>
    <w:tbl>
      <w:tblPr>
        <w:tblStyle w:val="4"/>
        <w:tblW w:w="0" w:type="auto"/>
        <w:jc w:val="center"/>
        <w:tblLayout w:type="fixed"/>
        <w:tblCellMar>
          <w:top w:w="0" w:type="dxa"/>
          <w:left w:w="108" w:type="dxa"/>
          <w:bottom w:w="0" w:type="dxa"/>
          <w:right w:w="108" w:type="dxa"/>
        </w:tblCellMar>
      </w:tblPr>
      <w:tblGrid>
        <w:gridCol w:w="4199"/>
        <w:gridCol w:w="4200"/>
      </w:tblGrid>
      <w:tr w14:paraId="20040116">
        <w:tblPrEx>
          <w:tblCellMar>
            <w:top w:w="0" w:type="dxa"/>
            <w:left w:w="108" w:type="dxa"/>
            <w:bottom w:w="0" w:type="dxa"/>
            <w:right w:w="108" w:type="dxa"/>
          </w:tblCellMar>
        </w:tblPrEx>
        <w:trPr>
          <w:trHeight w:val="490" w:hRule="exact"/>
          <w:jc w:val="center"/>
        </w:trPr>
        <w:tc>
          <w:tcPr>
            <w:tcW w:w="4199" w:type="dxa"/>
            <w:vAlign w:val="center"/>
          </w:tcPr>
          <w:p w14:paraId="09E639D6">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甲  方</w:t>
            </w:r>
          </w:p>
        </w:tc>
        <w:tc>
          <w:tcPr>
            <w:tcW w:w="4200" w:type="dxa"/>
            <w:vAlign w:val="center"/>
          </w:tcPr>
          <w:p w14:paraId="6092D95F">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乙  方</w:t>
            </w:r>
          </w:p>
        </w:tc>
      </w:tr>
      <w:tr w14:paraId="7EFD071A">
        <w:tblPrEx>
          <w:tblCellMar>
            <w:top w:w="0" w:type="dxa"/>
            <w:left w:w="108" w:type="dxa"/>
            <w:bottom w:w="0" w:type="dxa"/>
            <w:right w:w="108" w:type="dxa"/>
          </w:tblCellMar>
        </w:tblPrEx>
        <w:trPr>
          <w:trHeight w:val="490" w:hRule="exact"/>
          <w:jc w:val="center"/>
        </w:trPr>
        <w:tc>
          <w:tcPr>
            <w:tcW w:w="4199" w:type="dxa"/>
            <w:vAlign w:val="center"/>
          </w:tcPr>
          <w:p w14:paraId="4DEB2461">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（盖章）</w:t>
            </w:r>
          </w:p>
        </w:tc>
        <w:tc>
          <w:tcPr>
            <w:tcW w:w="4200" w:type="dxa"/>
            <w:vAlign w:val="center"/>
          </w:tcPr>
          <w:p w14:paraId="120C388D">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（盖章）</w:t>
            </w:r>
          </w:p>
        </w:tc>
      </w:tr>
      <w:tr w14:paraId="1D7CBF28">
        <w:tblPrEx>
          <w:tblCellMar>
            <w:top w:w="0" w:type="dxa"/>
            <w:left w:w="108" w:type="dxa"/>
            <w:bottom w:w="0" w:type="dxa"/>
            <w:right w:w="108" w:type="dxa"/>
          </w:tblCellMar>
        </w:tblPrEx>
        <w:trPr>
          <w:trHeight w:val="490" w:hRule="exact"/>
          <w:jc w:val="center"/>
        </w:trPr>
        <w:tc>
          <w:tcPr>
            <w:tcW w:w="4199" w:type="dxa"/>
            <w:vAlign w:val="center"/>
          </w:tcPr>
          <w:p w14:paraId="3AD39225">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 xml:space="preserve">地址： </w:t>
            </w:r>
          </w:p>
        </w:tc>
        <w:tc>
          <w:tcPr>
            <w:tcW w:w="4200" w:type="dxa"/>
            <w:vAlign w:val="center"/>
          </w:tcPr>
          <w:p w14:paraId="55E47340">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地址：</w:t>
            </w:r>
          </w:p>
        </w:tc>
      </w:tr>
      <w:tr w14:paraId="25232F5F">
        <w:tblPrEx>
          <w:tblCellMar>
            <w:top w:w="0" w:type="dxa"/>
            <w:left w:w="108" w:type="dxa"/>
            <w:bottom w:w="0" w:type="dxa"/>
            <w:right w:w="108" w:type="dxa"/>
          </w:tblCellMar>
        </w:tblPrEx>
        <w:trPr>
          <w:trHeight w:val="490" w:hRule="exact"/>
          <w:jc w:val="center"/>
        </w:trPr>
        <w:tc>
          <w:tcPr>
            <w:tcW w:w="4199" w:type="dxa"/>
            <w:vAlign w:val="center"/>
          </w:tcPr>
          <w:p w14:paraId="03F86BD2">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邮编：</w:t>
            </w:r>
          </w:p>
        </w:tc>
        <w:tc>
          <w:tcPr>
            <w:tcW w:w="4200" w:type="dxa"/>
            <w:vAlign w:val="center"/>
          </w:tcPr>
          <w:p w14:paraId="2527AA27">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邮编：</w:t>
            </w:r>
          </w:p>
        </w:tc>
      </w:tr>
      <w:tr w14:paraId="2F1019EE">
        <w:tblPrEx>
          <w:tblCellMar>
            <w:top w:w="0" w:type="dxa"/>
            <w:left w:w="108" w:type="dxa"/>
            <w:bottom w:w="0" w:type="dxa"/>
            <w:right w:w="108" w:type="dxa"/>
          </w:tblCellMar>
        </w:tblPrEx>
        <w:trPr>
          <w:trHeight w:val="490" w:hRule="exact"/>
          <w:jc w:val="center"/>
        </w:trPr>
        <w:tc>
          <w:tcPr>
            <w:tcW w:w="4199" w:type="dxa"/>
            <w:vAlign w:val="center"/>
          </w:tcPr>
          <w:p w14:paraId="2CEA836C">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 xml:space="preserve">法定代表人： </w:t>
            </w:r>
          </w:p>
        </w:tc>
        <w:tc>
          <w:tcPr>
            <w:tcW w:w="4200" w:type="dxa"/>
            <w:vAlign w:val="center"/>
          </w:tcPr>
          <w:p w14:paraId="4C9D8A44">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法定代表人：</w:t>
            </w:r>
          </w:p>
        </w:tc>
      </w:tr>
      <w:tr w14:paraId="320BFEFD">
        <w:tblPrEx>
          <w:tblCellMar>
            <w:top w:w="0" w:type="dxa"/>
            <w:left w:w="108" w:type="dxa"/>
            <w:bottom w:w="0" w:type="dxa"/>
            <w:right w:w="108" w:type="dxa"/>
          </w:tblCellMar>
        </w:tblPrEx>
        <w:trPr>
          <w:trHeight w:val="490" w:hRule="exact"/>
          <w:jc w:val="center"/>
        </w:trPr>
        <w:tc>
          <w:tcPr>
            <w:tcW w:w="4199" w:type="dxa"/>
            <w:vAlign w:val="center"/>
          </w:tcPr>
          <w:p w14:paraId="1CAF6059">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被授权代表：</w:t>
            </w:r>
          </w:p>
        </w:tc>
        <w:tc>
          <w:tcPr>
            <w:tcW w:w="4200" w:type="dxa"/>
            <w:vAlign w:val="center"/>
          </w:tcPr>
          <w:p w14:paraId="6D6098CA">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被授权代表：</w:t>
            </w:r>
          </w:p>
        </w:tc>
      </w:tr>
      <w:tr w14:paraId="7E907776">
        <w:tblPrEx>
          <w:tblCellMar>
            <w:top w:w="0" w:type="dxa"/>
            <w:left w:w="108" w:type="dxa"/>
            <w:bottom w:w="0" w:type="dxa"/>
            <w:right w:w="108" w:type="dxa"/>
          </w:tblCellMar>
        </w:tblPrEx>
        <w:trPr>
          <w:trHeight w:val="490" w:hRule="exact"/>
          <w:jc w:val="center"/>
        </w:trPr>
        <w:tc>
          <w:tcPr>
            <w:tcW w:w="4199" w:type="dxa"/>
            <w:vAlign w:val="center"/>
          </w:tcPr>
          <w:p w14:paraId="283D226E">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电话：</w:t>
            </w:r>
          </w:p>
        </w:tc>
        <w:tc>
          <w:tcPr>
            <w:tcW w:w="4200" w:type="dxa"/>
            <w:vAlign w:val="center"/>
          </w:tcPr>
          <w:p w14:paraId="19AD2520">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电话：</w:t>
            </w:r>
          </w:p>
        </w:tc>
      </w:tr>
      <w:tr w14:paraId="4E0C64CC">
        <w:tblPrEx>
          <w:tblCellMar>
            <w:top w:w="0" w:type="dxa"/>
            <w:left w:w="108" w:type="dxa"/>
            <w:bottom w:w="0" w:type="dxa"/>
            <w:right w:w="108" w:type="dxa"/>
          </w:tblCellMar>
        </w:tblPrEx>
        <w:trPr>
          <w:trHeight w:val="490" w:hRule="exact"/>
          <w:jc w:val="center"/>
        </w:trPr>
        <w:tc>
          <w:tcPr>
            <w:tcW w:w="4199" w:type="dxa"/>
            <w:vAlign w:val="center"/>
          </w:tcPr>
          <w:p w14:paraId="68F20814">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传真：</w:t>
            </w:r>
          </w:p>
        </w:tc>
        <w:tc>
          <w:tcPr>
            <w:tcW w:w="4200" w:type="dxa"/>
            <w:vAlign w:val="center"/>
          </w:tcPr>
          <w:p w14:paraId="054D264B">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传真：</w:t>
            </w:r>
          </w:p>
        </w:tc>
      </w:tr>
      <w:tr w14:paraId="0566CA53">
        <w:tblPrEx>
          <w:tblCellMar>
            <w:top w:w="0" w:type="dxa"/>
            <w:left w:w="108" w:type="dxa"/>
            <w:bottom w:w="0" w:type="dxa"/>
            <w:right w:w="108" w:type="dxa"/>
          </w:tblCellMar>
        </w:tblPrEx>
        <w:trPr>
          <w:trHeight w:val="490" w:hRule="exact"/>
          <w:jc w:val="center"/>
        </w:trPr>
        <w:tc>
          <w:tcPr>
            <w:tcW w:w="4199" w:type="dxa"/>
            <w:vAlign w:val="center"/>
          </w:tcPr>
          <w:p w14:paraId="0F7FBFA9">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开户银行：</w:t>
            </w:r>
          </w:p>
        </w:tc>
        <w:tc>
          <w:tcPr>
            <w:tcW w:w="4200" w:type="dxa"/>
            <w:vAlign w:val="center"/>
          </w:tcPr>
          <w:p w14:paraId="49A520E7">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开户银行：</w:t>
            </w:r>
          </w:p>
        </w:tc>
      </w:tr>
      <w:tr w14:paraId="230A62AA">
        <w:tblPrEx>
          <w:tblCellMar>
            <w:top w:w="0" w:type="dxa"/>
            <w:left w:w="108" w:type="dxa"/>
            <w:bottom w:w="0" w:type="dxa"/>
            <w:right w:w="108" w:type="dxa"/>
          </w:tblCellMar>
        </w:tblPrEx>
        <w:trPr>
          <w:trHeight w:val="490" w:hRule="exact"/>
          <w:jc w:val="center"/>
        </w:trPr>
        <w:tc>
          <w:tcPr>
            <w:tcW w:w="4199" w:type="dxa"/>
            <w:vAlign w:val="center"/>
          </w:tcPr>
          <w:p w14:paraId="50586205">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日期：</w:t>
            </w:r>
          </w:p>
        </w:tc>
        <w:tc>
          <w:tcPr>
            <w:tcW w:w="4200" w:type="dxa"/>
            <w:vAlign w:val="center"/>
          </w:tcPr>
          <w:p w14:paraId="093DF7C1">
            <w:pPr>
              <w:pStyle w:val="3"/>
              <w:spacing w:after="0" w:line="360" w:lineRule="auto"/>
              <w:ind w:firstLine="420" w:firstLineChars="200"/>
              <w:rPr>
                <w:rFonts w:ascii="仿宋" w:hAnsi="仿宋" w:eastAsia="仿宋" w:cs="仿宋"/>
                <w:sz w:val="21"/>
                <w:szCs w:val="21"/>
                <w:highlight w:val="none"/>
              </w:rPr>
            </w:pPr>
            <w:r>
              <w:rPr>
                <w:rFonts w:hint="eastAsia" w:ascii="仿宋" w:hAnsi="仿宋" w:eastAsia="仿宋" w:cs="仿宋"/>
                <w:sz w:val="21"/>
                <w:szCs w:val="21"/>
                <w:highlight w:val="none"/>
              </w:rPr>
              <w:t>日期：</w:t>
            </w:r>
          </w:p>
        </w:tc>
      </w:tr>
    </w:tbl>
    <w:p w14:paraId="5BA7BE4B">
      <w:pPr>
        <w:rPr>
          <w:rFonts w:ascii="宋体" w:hAnsi="宋体" w:eastAsia="宋体" w:cs="宋体"/>
          <w:sz w:val="18"/>
          <w:szCs w:val="21"/>
          <w:highlight w:val="none"/>
        </w:rPr>
      </w:pPr>
    </w:p>
    <w:p w14:paraId="09C43E1F"/>
    <w:p w14:paraId="63FFF41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D2AAD"/>
    <w:rsid w:val="158D0AAA"/>
    <w:rsid w:val="21987595"/>
    <w:rsid w:val="45890EDF"/>
    <w:rsid w:val="52766312"/>
    <w:rsid w:val="56C75562"/>
    <w:rsid w:val="58922695"/>
    <w:rsid w:val="6059451F"/>
    <w:rsid w:val="78B405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eastAsia="宋体"/>
      <w:sz w:val="24"/>
      <w:szCs w:val="22"/>
    </w:rPr>
  </w:style>
  <w:style w:type="paragraph" w:styleId="3">
    <w:name w:val="Body Text"/>
    <w:basedOn w:val="1"/>
    <w:qFormat/>
    <w:uiPriority w:val="0"/>
    <w:pPr>
      <w:wordWrap w:val="0"/>
      <w:spacing w:line="360" w:lineRule="auto"/>
      <w:ind w:firstLine="480" w:firstLineChars="200"/>
    </w:pPr>
    <w:rPr>
      <w:rFonts w:ascii="Times New Roman" w:hAnsi="Times New Roman" w:eastAsia="宋体" w:cs="宋体"/>
      <w:sz w:val="24"/>
    </w:r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3052</Words>
  <Characters>3086</Characters>
  <Lines>0</Lines>
  <Paragraphs>0</Paragraphs>
  <TotalTime>0</TotalTime>
  <ScaleCrop>false</ScaleCrop>
  <LinksUpToDate>false</LinksUpToDate>
  <CharactersWithSpaces>3775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2026-04-28T12:55:00Z</dcterms:created>
  <dc:creator>18049</dc:creator>
  <cp:lastModifiedBy>江南立雨</cp:lastModifiedBy>
  <dcterms:modified xsi:type="dcterms:W3CDTF">2026-06-03T02:04:40Z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eyJoZGlkIjoiZmYzM2UxMzBhZDlhZDRmMjFmYzIzMDA1N2ViZmNlYzUiLCJ1c2VySWQiOiI0MjgxMzk2MjgifQ==</vt:lpwstr>
  </property>
  <property fmtid="{D5CDD505-2E9C-101B-9397-08002B2CF9AE}" pid="4" name="ICV">
    <vt:lpwstr>6A70DCBF2EEA4EB188504B98965E7F90_13</vt:lpwstr>
  </property>
</Properties>
</file>