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758BED">
      <w:pPr>
        <w:pStyle w:val="6"/>
        <w:ind w:left="0" w:leftChars="0" w:firstLine="0" w:firstLineChars="0"/>
        <w:rPr>
          <w:rFonts w:hint="eastAsia" w:ascii="宋体" w:hAnsi="宋体" w:eastAsia="宋体" w:cs="宋体"/>
          <w:b/>
          <w:sz w:val="32"/>
          <w:szCs w:val="32"/>
          <w:lang w:val="en-US" w:eastAsia="zh-CN"/>
        </w:rPr>
      </w:pPr>
    </w:p>
    <w:p w14:paraId="6CC0CE97">
      <w:pPr>
        <w:pStyle w:val="6"/>
        <w:ind w:left="0" w:leftChars="0" w:firstLine="0" w:firstLineChars="0"/>
        <w:rPr>
          <w:rFonts w:hint="default" w:ascii="宋体" w:hAnsi="宋体" w:eastAsia="宋体" w:cs="宋体"/>
          <w:b/>
          <w:sz w:val="32"/>
          <w:szCs w:val="32"/>
          <w:lang w:val="en-US" w:eastAsia="zh-CN"/>
        </w:rPr>
      </w:pPr>
      <w:r>
        <w:rPr>
          <w:rFonts w:hint="eastAsia" w:ascii="宋体" w:hAnsi="宋体" w:eastAsia="宋体" w:cs="宋体"/>
          <w:b/>
          <w:sz w:val="32"/>
          <w:szCs w:val="32"/>
          <w:lang w:val="en-US" w:eastAsia="zh-CN"/>
        </w:rPr>
        <w:t>项目编号：SYHZ-2026-07</w:t>
      </w:r>
    </w:p>
    <w:p w14:paraId="29BA59E6">
      <w:pPr>
        <w:pStyle w:val="6"/>
        <w:ind w:left="0" w:leftChars="0" w:firstLine="0" w:firstLineChars="0"/>
        <w:rPr>
          <w:rFonts w:hint="eastAsia"/>
        </w:rPr>
      </w:pPr>
    </w:p>
    <w:p w14:paraId="7373839B">
      <w:pPr>
        <w:pStyle w:val="6"/>
        <w:ind w:left="0" w:leftChars="0" w:firstLine="0" w:firstLineChars="0"/>
        <w:rPr>
          <w:rFonts w:hint="eastAsia"/>
        </w:rPr>
      </w:pPr>
    </w:p>
    <w:p w14:paraId="78F505A1">
      <w:pPr>
        <w:pStyle w:val="6"/>
        <w:ind w:left="0" w:leftChars="0" w:firstLine="0" w:firstLineChars="0"/>
        <w:rPr>
          <w:rFonts w:hint="eastAsia"/>
        </w:rPr>
      </w:pPr>
    </w:p>
    <w:p w14:paraId="45489116">
      <w:pPr>
        <w:spacing w:beforeAutospacing="0" w:line="360" w:lineRule="auto"/>
        <w:jc w:val="center"/>
        <w:rPr>
          <w:rFonts w:hint="eastAsia" w:ascii="宋体" w:hAnsi="宋体" w:cs="宋体"/>
          <w:b/>
          <w:sz w:val="60"/>
          <w:szCs w:val="60"/>
          <w:lang w:val="en-US" w:eastAsia="zh-CN"/>
        </w:rPr>
      </w:pPr>
      <w:r>
        <w:rPr>
          <w:rFonts w:hint="eastAsia" w:ascii="宋体" w:hAnsi="宋体" w:cs="宋体"/>
          <w:b/>
          <w:sz w:val="60"/>
          <w:szCs w:val="60"/>
          <w:lang w:val="en-US" w:eastAsia="zh-CN"/>
        </w:rPr>
        <w:t>绥德县第二净水厂化验设备采购</w:t>
      </w:r>
    </w:p>
    <w:p w14:paraId="52292C43">
      <w:pPr>
        <w:spacing w:beforeAutospacing="0" w:line="360" w:lineRule="auto"/>
        <w:jc w:val="center"/>
        <w:rPr>
          <w:rFonts w:hint="eastAsia" w:ascii="宋体" w:hAnsi="宋体" w:cs="宋体"/>
          <w:b/>
          <w:sz w:val="60"/>
          <w:szCs w:val="60"/>
          <w:lang w:val="en-US" w:eastAsia="zh-CN"/>
        </w:rPr>
      </w:pPr>
    </w:p>
    <w:p w14:paraId="6B852EB4">
      <w:pPr>
        <w:spacing w:beforeAutospacing="0" w:line="360" w:lineRule="auto"/>
        <w:jc w:val="center"/>
        <w:rPr>
          <w:rFonts w:hint="eastAsia" w:ascii="宋体" w:hAnsi="宋体" w:eastAsia="宋体" w:cs="宋体"/>
          <w:b/>
          <w:bCs/>
          <w:color w:val="auto"/>
          <w:kern w:val="2"/>
          <w:sz w:val="20"/>
          <w:szCs w:val="20"/>
          <w:lang w:val="en-US" w:eastAsia="zh-CN" w:bidi="ar-SA"/>
        </w:rPr>
      </w:pPr>
    </w:p>
    <w:p w14:paraId="08A61589">
      <w:pPr>
        <w:spacing w:beforeAutospacing="0" w:line="360" w:lineRule="auto"/>
        <w:jc w:val="both"/>
        <w:rPr>
          <w:rFonts w:hint="eastAsia" w:ascii="宋体" w:hAnsi="宋体" w:eastAsia="宋体" w:cs="宋体"/>
          <w:b/>
          <w:bCs/>
          <w:color w:val="auto"/>
          <w:kern w:val="2"/>
          <w:sz w:val="20"/>
          <w:szCs w:val="20"/>
          <w:lang w:val="en-US" w:eastAsia="zh-CN" w:bidi="ar-SA"/>
        </w:rPr>
      </w:pPr>
    </w:p>
    <w:p w14:paraId="4403FF7F">
      <w:pPr>
        <w:spacing w:beforeAutospacing="0" w:line="360" w:lineRule="auto"/>
        <w:jc w:val="center"/>
        <w:rPr>
          <w:rFonts w:hint="default" w:ascii="宋体" w:hAnsi="宋体" w:eastAsia="宋体" w:cs="宋体"/>
          <w:b/>
          <w:color w:val="auto"/>
          <w:sz w:val="96"/>
          <w:szCs w:val="96"/>
          <w:lang w:val="en-US" w:eastAsia="zh-CN"/>
        </w:rPr>
      </w:pPr>
      <w:r>
        <w:rPr>
          <w:rFonts w:hint="eastAsia" w:ascii="宋体" w:hAnsi="宋体" w:cs="宋体"/>
          <w:b/>
          <w:bCs/>
          <w:color w:val="auto"/>
          <w:sz w:val="96"/>
          <w:szCs w:val="96"/>
          <w:lang w:val="en-US" w:eastAsia="zh-CN"/>
        </w:rPr>
        <w:t>竞争性谈判文件</w:t>
      </w:r>
    </w:p>
    <w:p w14:paraId="677D2BF6">
      <w:pPr>
        <w:pStyle w:val="4"/>
        <w:jc w:val="center"/>
        <w:rPr>
          <w:rFonts w:hint="eastAsia" w:eastAsia="宋体"/>
          <w:color w:val="auto"/>
          <w:lang w:eastAsia="zh-CN"/>
        </w:rPr>
      </w:pPr>
    </w:p>
    <w:p w14:paraId="180676B3">
      <w:pPr>
        <w:rPr>
          <w:rFonts w:hint="eastAsia" w:eastAsia="宋体"/>
          <w:color w:val="auto"/>
          <w:lang w:eastAsia="zh-CN"/>
        </w:rPr>
      </w:pPr>
    </w:p>
    <w:p w14:paraId="321C9C34">
      <w:pPr>
        <w:rPr>
          <w:rFonts w:hint="eastAsia" w:eastAsia="宋体"/>
          <w:color w:val="auto"/>
          <w:lang w:eastAsia="zh-CN"/>
        </w:rPr>
      </w:pPr>
    </w:p>
    <w:p w14:paraId="677386DD">
      <w:pPr>
        <w:rPr>
          <w:rFonts w:hint="eastAsia" w:eastAsia="宋体"/>
          <w:color w:val="auto"/>
          <w:lang w:eastAsia="zh-CN"/>
        </w:rPr>
      </w:pPr>
    </w:p>
    <w:p w14:paraId="39E1A105">
      <w:pPr>
        <w:rPr>
          <w:rFonts w:hint="eastAsia" w:eastAsia="宋体"/>
          <w:color w:val="auto"/>
          <w:lang w:eastAsia="zh-CN"/>
        </w:rPr>
      </w:pPr>
    </w:p>
    <w:p w14:paraId="243ED41D">
      <w:pPr>
        <w:rPr>
          <w:rFonts w:hint="eastAsia" w:eastAsia="宋体"/>
          <w:color w:val="auto"/>
          <w:lang w:eastAsia="zh-CN"/>
        </w:rPr>
      </w:pPr>
    </w:p>
    <w:p w14:paraId="39E53CAD">
      <w:pPr>
        <w:rPr>
          <w:rFonts w:hint="eastAsia" w:eastAsia="宋体"/>
          <w:color w:val="auto"/>
          <w:lang w:eastAsia="zh-CN"/>
        </w:rPr>
      </w:pPr>
    </w:p>
    <w:p w14:paraId="69BD9F79">
      <w:pPr>
        <w:pStyle w:val="4"/>
        <w:jc w:val="center"/>
        <w:rPr>
          <w:rFonts w:hint="eastAsia" w:eastAsia="宋体"/>
          <w:color w:val="auto"/>
          <w:lang w:val="en-US" w:eastAsia="zh-CN"/>
        </w:rPr>
      </w:pPr>
    </w:p>
    <w:p w14:paraId="4EBE8958">
      <w:pPr>
        <w:pStyle w:val="4"/>
        <w:jc w:val="center"/>
        <w:rPr>
          <w:rFonts w:hint="eastAsia" w:eastAsia="宋体"/>
          <w:color w:val="auto"/>
          <w:lang w:val="en-US" w:eastAsia="zh-CN"/>
        </w:rPr>
      </w:pPr>
    </w:p>
    <w:p w14:paraId="0FC49B54">
      <w:pPr>
        <w:keepNext w:val="0"/>
        <w:keepLines w:val="0"/>
        <w:widowControl/>
        <w:suppressLineNumbers w:val="0"/>
        <w:jc w:val="left"/>
        <w:rPr>
          <w:rFonts w:hint="eastAsia" w:ascii="宋体" w:hAnsi="宋体" w:eastAsia="宋体" w:cs="宋体"/>
          <w:b/>
          <w:bCs/>
          <w:color w:val="auto"/>
          <w:sz w:val="36"/>
          <w:szCs w:val="36"/>
          <w:lang w:eastAsia="zh-CN"/>
        </w:rPr>
      </w:pPr>
      <w:r>
        <w:rPr>
          <w:rFonts w:hint="eastAsia" w:ascii="宋体" w:hAnsi="宋体" w:cs="宋体"/>
          <w:b/>
          <w:bCs/>
          <w:color w:val="auto"/>
          <w:sz w:val="36"/>
          <w:szCs w:val="36"/>
          <w:lang w:val="en-US" w:eastAsia="zh-CN"/>
        </w:rPr>
        <w:t>招标人</w:t>
      </w:r>
      <w:r>
        <w:rPr>
          <w:rFonts w:hint="eastAsia" w:ascii="宋体" w:hAnsi="宋体" w:cs="宋体"/>
          <w:b/>
          <w:bCs/>
          <w:color w:val="auto"/>
          <w:sz w:val="36"/>
          <w:szCs w:val="36"/>
          <w:lang w:eastAsia="zh-CN"/>
        </w:rPr>
        <w:t>：</w:t>
      </w:r>
      <w:r>
        <w:rPr>
          <w:rFonts w:hint="eastAsia" w:ascii="宋体" w:hAnsi="宋体" w:cs="宋体"/>
          <w:b/>
          <w:bCs/>
          <w:sz w:val="36"/>
          <w:szCs w:val="36"/>
          <w:u w:val="none"/>
          <w:lang w:val="en-US" w:eastAsia="zh-CN"/>
        </w:rPr>
        <w:t>绥德县城市管理执法局</w:t>
      </w:r>
    </w:p>
    <w:p w14:paraId="3FFD8351">
      <w:pPr>
        <w:keepNext w:val="0"/>
        <w:keepLines w:val="0"/>
        <w:pageBreakBefore w:val="0"/>
        <w:widowControl w:val="0"/>
        <w:kinsoku/>
        <w:wordWrap/>
        <w:overflowPunct/>
        <w:topLinePunct w:val="0"/>
        <w:autoSpaceDE/>
        <w:autoSpaceDN/>
        <w:bidi w:val="0"/>
        <w:adjustRightInd/>
        <w:snapToGrid/>
        <w:spacing w:line="720" w:lineRule="auto"/>
        <w:jc w:val="left"/>
        <w:textAlignment w:val="auto"/>
        <w:rPr>
          <w:rFonts w:hint="eastAsia" w:ascii="宋体" w:hAnsi="宋体" w:cs="宋体"/>
          <w:b/>
          <w:bCs/>
          <w:color w:val="auto"/>
          <w:sz w:val="36"/>
          <w:szCs w:val="36"/>
          <w:lang w:eastAsia="zh-CN"/>
        </w:rPr>
      </w:pPr>
      <w:r>
        <w:rPr>
          <w:rFonts w:hint="eastAsia" w:ascii="宋体" w:hAnsi="宋体" w:cs="宋体"/>
          <w:b/>
          <w:bCs/>
          <w:color w:val="auto"/>
          <w:sz w:val="36"/>
          <w:szCs w:val="36"/>
        </w:rPr>
        <w:t>代理机构：</w:t>
      </w:r>
      <w:r>
        <w:rPr>
          <w:rFonts w:hint="eastAsia" w:ascii="宋体" w:hAnsi="宋体" w:cs="宋体"/>
          <w:b/>
          <w:bCs/>
          <w:color w:val="auto"/>
          <w:sz w:val="36"/>
          <w:szCs w:val="36"/>
          <w:lang w:eastAsia="zh-CN"/>
        </w:rPr>
        <w:t>陕西盛誉恒正项目管理有限公司</w:t>
      </w:r>
    </w:p>
    <w:p w14:paraId="25753BB1">
      <w:pPr>
        <w:keepNext w:val="0"/>
        <w:keepLines w:val="0"/>
        <w:pageBreakBefore w:val="0"/>
        <w:widowControl w:val="0"/>
        <w:kinsoku/>
        <w:wordWrap/>
        <w:overflowPunct/>
        <w:topLinePunct w:val="0"/>
        <w:autoSpaceDE/>
        <w:autoSpaceDN/>
        <w:bidi w:val="0"/>
        <w:adjustRightInd/>
        <w:snapToGrid/>
        <w:spacing w:line="720" w:lineRule="auto"/>
        <w:jc w:val="left"/>
        <w:textAlignment w:val="auto"/>
        <w:rPr>
          <w:rFonts w:hint="default" w:ascii="宋体" w:hAnsi="宋体" w:cs="宋体"/>
          <w:b/>
          <w:bCs/>
          <w:color w:val="auto"/>
          <w:sz w:val="36"/>
          <w:szCs w:val="36"/>
          <w:lang w:val="en-US" w:eastAsia="zh-CN"/>
        </w:rPr>
      </w:pPr>
      <w:r>
        <w:rPr>
          <w:rFonts w:hint="eastAsia" w:ascii="宋体" w:hAnsi="宋体" w:cs="宋体"/>
          <w:b/>
          <w:bCs/>
          <w:color w:val="auto"/>
          <w:sz w:val="36"/>
          <w:szCs w:val="36"/>
        </w:rPr>
        <w:t>时    间：二〇二</w:t>
      </w:r>
      <w:r>
        <w:rPr>
          <w:rFonts w:hint="eastAsia" w:ascii="宋体" w:hAnsi="宋体" w:cs="宋体"/>
          <w:b/>
          <w:bCs/>
          <w:color w:val="auto"/>
          <w:sz w:val="36"/>
          <w:szCs w:val="36"/>
          <w:lang w:val="en-US" w:eastAsia="zh-CN"/>
        </w:rPr>
        <w:t>六</w:t>
      </w:r>
      <w:r>
        <w:rPr>
          <w:rFonts w:hint="eastAsia" w:ascii="宋体" w:hAnsi="宋体" w:cs="宋体"/>
          <w:b/>
          <w:bCs/>
          <w:color w:val="auto"/>
          <w:sz w:val="36"/>
          <w:szCs w:val="36"/>
        </w:rPr>
        <w:t>年</w:t>
      </w:r>
      <w:r>
        <w:rPr>
          <w:rFonts w:hint="eastAsia" w:ascii="宋体" w:hAnsi="宋体" w:eastAsia="宋体" w:cs="宋体"/>
          <w:b/>
          <w:bCs/>
          <w:color w:val="auto"/>
          <w:sz w:val="36"/>
          <w:szCs w:val="36"/>
          <w:lang w:val="en-US" w:eastAsia="zh-CN"/>
        </w:rPr>
        <w:t>九</w:t>
      </w:r>
      <w:r>
        <w:rPr>
          <w:rFonts w:hint="eastAsia" w:ascii="宋体" w:hAnsi="宋体" w:cs="宋体"/>
          <w:b/>
          <w:bCs/>
          <w:color w:val="auto"/>
          <w:sz w:val="36"/>
          <w:szCs w:val="36"/>
        </w:rPr>
        <w:t>月</w:t>
      </w:r>
    </w:p>
    <w:p w14:paraId="6E3994F1">
      <w:pPr>
        <w:rPr>
          <w:rFonts w:hint="eastAsia"/>
          <w:lang w:val="en-US" w:eastAsia="zh-CN"/>
        </w:rPr>
        <w:sectPr>
          <w:headerReference r:id="rId5" w:type="default"/>
          <w:pgSz w:w="11906" w:h="16838"/>
          <w:pgMar w:top="1440" w:right="1800" w:bottom="1440" w:left="1800" w:header="851" w:footer="992" w:gutter="0"/>
          <w:cols w:space="720" w:num="1"/>
          <w:docGrid w:type="lines" w:linePitch="312" w:charSpace="0"/>
        </w:sectPr>
      </w:pPr>
    </w:p>
    <w:p w14:paraId="334971E1">
      <w:pPr>
        <w:spacing w:before="114" w:line="225" w:lineRule="auto"/>
        <w:ind w:left="45"/>
        <w:rPr>
          <w:rFonts w:ascii="宋体" w:hAnsi="宋体" w:eastAsia="宋体" w:cs="宋体"/>
          <w:b/>
          <w:bCs/>
          <w:sz w:val="35"/>
          <w:szCs w:val="35"/>
        </w:rPr>
      </w:pPr>
    </w:p>
    <w:sdt>
      <w:sdtPr>
        <w:rPr>
          <w:rFonts w:ascii="宋体" w:hAnsi="宋体" w:eastAsia="宋体" w:cs="Arial"/>
          <w:snapToGrid w:val="0"/>
          <w:color w:val="000000"/>
          <w:kern w:val="0"/>
          <w:sz w:val="21"/>
          <w:szCs w:val="21"/>
          <w:lang w:val="en-US" w:eastAsia="en-US" w:bidi="ar-SA"/>
        </w:rPr>
        <w:id w:val="147475840"/>
        <w15:color w:val="DBDBDB"/>
        <w:docPartObj>
          <w:docPartGallery w:val="Table of Contents"/>
          <w:docPartUnique/>
        </w:docPartObj>
      </w:sdtPr>
      <w:sdtEndPr>
        <w:rPr>
          <w:rFonts w:ascii="Calibri" w:hAnsi="Calibri" w:eastAsia="Calibri" w:cs="Calibri"/>
          <w:snapToGrid w:val="0"/>
          <w:color w:val="000000"/>
          <w:kern w:val="0"/>
          <w:sz w:val="21"/>
          <w:szCs w:val="31"/>
          <w:lang w:val="en-US" w:eastAsia="en-US" w:bidi="ar-SA"/>
        </w:rPr>
      </w:sdtEndPr>
      <w:sdtContent>
        <w:p w14:paraId="12833AA5">
          <w:pPr>
            <w:spacing w:before="0" w:beforeLines="0" w:after="0" w:afterLines="0" w:line="240" w:lineRule="auto"/>
            <w:ind w:left="0" w:leftChars="0" w:right="0" w:rightChars="0" w:firstLine="0" w:firstLineChars="0"/>
            <w:jc w:val="center"/>
            <w:rPr>
              <w:b/>
              <w:bCs/>
              <w:sz w:val="32"/>
              <w:szCs w:val="32"/>
            </w:rPr>
          </w:pPr>
          <w:r>
            <w:rPr>
              <w:rFonts w:ascii="宋体" w:hAnsi="宋体" w:eastAsia="宋体"/>
              <w:b/>
              <w:bCs/>
              <w:sz w:val="32"/>
              <w:szCs w:val="32"/>
            </w:rPr>
            <w:t>目录</w:t>
          </w:r>
        </w:p>
        <w:p w14:paraId="2780A4F1">
          <w:pPr>
            <w:pStyle w:val="12"/>
            <w:tabs>
              <w:tab w:val="right" w:leader="dot" w:pos="8336"/>
            </w:tabs>
            <w:rPr>
              <w:sz w:val="24"/>
              <w:szCs w:val="24"/>
            </w:rPr>
          </w:pPr>
          <w:r>
            <w:rPr>
              <w:rFonts w:ascii="Calibri" w:hAnsi="Calibri" w:eastAsia="Calibri" w:cs="Calibri"/>
              <w:snapToGrid w:val="0"/>
              <w:color w:val="000000"/>
              <w:kern w:val="0"/>
              <w:sz w:val="21"/>
              <w:szCs w:val="31"/>
              <w:lang w:val="en-US" w:eastAsia="en-US" w:bidi="ar-SA"/>
            </w:rPr>
            <w:fldChar w:fldCharType="begin"/>
          </w:r>
          <w:r>
            <w:rPr>
              <w:rFonts w:ascii="Calibri" w:hAnsi="Calibri" w:eastAsia="Calibri" w:cs="Calibri"/>
              <w:snapToGrid w:val="0"/>
              <w:color w:val="000000"/>
              <w:kern w:val="0"/>
              <w:sz w:val="21"/>
              <w:szCs w:val="31"/>
              <w:lang w:val="en-US" w:eastAsia="en-US" w:bidi="ar-SA"/>
            </w:rPr>
            <w:instrText xml:space="preserve">TOC \o "1-1" \h \u </w:instrText>
          </w:r>
          <w:r>
            <w:rPr>
              <w:rFonts w:ascii="Calibri" w:hAnsi="Calibri" w:eastAsia="Calibri" w:cs="Calibri"/>
              <w:snapToGrid w:val="0"/>
              <w:color w:val="000000"/>
              <w:kern w:val="0"/>
              <w:sz w:val="21"/>
              <w:szCs w:val="31"/>
              <w:lang w:val="en-US" w:eastAsia="en-US" w:bidi="ar-SA"/>
            </w:rPr>
            <w:fldChar w:fldCharType="separate"/>
          </w:r>
          <w:r>
            <w:rPr>
              <w:rFonts w:ascii="Calibri" w:hAnsi="Calibri" w:eastAsia="Calibri" w:cs="Calibri"/>
              <w:snapToGrid w:val="0"/>
              <w:color w:val="000000"/>
              <w:kern w:val="0"/>
              <w:sz w:val="24"/>
              <w:szCs w:val="36"/>
              <w:lang w:val="en-US" w:eastAsia="en-US" w:bidi="ar-SA"/>
            </w:rPr>
            <w:fldChar w:fldCharType="begin"/>
          </w:r>
          <w:r>
            <w:rPr>
              <w:rFonts w:ascii="Calibri" w:hAnsi="Calibri" w:eastAsia="Calibri" w:cs="Calibri"/>
              <w:snapToGrid w:val="0"/>
              <w:kern w:val="0"/>
              <w:sz w:val="24"/>
              <w:szCs w:val="36"/>
              <w:lang w:val="en-US" w:eastAsia="en-US" w:bidi="ar-SA"/>
            </w:rPr>
            <w:instrText xml:space="preserve"> HYPERLINK \l _Toc6017 </w:instrText>
          </w:r>
          <w:r>
            <w:rPr>
              <w:rFonts w:ascii="Calibri" w:hAnsi="Calibri" w:eastAsia="Calibri" w:cs="Calibri"/>
              <w:snapToGrid w:val="0"/>
              <w:kern w:val="0"/>
              <w:sz w:val="24"/>
              <w:szCs w:val="36"/>
              <w:lang w:val="en-US" w:eastAsia="en-US" w:bidi="ar-SA"/>
            </w:rPr>
            <w:fldChar w:fldCharType="separate"/>
          </w:r>
          <w:r>
            <w:rPr>
              <w:rFonts w:ascii="宋体" w:hAnsi="宋体" w:eastAsia="宋体" w:cs="宋体"/>
              <w:bCs/>
              <w:spacing w:val="-4"/>
              <w:sz w:val="24"/>
              <w:szCs w:val="48"/>
            </w:rPr>
            <w:t>第一部分</w:t>
          </w:r>
          <w:r>
            <w:rPr>
              <w:rFonts w:ascii="宋体" w:hAnsi="宋体" w:eastAsia="宋体" w:cs="宋体"/>
              <w:spacing w:val="-4"/>
              <w:sz w:val="24"/>
              <w:szCs w:val="48"/>
            </w:rPr>
            <w:t xml:space="preserve">  </w:t>
          </w:r>
          <w:r>
            <w:rPr>
              <w:rFonts w:hint="eastAsia" w:ascii="宋体" w:hAnsi="宋体" w:eastAsia="宋体" w:cs="宋体"/>
              <w:spacing w:val="-4"/>
              <w:sz w:val="24"/>
              <w:szCs w:val="48"/>
              <w:lang w:val="en-US" w:eastAsia="zh-CN"/>
            </w:rPr>
            <w:t xml:space="preserve"> </w:t>
          </w:r>
          <w:r>
            <w:rPr>
              <w:rFonts w:ascii="宋体" w:hAnsi="宋体" w:eastAsia="宋体" w:cs="宋体"/>
              <w:bCs/>
              <w:spacing w:val="-4"/>
              <w:sz w:val="24"/>
              <w:szCs w:val="48"/>
            </w:rPr>
            <w:t>竞争性谈判公告</w:t>
          </w:r>
          <w:r>
            <w:rPr>
              <w:sz w:val="24"/>
              <w:szCs w:val="24"/>
            </w:rPr>
            <w:tab/>
          </w:r>
          <w:r>
            <w:rPr>
              <w:sz w:val="24"/>
              <w:szCs w:val="24"/>
            </w:rPr>
            <w:fldChar w:fldCharType="begin"/>
          </w:r>
          <w:r>
            <w:rPr>
              <w:sz w:val="24"/>
              <w:szCs w:val="24"/>
            </w:rPr>
            <w:instrText xml:space="preserve"> PAGEREF _Toc6017 \h </w:instrText>
          </w:r>
          <w:r>
            <w:rPr>
              <w:sz w:val="24"/>
              <w:szCs w:val="24"/>
            </w:rPr>
            <w:fldChar w:fldCharType="separate"/>
          </w:r>
          <w:r>
            <w:rPr>
              <w:sz w:val="24"/>
              <w:szCs w:val="24"/>
            </w:rPr>
            <w:t>1</w:t>
          </w:r>
          <w:r>
            <w:rPr>
              <w:sz w:val="24"/>
              <w:szCs w:val="24"/>
            </w:rPr>
            <w:fldChar w:fldCharType="end"/>
          </w:r>
          <w:r>
            <w:rPr>
              <w:rFonts w:ascii="Calibri" w:hAnsi="Calibri" w:eastAsia="Calibri" w:cs="Calibri"/>
              <w:snapToGrid w:val="0"/>
              <w:color w:val="000000"/>
              <w:kern w:val="0"/>
              <w:sz w:val="24"/>
              <w:szCs w:val="36"/>
              <w:lang w:val="en-US" w:eastAsia="en-US" w:bidi="ar-SA"/>
            </w:rPr>
            <w:fldChar w:fldCharType="end"/>
          </w:r>
        </w:p>
        <w:p w14:paraId="61BD6AE8">
          <w:pPr>
            <w:pStyle w:val="12"/>
            <w:tabs>
              <w:tab w:val="right" w:leader="dot" w:pos="8336"/>
            </w:tabs>
            <w:rPr>
              <w:sz w:val="24"/>
              <w:szCs w:val="24"/>
            </w:rPr>
          </w:pPr>
          <w:r>
            <w:rPr>
              <w:rFonts w:ascii="Calibri" w:hAnsi="Calibri" w:eastAsia="Calibri" w:cs="Calibri"/>
              <w:snapToGrid w:val="0"/>
              <w:color w:val="000000"/>
              <w:kern w:val="0"/>
              <w:sz w:val="24"/>
              <w:szCs w:val="36"/>
              <w:lang w:val="en-US" w:eastAsia="en-US" w:bidi="ar-SA"/>
            </w:rPr>
            <w:fldChar w:fldCharType="begin"/>
          </w:r>
          <w:r>
            <w:rPr>
              <w:rFonts w:ascii="Calibri" w:hAnsi="Calibri" w:eastAsia="Calibri" w:cs="Calibri"/>
              <w:snapToGrid w:val="0"/>
              <w:kern w:val="0"/>
              <w:sz w:val="24"/>
              <w:szCs w:val="36"/>
              <w:lang w:val="en-US" w:eastAsia="en-US" w:bidi="ar-SA"/>
            </w:rPr>
            <w:instrText xml:space="preserve"> HYPERLINK \l _Toc21715 </w:instrText>
          </w:r>
          <w:r>
            <w:rPr>
              <w:rFonts w:ascii="Calibri" w:hAnsi="Calibri" w:eastAsia="Calibri" w:cs="Calibri"/>
              <w:snapToGrid w:val="0"/>
              <w:kern w:val="0"/>
              <w:sz w:val="24"/>
              <w:szCs w:val="36"/>
              <w:lang w:val="en-US" w:eastAsia="en-US" w:bidi="ar-SA"/>
            </w:rPr>
            <w:fldChar w:fldCharType="separate"/>
          </w:r>
          <w:r>
            <w:rPr>
              <w:rFonts w:ascii="宋体" w:hAnsi="宋体" w:eastAsia="宋体" w:cs="宋体"/>
              <w:bCs/>
              <w:spacing w:val="-4"/>
              <w:sz w:val="24"/>
              <w:szCs w:val="48"/>
            </w:rPr>
            <w:t>第二部分</w:t>
          </w:r>
          <w:r>
            <w:rPr>
              <w:rFonts w:ascii="宋体" w:hAnsi="宋体" w:eastAsia="宋体" w:cs="宋体"/>
              <w:spacing w:val="-4"/>
              <w:sz w:val="24"/>
              <w:szCs w:val="48"/>
            </w:rPr>
            <w:t xml:space="preserve">   </w:t>
          </w:r>
          <w:r>
            <w:rPr>
              <w:rFonts w:ascii="宋体" w:hAnsi="宋体" w:eastAsia="宋体" w:cs="宋体"/>
              <w:bCs/>
              <w:spacing w:val="-4"/>
              <w:sz w:val="24"/>
              <w:szCs w:val="48"/>
            </w:rPr>
            <w:t>供应商须知前附表</w:t>
          </w:r>
          <w:r>
            <w:rPr>
              <w:sz w:val="24"/>
              <w:szCs w:val="24"/>
            </w:rPr>
            <w:tab/>
          </w:r>
          <w:r>
            <w:rPr>
              <w:rFonts w:hint="eastAsia" w:eastAsia="宋体"/>
              <w:sz w:val="24"/>
              <w:szCs w:val="24"/>
              <w:lang w:val="en-US" w:eastAsia="zh-CN"/>
            </w:rPr>
            <w:t>6</w:t>
          </w:r>
          <w:r>
            <w:rPr>
              <w:rFonts w:ascii="Calibri" w:hAnsi="Calibri" w:eastAsia="Calibri" w:cs="Calibri"/>
              <w:snapToGrid w:val="0"/>
              <w:color w:val="000000"/>
              <w:kern w:val="0"/>
              <w:sz w:val="24"/>
              <w:szCs w:val="36"/>
              <w:lang w:val="en-US" w:eastAsia="en-US" w:bidi="ar-SA"/>
            </w:rPr>
            <w:fldChar w:fldCharType="end"/>
          </w:r>
        </w:p>
        <w:p w14:paraId="012D0EB2">
          <w:pPr>
            <w:pStyle w:val="12"/>
            <w:tabs>
              <w:tab w:val="right" w:leader="dot" w:pos="8336"/>
            </w:tabs>
            <w:rPr>
              <w:sz w:val="24"/>
              <w:szCs w:val="24"/>
            </w:rPr>
          </w:pPr>
          <w:r>
            <w:rPr>
              <w:rFonts w:ascii="Calibri" w:hAnsi="Calibri" w:eastAsia="Calibri" w:cs="Calibri"/>
              <w:snapToGrid w:val="0"/>
              <w:color w:val="000000"/>
              <w:kern w:val="0"/>
              <w:sz w:val="24"/>
              <w:szCs w:val="36"/>
              <w:lang w:val="en-US" w:eastAsia="en-US" w:bidi="ar-SA"/>
            </w:rPr>
            <w:fldChar w:fldCharType="begin"/>
          </w:r>
          <w:r>
            <w:rPr>
              <w:rFonts w:ascii="Calibri" w:hAnsi="Calibri" w:eastAsia="Calibri" w:cs="Calibri"/>
              <w:snapToGrid w:val="0"/>
              <w:kern w:val="0"/>
              <w:sz w:val="24"/>
              <w:szCs w:val="36"/>
              <w:lang w:val="en-US" w:eastAsia="en-US" w:bidi="ar-SA"/>
            </w:rPr>
            <w:instrText xml:space="preserve"> HYPERLINK \l _Toc22462 </w:instrText>
          </w:r>
          <w:r>
            <w:rPr>
              <w:rFonts w:ascii="Calibri" w:hAnsi="Calibri" w:eastAsia="Calibri" w:cs="Calibri"/>
              <w:snapToGrid w:val="0"/>
              <w:kern w:val="0"/>
              <w:sz w:val="24"/>
              <w:szCs w:val="36"/>
              <w:lang w:val="en-US" w:eastAsia="en-US" w:bidi="ar-SA"/>
            </w:rPr>
            <w:fldChar w:fldCharType="separate"/>
          </w:r>
          <w:r>
            <w:rPr>
              <w:rFonts w:ascii="宋体" w:hAnsi="宋体" w:eastAsia="宋体" w:cs="宋体"/>
              <w:bCs/>
              <w:spacing w:val="5"/>
              <w:sz w:val="24"/>
              <w:szCs w:val="40"/>
            </w:rPr>
            <w:t>第三部分</w:t>
          </w:r>
          <w:r>
            <w:rPr>
              <w:rFonts w:ascii="宋体" w:hAnsi="宋体" w:eastAsia="宋体" w:cs="宋体"/>
              <w:spacing w:val="5"/>
              <w:sz w:val="24"/>
              <w:szCs w:val="40"/>
            </w:rPr>
            <w:t xml:space="preserve">  </w:t>
          </w:r>
          <w:r>
            <w:rPr>
              <w:rFonts w:ascii="宋体" w:hAnsi="宋体" w:eastAsia="宋体" w:cs="宋体"/>
              <w:bCs/>
              <w:spacing w:val="5"/>
              <w:sz w:val="24"/>
              <w:szCs w:val="40"/>
            </w:rPr>
            <w:t>供应商须知</w:t>
          </w:r>
          <w:r>
            <w:rPr>
              <w:sz w:val="24"/>
              <w:szCs w:val="24"/>
            </w:rPr>
            <w:tab/>
          </w:r>
          <w:r>
            <w:rPr>
              <w:sz w:val="24"/>
              <w:szCs w:val="24"/>
            </w:rPr>
            <w:fldChar w:fldCharType="begin"/>
          </w:r>
          <w:r>
            <w:rPr>
              <w:sz w:val="24"/>
              <w:szCs w:val="24"/>
            </w:rPr>
            <w:instrText xml:space="preserve"> PAGEREF _Toc22462 \h </w:instrText>
          </w:r>
          <w:r>
            <w:rPr>
              <w:sz w:val="24"/>
              <w:szCs w:val="24"/>
            </w:rPr>
            <w:fldChar w:fldCharType="separate"/>
          </w:r>
          <w:r>
            <w:rPr>
              <w:sz w:val="24"/>
              <w:szCs w:val="24"/>
            </w:rPr>
            <w:t>13</w:t>
          </w:r>
          <w:r>
            <w:rPr>
              <w:sz w:val="24"/>
              <w:szCs w:val="24"/>
            </w:rPr>
            <w:fldChar w:fldCharType="end"/>
          </w:r>
          <w:r>
            <w:rPr>
              <w:rFonts w:ascii="Calibri" w:hAnsi="Calibri" w:eastAsia="Calibri" w:cs="Calibri"/>
              <w:snapToGrid w:val="0"/>
              <w:color w:val="000000"/>
              <w:kern w:val="0"/>
              <w:sz w:val="24"/>
              <w:szCs w:val="36"/>
              <w:lang w:val="en-US" w:eastAsia="en-US" w:bidi="ar-SA"/>
            </w:rPr>
            <w:fldChar w:fldCharType="end"/>
          </w:r>
        </w:p>
        <w:p w14:paraId="7C20B8C4">
          <w:pPr>
            <w:pStyle w:val="12"/>
            <w:tabs>
              <w:tab w:val="right" w:leader="dot" w:pos="8336"/>
            </w:tabs>
            <w:rPr>
              <w:sz w:val="24"/>
              <w:szCs w:val="24"/>
            </w:rPr>
          </w:pPr>
          <w:r>
            <w:rPr>
              <w:rFonts w:ascii="Calibri" w:hAnsi="Calibri" w:eastAsia="Calibri" w:cs="Calibri"/>
              <w:snapToGrid w:val="0"/>
              <w:color w:val="000000"/>
              <w:kern w:val="0"/>
              <w:sz w:val="24"/>
              <w:szCs w:val="36"/>
              <w:lang w:val="en-US" w:eastAsia="en-US" w:bidi="ar-SA"/>
            </w:rPr>
            <w:fldChar w:fldCharType="begin"/>
          </w:r>
          <w:r>
            <w:rPr>
              <w:rFonts w:ascii="Calibri" w:hAnsi="Calibri" w:eastAsia="Calibri" w:cs="Calibri"/>
              <w:snapToGrid w:val="0"/>
              <w:kern w:val="0"/>
              <w:sz w:val="24"/>
              <w:szCs w:val="36"/>
              <w:lang w:val="en-US" w:eastAsia="en-US" w:bidi="ar-SA"/>
            </w:rPr>
            <w:instrText xml:space="preserve"> HYPERLINK \l _Toc9159 </w:instrText>
          </w:r>
          <w:r>
            <w:rPr>
              <w:rFonts w:ascii="Calibri" w:hAnsi="Calibri" w:eastAsia="Calibri" w:cs="Calibri"/>
              <w:snapToGrid w:val="0"/>
              <w:kern w:val="0"/>
              <w:sz w:val="24"/>
              <w:szCs w:val="36"/>
              <w:lang w:val="en-US" w:eastAsia="en-US" w:bidi="ar-SA"/>
            </w:rPr>
            <w:fldChar w:fldCharType="separate"/>
          </w:r>
          <w:r>
            <w:rPr>
              <w:rFonts w:ascii="宋体" w:hAnsi="宋体" w:eastAsia="宋体" w:cs="宋体"/>
              <w:bCs/>
              <w:spacing w:val="4"/>
              <w:sz w:val="24"/>
              <w:szCs w:val="48"/>
            </w:rPr>
            <w:t>第四部分</w:t>
          </w:r>
          <w:r>
            <w:rPr>
              <w:rFonts w:ascii="宋体" w:hAnsi="宋体" w:eastAsia="宋体" w:cs="宋体"/>
              <w:spacing w:val="4"/>
              <w:sz w:val="24"/>
              <w:szCs w:val="48"/>
            </w:rPr>
            <w:t xml:space="preserve">  </w:t>
          </w:r>
          <w:r>
            <w:rPr>
              <w:rFonts w:ascii="宋体" w:hAnsi="宋体" w:eastAsia="宋体" w:cs="宋体"/>
              <w:bCs/>
              <w:spacing w:val="4"/>
              <w:sz w:val="24"/>
              <w:szCs w:val="48"/>
            </w:rPr>
            <w:t>商务要求</w:t>
          </w:r>
          <w:r>
            <w:rPr>
              <w:sz w:val="24"/>
              <w:szCs w:val="24"/>
            </w:rPr>
            <w:tab/>
          </w:r>
          <w:r>
            <w:rPr>
              <w:sz w:val="24"/>
              <w:szCs w:val="24"/>
            </w:rPr>
            <w:fldChar w:fldCharType="begin"/>
          </w:r>
          <w:r>
            <w:rPr>
              <w:sz w:val="24"/>
              <w:szCs w:val="24"/>
            </w:rPr>
            <w:instrText xml:space="preserve"> PAGEREF _Toc9159 \h </w:instrText>
          </w:r>
          <w:r>
            <w:rPr>
              <w:sz w:val="24"/>
              <w:szCs w:val="24"/>
            </w:rPr>
            <w:fldChar w:fldCharType="separate"/>
          </w:r>
          <w:r>
            <w:rPr>
              <w:sz w:val="24"/>
              <w:szCs w:val="24"/>
            </w:rPr>
            <w:t>28</w:t>
          </w:r>
          <w:r>
            <w:rPr>
              <w:sz w:val="24"/>
              <w:szCs w:val="24"/>
            </w:rPr>
            <w:fldChar w:fldCharType="end"/>
          </w:r>
          <w:r>
            <w:rPr>
              <w:rFonts w:ascii="Calibri" w:hAnsi="Calibri" w:eastAsia="Calibri" w:cs="Calibri"/>
              <w:snapToGrid w:val="0"/>
              <w:color w:val="000000"/>
              <w:kern w:val="0"/>
              <w:sz w:val="24"/>
              <w:szCs w:val="36"/>
              <w:lang w:val="en-US" w:eastAsia="en-US" w:bidi="ar-SA"/>
            </w:rPr>
            <w:fldChar w:fldCharType="end"/>
          </w:r>
        </w:p>
        <w:p w14:paraId="0D88DE52">
          <w:pPr>
            <w:pStyle w:val="12"/>
            <w:tabs>
              <w:tab w:val="right" w:leader="dot" w:pos="8336"/>
            </w:tabs>
            <w:rPr>
              <w:sz w:val="24"/>
              <w:szCs w:val="24"/>
            </w:rPr>
          </w:pPr>
          <w:r>
            <w:rPr>
              <w:rFonts w:ascii="Calibri" w:hAnsi="Calibri" w:eastAsia="Calibri" w:cs="Calibri"/>
              <w:snapToGrid w:val="0"/>
              <w:color w:val="000000"/>
              <w:kern w:val="0"/>
              <w:sz w:val="24"/>
              <w:szCs w:val="36"/>
              <w:lang w:val="en-US" w:eastAsia="en-US" w:bidi="ar-SA"/>
            </w:rPr>
            <w:fldChar w:fldCharType="begin"/>
          </w:r>
          <w:r>
            <w:rPr>
              <w:rFonts w:ascii="Calibri" w:hAnsi="Calibri" w:eastAsia="Calibri" w:cs="Calibri"/>
              <w:snapToGrid w:val="0"/>
              <w:kern w:val="0"/>
              <w:sz w:val="24"/>
              <w:szCs w:val="36"/>
              <w:lang w:val="en-US" w:eastAsia="en-US" w:bidi="ar-SA"/>
            </w:rPr>
            <w:instrText xml:space="preserve"> HYPERLINK \l _Toc28931 </w:instrText>
          </w:r>
          <w:r>
            <w:rPr>
              <w:rFonts w:ascii="Calibri" w:hAnsi="Calibri" w:eastAsia="Calibri" w:cs="Calibri"/>
              <w:snapToGrid w:val="0"/>
              <w:kern w:val="0"/>
              <w:sz w:val="24"/>
              <w:szCs w:val="36"/>
              <w:lang w:val="en-US" w:eastAsia="en-US" w:bidi="ar-SA"/>
            </w:rPr>
            <w:fldChar w:fldCharType="separate"/>
          </w:r>
          <w:r>
            <w:rPr>
              <w:rFonts w:ascii="宋体" w:hAnsi="宋体" w:eastAsia="宋体" w:cs="宋体"/>
              <w:bCs/>
              <w:spacing w:val="6"/>
              <w:sz w:val="24"/>
              <w:szCs w:val="40"/>
            </w:rPr>
            <w:t>第五部分</w:t>
          </w:r>
          <w:r>
            <w:rPr>
              <w:rFonts w:ascii="宋体" w:hAnsi="宋体" w:eastAsia="宋体" w:cs="宋体"/>
              <w:spacing w:val="6"/>
              <w:sz w:val="24"/>
              <w:szCs w:val="40"/>
            </w:rPr>
            <w:t xml:space="preserve">  </w:t>
          </w:r>
          <w:r>
            <w:rPr>
              <w:rFonts w:ascii="宋体" w:hAnsi="宋体" w:eastAsia="宋体" w:cs="宋体"/>
              <w:bCs/>
              <w:spacing w:val="6"/>
              <w:sz w:val="24"/>
              <w:szCs w:val="40"/>
            </w:rPr>
            <w:t>政府采购合同</w:t>
          </w:r>
          <w:r>
            <w:rPr>
              <w:sz w:val="24"/>
              <w:szCs w:val="24"/>
            </w:rPr>
            <w:tab/>
          </w:r>
          <w:r>
            <w:rPr>
              <w:sz w:val="24"/>
              <w:szCs w:val="24"/>
            </w:rPr>
            <w:fldChar w:fldCharType="begin"/>
          </w:r>
          <w:r>
            <w:rPr>
              <w:sz w:val="24"/>
              <w:szCs w:val="24"/>
            </w:rPr>
            <w:instrText xml:space="preserve"> PAGEREF _Toc28931 \h </w:instrText>
          </w:r>
          <w:r>
            <w:rPr>
              <w:sz w:val="24"/>
              <w:szCs w:val="24"/>
            </w:rPr>
            <w:fldChar w:fldCharType="separate"/>
          </w:r>
          <w:r>
            <w:rPr>
              <w:sz w:val="24"/>
              <w:szCs w:val="24"/>
            </w:rPr>
            <w:t>30</w:t>
          </w:r>
          <w:r>
            <w:rPr>
              <w:sz w:val="24"/>
              <w:szCs w:val="24"/>
            </w:rPr>
            <w:fldChar w:fldCharType="end"/>
          </w:r>
          <w:r>
            <w:rPr>
              <w:rFonts w:ascii="Calibri" w:hAnsi="Calibri" w:eastAsia="Calibri" w:cs="Calibri"/>
              <w:snapToGrid w:val="0"/>
              <w:color w:val="000000"/>
              <w:kern w:val="0"/>
              <w:sz w:val="24"/>
              <w:szCs w:val="36"/>
              <w:lang w:val="en-US" w:eastAsia="en-US" w:bidi="ar-SA"/>
            </w:rPr>
            <w:fldChar w:fldCharType="end"/>
          </w:r>
        </w:p>
        <w:p w14:paraId="174534B6">
          <w:pPr>
            <w:pStyle w:val="12"/>
            <w:tabs>
              <w:tab w:val="right" w:leader="dot" w:pos="8336"/>
            </w:tabs>
            <w:rPr>
              <w:sz w:val="24"/>
              <w:szCs w:val="24"/>
            </w:rPr>
          </w:pPr>
          <w:r>
            <w:rPr>
              <w:rFonts w:ascii="Calibri" w:hAnsi="Calibri" w:eastAsia="Calibri" w:cs="Calibri"/>
              <w:snapToGrid w:val="0"/>
              <w:color w:val="000000"/>
              <w:kern w:val="0"/>
              <w:sz w:val="24"/>
              <w:szCs w:val="36"/>
              <w:lang w:val="en-US" w:eastAsia="en-US" w:bidi="ar-SA"/>
            </w:rPr>
            <w:fldChar w:fldCharType="begin"/>
          </w:r>
          <w:r>
            <w:rPr>
              <w:rFonts w:ascii="Calibri" w:hAnsi="Calibri" w:eastAsia="Calibri" w:cs="Calibri"/>
              <w:snapToGrid w:val="0"/>
              <w:kern w:val="0"/>
              <w:sz w:val="24"/>
              <w:szCs w:val="36"/>
              <w:lang w:val="en-US" w:eastAsia="en-US" w:bidi="ar-SA"/>
            </w:rPr>
            <w:instrText xml:space="preserve"> HYPERLINK \l _Toc9784 </w:instrText>
          </w:r>
          <w:r>
            <w:rPr>
              <w:rFonts w:ascii="Calibri" w:hAnsi="Calibri" w:eastAsia="Calibri" w:cs="Calibri"/>
              <w:snapToGrid w:val="0"/>
              <w:kern w:val="0"/>
              <w:sz w:val="24"/>
              <w:szCs w:val="36"/>
              <w:lang w:val="en-US" w:eastAsia="en-US" w:bidi="ar-SA"/>
            </w:rPr>
            <w:fldChar w:fldCharType="separate"/>
          </w:r>
          <w:r>
            <w:rPr>
              <w:rFonts w:ascii="宋体" w:hAnsi="宋体" w:eastAsia="宋体" w:cs="宋体"/>
              <w:bCs/>
              <w:spacing w:val="6"/>
              <w:sz w:val="24"/>
              <w:szCs w:val="40"/>
            </w:rPr>
            <w:t>第六部分</w:t>
          </w:r>
          <w:r>
            <w:rPr>
              <w:rFonts w:ascii="宋体" w:hAnsi="宋体" w:eastAsia="宋体" w:cs="宋体"/>
              <w:spacing w:val="6"/>
              <w:sz w:val="24"/>
              <w:szCs w:val="40"/>
            </w:rPr>
            <w:t xml:space="preserve">  </w:t>
          </w:r>
          <w:r>
            <w:rPr>
              <w:rFonts w:ascii="宋体" w:hAnsi="宋体" w:eastAsia="宋体" w:cs="宋体"/>
              <w:bCs/>
              <w:spacing w:val="6"/>
              <w:sz w:val="24"/>
              <w:szCs w:val="40"/>
            </w:rPr>
            <w:t>采购内容及</w:t>
          </w:r>
          <w:r>
            <w:rPr>
              <w:rFonts w:hint="eastAsia" w:ascii="宋体" w:hAnsi="宋体" w:eastAsia="宋体" w:cs="宋体"/>
              <w:bCs/>
              <w:spacing w:val="6"/>
              <w:sz w:val="24"/>
              <w:szCs w:val="40"/>
              <w:lang w:val="en-US" w:eastAsia="zh-CN"/>
            </w:rPr>
            <w:t>技术</w:t>
          </w:r>
          <w:r>
            <w:rPr>
              <w:rFonts w:ascii="宋体" w:hAnsi="宋体" w:eastAsia="宋体" w:cs="宋体"/>
              <w:bCs/>
              <w:spacing w:val="6"/>
              <w:sz w:val="24"/>
              <w:szCs w:val="40"/>
            </w:rPr>
            <w:t>要求</w:t>
          </w:r>
          <w:r>
            <w:rPr>
              <w:sz w:val="24"/>
              <w:szCs w:val="24"/>
            </w:rPr>
            <w:tab/>
          </w:r>
          <w:r>
            <w:rPr>
              <w:sz w:val="24"/>
              <w:szCs w:val="24"/>
            </w:rPr>
            <w:fldChar w:fldCharType="begin"/>
          </w:r>
          <w:r>
            <w:rPr>
              <w:sz w:val="24"/>
              <w:szCs w:val="24"/>
            </w:rPr>
            <w:instrText xml:space="preserve"> PAGEREF _Toc9784 \h </w:instrText>
          </w:r>
          <w:r>
            <w:rPr>
              <w:sz w:val="24"/>
              <w:szCs w:val="24"/>
            </w:rPr>
            <w:fldChar w:fldCharType="separate"/>
          </w:r>
          <w:r>
            <w:rPr>
              <w:sz w:val="24"/>
              <w:szCs w:val="24"/>
            </w:rPr>
            <w:t>33</w:t>
          </w:r>
          <w:r>
            <w:rPr>
              <w:sz w:val="24"/>
              <w:szCs w:val="24"/>
            </w:rPr>
            <w:fldChar w:fldCharType="end"/>
          </w:r>
          <w:r>
            <w:rPr>
              <w:rFonts w:ascii="Calibri" w:hAnsi="Calibri" w:eastAsia="Calibri" w:cs="Calibri"/>
              <w:snapToGrid w:val="0"/>
              <w:color w:val="000000"/>
              <w:kern w:val="0"/>
              <w:sz w:val="24"/>
              <w:szCs w:val="36"/>
              <w:lang w:val="en-US" w:eastAsia="en-US" w:bidi="ar-SA"/>
            </w:rPr>
            <w:fldChar w:fldCharType="end"/>
          </w:r>
        </w:p>
        <w:p w14:paraId="07D78471">
          <w:pPr>
            <w:pStyle w:val="12"/>
            <w:tabs>
              <w:tab w:val="right" w:leader="dot" w:pos="8336"/>
            </w:tabs>
            <w:rPr>
              <w:sz w:val="24"/>
              <w:szCs w:val="24"/>
            </w:rPr>
          </w:pPr>
          <w:r>
            <w:rPr>
              <w:rFonts w:ascii="Calibri" w:hAnsi="Calibri" w:eastAsia="Calibri" w:cs="Calibri"/>
              <w:snapToGrid w:val="0"/>
              <w:color w:val="000000"/>
              <w:kern w:val="0"/>
              <w:sz w:val="24"/>
              <w:szCs w:val="36"/>
              <w:lang w:val="en-US" w:eastAsia="en-US" w:bidi="ar-SA"/>
            </w:rPr>
            <w:fldChar w:fldCharType="begin"/>
          </w:r>
          <w:r>
            <w:rPr>
              <w:rFonts w:ascii="Calibri" w:hAnsi="Calibri" w:eastAsia="Calibri" w:cs="Calibri"/>
              <w:snapToGrid w:val="0"/>
              <w:kern w:val="0"/>
              <w:sz w:val="24"/>
              <w:szCs w:val="36"/>
              <w:lang w:val="en-US" w:eastAsia="en-US" w:bidi="ar-SA"/>
            </w:rPr>
            <w:instrText xml:space="preserve"> HYPERLINK \l _Toc23821 </w:instrText>
          </w:r>
          <w:r>
            <w:rPr>
              <w:rFonts w:ascii="Calibri" w:hAnsi="Calibri" w:eastAsia="Calibri" w:cs="Calibri"/>
              <w:snapToGrid w:val="0"/>
              <w:kern w:val="0"/>
              <w:sz w:val="24"/>
              <w:szCs w:val="36"/>
              <w:lang w:val="en-US" w:eastAsia="en-US" w:bidi="ar-SA"/>
            </w:rPr>
            <w:fldChar w:fldCharType="separate"/>
          </w:r>
          <w:r>
            <w:rPr>
              <w:rFonts w:ascii="宋体" w:hAnsi="宋体" w:eastAsia="宋体" w:cs="宋体"/>
              <w:bCs/>
              <w:spacing w:val="5"/>
              <w:sz w:val="24"/>
              <w:szCs w:val="40"/>
            </w:rPr>
            <w:t>第七部分</w:t>
          </w:r>
          <w:r>
            <w:rPr>
              <w:rFonts w:ascii="宋体" w:hAnsi="宋体" w:eastAsia="宋体" w:cs="宋体"/>
              <w:spacing w:val="5"/>
              <w:sz w:val="24"/>
              <w:szCs w:val="40"/>
            </w:rPr>
            <w:t xml:space="preserve">  </w:t>
          </w:r>
          <w:r>
            <w:rPr>
              <w:rFonts w:ascii="宋体" w:hAnsi="宋体" w:eastAsia="宋体" w:cs="宋体"/>
              <w:bCs/>
              <w:spacing w:val="5"/>
              <w:sz w:val="24"/>
              <w:szCs w:val="40"/>
            </w:rPr>
            <w:t>评审方法</w:t>
          </w:r>
          <w:r>
            <w:rPr>
              <w:sz w:val="24"/>
              <w:szCs w:val="24"/>
            </w:rPr>
            <w:tab/>
          </w:r>
          <w:r>
            <w:rPr>
              <w:sz w:val="24"/>
              <w:szCs w:val="24"/>
            </w:rPr>
            <w:fldChar w:fldCharType="begin"/>
          </w:r>
          <w:r>
            <w:rPr>
              <w:sz w:val="24"/>
              <w:szCs w:val="24"/>
            </w:rPr>
            <w:instrText xml:space="preserve"> PAGEREF _Toc23821 \h </w:instrText>
          </w:r>
          <w:r>
            <w:rPr>
              <w:sz w:val="24"/>
              <w:szCs w:val="24"/>
            </w:rPr>
            <w:fldChar w:fldCharType="separate"/>
          </w:r>
          <w:r>
            <w:rPr>
              <w:sz w:val="24"/>
              <w:szCs w:val="24"/>
            </w:rPr>
            <w:t>36</w:t>
          </w:r>
          <w:r>
            <w:rPr>
              <w:sz w:val="24"/>
              <w:szCs w:val="24"/>
            </w:rPr>
            <w:fldChar w:fldCharType="end"/>
          </w:r>
          <w:r>
            <w:rPr>
              <w:rFonts w:ascii="Calibri" w:hAnsi="Calibri" w:eastAsia="Calibri" w:cs="Calibri"/>
              <w:snapToGrid w:val="0"/>
              <w:color w:val="000000"/>
              <w:kern w:val="0"/>
              <w:sz w:val="24"/>
              <w:szCs w:val="36"/>
              <w:lang w:val="en-US" w:eastAsia="en-US" w:bidi="ar-SA"/>
            </w:rPr>
            <w:fldChar w:fldCharType="end"/>
          </w:r>
        </w:p>
        <w:p w14:paraId="13D41A19">
          <w:pPr>
            <w:pStyle w:val="12"/>
            <w:tabs>
              <w:tab w:val="right" w:leader="dot" w:pos="8336"/>
            </w:tabs>
          </w:pPr>
          <w:r>
            <w:rPr>
              <w:rFonts w:ascii="Calibri" w:hAnsi="Calibri" w:eastAsia="Calibri" w:cs="Calibri"/>
              <w:snapToGrid w:val="0"/>
              <w:color w:val="000000"/>
              <w:kern w:val="0"/>
              <w:sz w:val="24"/>
              <w:szCs w:val="36"/>
              <w:lang w:val="en-US" w:eastAsia="en-US" w:bidi="ar-SA"/>
            </w:rPr>
            <w:fldChar w:fldCharType="begin"/>
          </w:r>
          <w:r>
            <w:rPr>
              <w:rFonts w:ascii="Calibri" w:hAnsi="Calibri" w:eastAsia="Calibri" w:cs="Calibri"/>
              <w:snapToGrid w:val="0"/>
              <w:kern w:val="0"/>
              <w:sz w:val="24"/>
              <w:szCs w:val="36"/>
              <w:lang w:val="en-US" w:eastAsia="en-US" w:bidi="ar-SA"/>
            </w:rPr>
            <w:instrText xml:space="preserve"> HYPERLINK \l _Toc28069 </w:instrText>
          </w:r>
          <w:r>
            <w:rPr>
              <w:rFonts w:ascii="Calibri" w:hAnsi="Calibri" w:eastAsia="Calibri" w:cs="Calibri"/>
              <w:snapToGrid w:val="0"/>
              <w:kern w:val="0"/>
              <w:sz w:val="24"/>
              <w:szCs w:val="36"/>
              <w:lang w:val="en-US" w:eastAsia="en-US" w:bidi="ar-SA"/>
            </w:rPr>
            <w:fldChar w:fldCharType="separate"/>
          </w:r>
          <w:r>
            <w:rPr>
              <w:rFonts w:ascii="宋体" w:hAnsi="宋体" w:eastAsia="宋体" w:cs="宋体"/>
              <w:bCs/>
              <w:spacing w:val="6"/>
              <w:sz w:val="24"/>
              <w:szCs w:val="40"/>
            </w:rPr>
            <w:t>第八部分</w:t>
          </w:r>
          <w:r>
            <w:rPr>
              <w:rFonts w:ascii="宋体" w:hAnsi="宋体" w:eastAsia="宋体" w:cs="宋体"/>
              <w:spacing w:val="6"/>
              <w:sz w:val="24"/>
              <w:szCs w:val="40"/>
            </w:rPr>
            <w:t xml:space="preserve"> </w:t>
          </w:r>
          <w:r>
            <w:rPr>
              <w:rFonts w:hint="eastAsia" w:ascii="宋体" w:hAnsi="宋体" w:eastAsia="宋体" w:cs="宋体"/>
              <w:spacing w:val="6"/>
              <w:sz w:val="24"/>
              <w:szCs w:val="40"/>
              <w:lang w:val="en-US" w:eastAsia="zh-CN"/>
            </w:rPr>
            <w:t xml:space="preserve"> </w:t>
          </w:r>
          <w:r>
            <w:rPr>
              <w:rFonts w:ascii="宋体" w:hAnsi="宋体" w:eastAsia="宋体" w:cs="宋体"/>
              <w:bCs/>
              <w:spacing w:val="6"/>
              <w:sz w:val="24"/>
              <w:szCs w:val="40"/>
            </w:rPr>
            <w:t>竞争性谈判响应文件格式</w:t>
          </w:r>
          <w:r>
            <w:rPr>
              <w:sz w:val="24"/>
              <w:szCs w:val="24"/>
            </w:rPr>
            <w:tab/>
          </w:r>
          <w:r>
            <w:rPr>
              <w:sz w:val="24"/>
              <w:szCs w:val="24"/>
            </w:rPr>
            <w:fldChar w:fldCharType="begin"/>
          </w:r>
          <w:r>
            <w:rPr>
              <w:sz w:val="24"/>
              <w:szCs w:val="24"/>
            </w:rPr>
            <w:instrText xml:space="preserve"> PAGEREF _Toc28069 \h </w:instrText>
          </w:r>
          <w:r>
            <w:rPr>
              <w:sz w:val="24"/>
              <w:szCs w:val="24"/>
            </w:rPr>
            <w:fldChar w:fldCharType="separate"/>
          </w:r>
          <w:r>
            <w:rPr>
              <w:sz w:val="24"/>
              <w:szCs w:val="24"/>
            </w:rPr>
            <w:t>44</w:t>
          </w:r>
          <w:r>
            <w:rPr>
              <w:sz w:val="24"/>
              <w:szCs w:val="24"/>
            </w:rPr>
            <w:fldChar w:fldCharType="end"/>
          </w:r>
          <w:r>
            <w:rPr>
              <w:rFonts w:ascii="Calibri" w:hAnsi="Calibri" w:eastAsia="Calibri" w:cs="Calibri"/>
              <w:snapToGrid w:val="0"/>
              <w:color w:val="000000"/>
              <w:kern w:val="0"/>
              <w:sz w:val="24"/>
              <w:szCs w:val="36"/>
              <w:lang w:val="en-US" w:eastAsia="en-US" w:bidi="ar-SA"/>
            </w:rPr>
            <w:fldChar w:fldCharType="end"/>
          </w:r>
        </w:p>
        <w:p w14:paraId="1903EB7E">
          <w:pPr>
            <w:spacing w:line="225" w:lineRule="auto"/>
            <w:rPr>
              <w:rFonts w:ascii="Calibri" w:hAnsi="Calibri" w:eastAsia="Calibri" w:cs="Calibri"/>
              <w:snapToGrid w:val="0"/>
              <w:color w:val="000000"/>
              <w:kern w:val="0"/>
              <w:sz w:val="21"/>
              <w:szCs w:val="31"/>
              <w:lang w:val="en-US" w:eastAsia="en-US" w:bidi="ar-SA"/>
            </w:rPr>
          </w:pPr>
          <w:r>
            <w:rPr>
              <w:rFonts w:ascii="Calibri" w:hAnsi="Calibri" w:eastAsia="Calibri" w:cs="Calibri"/>
              <w:snapToGrid w:val="0"/>
              <w:color w:val="000000"/>
              <w:kern w:val="0"/>
              <w:szCs w:val="31"/>
              <w:lang w:val="en-US" w:eastAsia="en-US" w:bidi="ar-SA"/>
            </w:rPr>
            <w:fldChar w:fldCharType="end"/>
          </w:r>
        </w:p>
      </w:sdtContent>
    </w:sdt>
    <w:p w14:paraId="1F227DC6">
      <w:pPr>
        <w:spacing w:line="225" w:lineRule="auto"/>
        <w:rPr>
          <w:rFonts w:ascii="Calibri" w:hAnsi="Calibri" w:eastAsia="Calibri" w:cs="Calibri"/>
          <w:snapToGrid w:val="0"/>
          <w:color w:val="000000"/>
          <w:kern w:val="0"/>
          <w:sz w:val="21"/>
          <w:szCs w:val="31"/>
          <w:lang w:val="en-US" w:eastAsia="en-US" w:bidi="ar-SA"/>
        </w:rPr>
        <w:sectPr>
          <w:pgSz w:w="11906" w:h="16839"/>
          <w:pgMar w:top="1431" w:right="1785" w:bottom="0" w:left="1785" w:header="0" w:footer="0" w:gutter="0"/>
          <w:cols w:space="720" w:num="1"/>
        </w:sectPr>
      </w:pPr>
    </w:p>
    <w:p w14:paraId="7EF719C0">
      <w:pPr>
        <w:spacing w:before="80" w:line="218" w:lineRule="auto"/>
        <w:ind w:left="2351"/>
        <w:outlineLvl w:val="0"/>
        <w:rPr>
          <w:rFonts w:ascii="宋体" w:hAnsi="宋体" w:eastAsia="宋体" w:cs="宋体"/>
          <w:sz w:val="40"/>
          <w:szCs w:val="40"/>
        </w:rPr>
      </w:pPr>
      <w:bookmarkStart w:id="0" w:name="_Toc6017"/>
      <w:bookmarkStart w:id="1" w:name="_Toc4736"/>
      <w:bookmarkStart w:id="2" w:name="_Toc17967"/>
      <w:bookmarkStart w:id="3" w:name="_Toc21715"/>
      <w:r>
        <w:rPr>
          <w:rFonts w:ascii="宋体" w:hAnsi="宋体" w:eastAsia="宋体" w:cs="宋体"/>
          <w:b/>
          <w:bCs/>
          <w:spacing w:val="-4"/>
          <w:sz w:val="40"/>
          <w:szCs w:val="40"/>
        </w:rPr>
        <w:t>第一部分</w:t>
      </w:r>
      <w:r>
        <w:rPr>
          <w:rFonts w:ascii="宋体" w:hAnsi="宋体" w:eastAsia="宋体" w:cs="宋体"/>
          <w:spacing w:val="-4"/>
          <w:sz w:val="40"/>
          <w:szCs w:val="40"/>
        </w:rPr>
        <w:t xml:space="preserve">  </w:t>
      </w:r>
      <w:r>
        <w:rPr>
          <w:rFonts w:ascii="宋体" w:hAnsi="宋体" w:eastAsia="宋体" w:cs="宋体"/>
          <w:b/>
          <w:bCs/>
          <w:spacing w:val="-4"/>
          <w:sz w:val="40"/>
          <w:szCs w:val="40"/>
        </w:rPr>
        <w:t>竞争性谈判公告</w:t>
      </w:r>
      <w:bookmarkEnd w:id="0"/>
      <w:bookmarkEnd w:id="1"/>
    </w:p>
    <w:p w14:paraId="48536E96">
      <w:pPr>
        <w:spacing w:before="208" w:line="219" w:lineRule="auto"/>
        <w:ind w:left="141"/>
        <w:rPr>
          <w:rFonts w:ascii="宋体" w:hAnsi="宋体" w:eastAsia="宋体" w:cs="宋体"/>
          <w:sz w:val="24"/>
          <w:szCs w:val="24"/>
        </w:rPr>
      </w:pPr>
      <w:r>
        <w:rPr>
          <w:rFonts w:ascii="宋体" w:hAnsi="宋体" w:eastAsia="宋体" w:cs="宋体"/>
          <w:b/>
          <w:bCs/>
          <w:spacing w:val="-6"/>
          <w:sz w:val="24"/>
          <w:szCs w:val="24"/>
        </w:rPr>
        <w:t>项目概况</w:t>
      </w:r>
    </w:p>
    <w:p w14:paraId="5CE6DDE4">
      <w:pPr>
        <w:spacing w:before="182" w:line="360" w:lineRule="auto"/>
        <w:ind w:left="143" w:right="603" w:firstLine="498"/>
        <w:jc w:val="both"/>
        <w:rPr>
          <w:rFonts w:ascii="宋体" w:hAnsi="宋体" w:eastAsia="宋体" w:cs="宋体"/>
          <w:color w:val="auto"/>
          <w:sz w:val="24"/>
          <w:szCs w:val="24"/>
          <w:highlight w:val="none"/>
        </w:rPr>
      </w:pPr>
      <w:r>
        <w:rPr>
          <w:rFonts w:hint="eastAsia" w:ascii="宋体" w:hAnsi="宋体" w:eastAsia="宋体" w:cs="宋体"/>
          <w:spacing w:val="9"/>
          <w:sz w:val="24"/>
          <w:szCs w:val="24"/>
          <w:highlight w:val="none"/>
          <w:lang w:eastAsia="zh-CN"/>
        </w:rPr>
        <w:t>绥德县第二净水厂化验设备采购</w:t>
      </w:r>
      <w:r>
        <w:rPr>
          <w:rFonts w:ascii="宋体" w:hAnsi="宋体" w:eastAsia="宋体" w:cs="宋体"/>
          <w:spacing w:val="9"/>
          <w:sz w:val="24"/>
          <w:szCs w:val="24"/>
          <w:highlight w:val="none"/>
        </w:rPr>
        <w:t>的潜在供应商应</w:t>
      </w:r>
      <w:r>
        <w:rPr>
          <w:rFonts w:hint="eastAsia" w:ascii="宋体" w:hAnsi="宋体" w:eastAsia="宋体" w:cs="宋体"/>
          <w:color w:val="auto"/>
          <w:spacing w:val="-7"/>
          <w:sz w:val="24"/>
          <w:szCs w:val="24"/>
          <w:highlight w:val="none"/>
          <w:lang w:eastAsia="zh-CN"/>
        </w:rPr>
        <w:t>在陕西省公共资源交易平台CA锁自行下载获取采购文件，并于</w:t>
      </w:r>
      <w:r>
        <w:rPr>
          <w:rFonts w:hint="eastAsia" w:ascii="宋体" w:hAnsi="宋体" w:eastAsia="宋体" w:cs="宋体"/>
          <w:spacing w:val="9"/>
          <w:sz w:val="24"/>
          <w:szCs w:val="24"/>
          <w:highlight w:val="none"/>
          <w:lang w:eastAsia="zh-CN"/>
        </w:rPr>
        <w:t>202</w:t>
      </w:r>
      <w:r>
        <w:rPr>
          <w:rFonts w:hint="eastAsia" w:ascii="宋体" w:hAnsi="宋体" w:eastAsia="宋体" w:cs="宋体"/>
          <w:spacing w:val="9"/>
          <w:sz w:val="24"/>
          <w:szCs w:val="24"/>
          <w:highlight w:val="none"/>
          <w:lang w:val="en-US" w:eastAsia="zh-CN"/>
        </w:rPr>
        <w:t>6</w:t>
      </w:r>
      <w:r>
        <w:rPr>
          <w:rFonts w:hint="eastAsia" w:ascii="宋体" w:hAnsi="宋体" w:eastAsia="宋体" w:cs="宋体"/>
          <w:spacing w:val="9"/>
          <w:sz w:val="24"/>
          <w:szCs w:val="24"/>
          <w:highlight w:val="none"/>
          <w:lang w:eastAsia="zh-CN"/>
        </w:rPr>
        <w:t>年</w:t>
      </w:r>
      <w:r>
        <w:rPr>
          <w:rFonts w:hint="eastAsia" w:ascii="宋体" w:hAnsi="宋体" w:eastAsia="宋体" w:cs="宋体"/>
          <w:spacing w:val="9"/>
          <w:sz w:val="24"/>
          <w:szCs w:val="24"/>
          <w:highlight w:val="none"/>
          <w:lang w:val="en-US" w:eastAsia="zh-CN"/>
        </w:rPr>
        <w:t>09</w:t>
      </w:r>
      <w:r>
        <w:rPr>
          <w:rFonts w:hint="eastAsia" w:ascii="宋体" w:hAnsi="宋体" w:eastAsia="宋体" w:cs="宋体"/>
          <w:spacing w:val="9"/>
          <w:sz w:val="24"/>
          <w:szCs w:val="24"/>
          <w:highlight w:val="none"/>
          <w:lang w:eastAsia="zh-CN"/>
        </w:rPr>
        <w:t>月</w:t>
      </w:r>
      <w:r>
        <w:rPr>
          <w:rFonts w:hint="eastAsia" w:ascii="宋体" w:hAnsi="宋体" w:eastAsia="宋体" w:cs="宋体"/>
          <w:spacing w:val="9"/>
          <w:sz w:val="24"/>
          <w:szCs w:val="24"/>
          <w:highlight w:val="none"/>
          <w:lang w:val="en-US" w:eastAsia="zh-CN"/>
        </w:rPr>
        <w:t>11</w:t>
      </w:r>
      <w:r>
        <w:rPr>
          <w:rFonts w:hint="eastAsia" w:ascii="宋体" w:hAnsi="宋体" w:eastAsia="宋体" w:cs="宋体"/>
          <w:spacing w:val="9"/>
          <w:sz w:val="24"/>
          <w:szCs w:val="24"/>
          <w:highlight w:val="none"/>
          <w:lang w:eastAsia="zh-CN"/>
        </w:rPr>
        <w:t>日</w:t>
      </w:r>
      <w:r>
        <w:rPr>
          <w:rFonts w:hint="eastAsia" w:ascii="宋体" w:hAnsi="宋体" w:eastAsia="宋体" w:cs="宋体"/>
          <w:spacing w:val="9"/>
          <w:sz w:val="24"/>
          <w:szCs w:val="24"/>
          <w:highlight w:val="none"/>
          <w:lang w:val="en-US" w:eastAsia="zh-CN"/>
        </w:rPr>
        <w:t>13</w:t>
      </w:r>
      <w:r>
        <w:rPr>
          <w:rFonts w:hint="eastAsia" w:ascii="宋体" w:hAnsi="宋体" w:eastAsia="宋体" w:cs="宋体"/>
          <w:spacing w:val="9"/>
          <w:sz w:val="24"/>
          <w:szCs w:val="24"/>
          <w:highlight w:val="none"/>
          <w:lang w:eastAsia="zh-CN"/>
        </w:rPr>
        <w:t>时30分（北京时间）</w:t>
      </w:r>
      <w:r>
        <w:rPr>
          <w:rFonts w:ascii="宋体" w:hAnsi="宋体" w:eastAsia="宋体" w:cs="宋体"/>
          <w:color w:val="auto"/>
          <w:spacing w:val="-2"/>
          <w:sz w:val="24"/>
          <w:szCs w:val="24"/>
          <w:highlight w:val="none"/>
        </w:rPr>
        <w:t>前提交响应文件。</w:t>
      </w:r>
    </w:p>
    <w:p w14:paraId="07346612">
      <w:pPr>
        <w:spacing w:line="218" w:lineRule="auto"/>
        <w:ind w:left="141"/>
        <w:rPr>
          <w:rFonts w:ascii="宋体" w:hAnsi="宋体" w:eastAsia="宋体" w:cs="宋体"/>
          <w:sz w:val="24"/>
          <w:szCs w:val="24"/>
          <w:highlight w:val="none"/>
        </w:rPr>
      </w:pPr>
      <w:r>
        <w:rPr>
          <w:rFonts w:ascii="宋体" w:hAnsi="宋体" w:eastAsia="宋体" w:cs="宋体"/>
          <w:b/>
          <w:bCs/>
          <w:color w:val="333333"/>
          <w:spacing w:val="-4"/>
          <w:sz w:val="24"/>
          <w:szCs w:val="24"/>
          <w:highlight w:val="none"/>
        </w:rPr>
        <w:t>一、项目基本情况</w:t>
      </w:r>
    </w:p>
    <w:p w14:paraId="678E19F2">
      <w:pPr>
        <w:spacing w:before="288" w:line="219" w:lineRule="auto"/>
        <w:ind w:left="621"/>
        <w:rPr>
          <w:rFonts w:hint="default" w:ascii="宋体" w:hAnsi="宋体" w:eastAsia="宋体" w:cs="宋体"/>
          <w:sz w:val="24"/>
          <w:szCs w:val="24"/>
          <w:highlight w:val="none"/>
          <w:lang w:val="en-US"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rPr>
        <w:t>SYHZ-2026-</w:t>
      </w:r>
      <w:r>
        <w:rPr>
          <w:rFonts w:hint="eastAsia" w:ascii="宋体" w:hAnsi="宋体" w:eastAsia="宋体" w:cs="宋体"/>
          <w:spacing w:val="-1"/>
          <w:sz w:val="24"/>
          <w:szCs w:val="24"/>
          <w:highlight w:val="none"/>
          <w:lang w:val="en-US" w:eastAsia="zh-CN"/>
        </w:rPr>
        <w:t>07</w:t>
      </w:r>
    </w:p>
    <w:p w14:paraId="19970A07">
      <w:pPr>
        <w:spacing w:before="182" w:line="219" w:lineRule="auto"/>
        <w:ind w:left="616"/>
        <w:rPr>
          <w:rFonts w:hint="eastAsia" w:ascii="宋体" w:hAnsi="宋体" w:eastAsia="宋体" w:cs="宋体"/>
          <w:spacing w:val="9"/>
          <w:sz w:val="24"/>
          <w:szCs w:val="24"/>
          <w:lang w:eastAsia="zh-CN"/>
        </w:rPr>
      </w:pPr>
      <w:r>
        <w:rPr>
          <w:rFonts w:ascii="宋体" w:hAnsi="宋体" w:eastAsia="宋体" w:cs="宋体"/>
          <w:spacing w:val="9"/>
          <w:sz w:val="24"/>
          <w:szCs w:val="24"/>
        </w:rPr>
        <w:t>项目名称：</w:t>
      </w:r>
      <w:r>
        <w:rPr>
          <w:rFonts w:hint="eastAsia" w:ascii="宋体" w:hAnsi="宋体" w:eastAsia="宋体" w:cs="宋体"/>
          <w:spacing w:val="9"/>
          <w:sz w:val="24"/>
          <w:szCs w:val="24"/>
          <w:lang w:eastAsia="zh-CN"/>
        </w:rPr>
        <w:t>绥德县第二净水厂化验设备采购</w:t>
      </w:r>
    </w:p>
    <w:p w14:paraId="46583ABF">
      <w:pPr>
        <w:spacing w:before="182" w:line="219" w:lineRule="auto"/>
        <w:ind w:left="616"/>
        <w:rPr>
          <w:rFonts w:ascii="宋体" w:hAnsi="宋体" w:eastAsia="宋体" w:cs="宋体"/>
          <w:sz w:val="24"/>
          <w:szCs w:val="24"/>
        </w:rPr>
      </w:pPr>
      <w:r>
        <w:rPr>
          <w:rFonts w:ascii="宋体" w:hAnsi="宋体" w:eastAsia="宋体" w:cs="宋体"/>
          <w:spacing w:val="-1"/>
          <w:sz w:val="24"/>
          <w:szCs w:val="24"/>
        </w:rPr>
        <w:t>采购方式：竞争性谈判</w:t>
      </w:r>
    </w:p>
    <w:p w14:paraId="52B972C6">
      <w:pPr>
        <w:spacing w:before="184" w:line="219" w:lineRule="auto"/>
        <w:ind w:left="618"/>
        <w:rPr>
          <w:rFonts w:ascii="宋体" w:hAnsi="宋体" w:eastAsia="宋体" w:cs="宋体"/>
          <w:spacing w:val="9"/>
          <w:sz w:val="24"/>
          <w:szCs w:val="24"/>
        </w:rPr>
      </w:pPr>
      <w:r>
        <w:rPr>
          <w:rFonts w:ascii="宋体" w:hAnsi="宋体" w:eastAsia="宋体" w:cs="宋体"/>
          <w:spacing w:val="9"/>
          <w:sz w:val="24"/>
          <w:szCs w:val="24"/>
        </w:rPr>
        <w:t>预算金额：</w:t>
      </w:r>
      <w:r>
        <w:rPr>
          <w:rFonts w:hint="eastAsia" w:ascii="宋体" w:hAnsi="宋体" w:eastAsia="宋体" w:cs="宋体"/>
          <w:spacing w:val="9"/>
          <w:sz w:val="24"/>
          <w:szCs w:val="24"/>
          <w:lang w:val="en-US" w:eastAsia="zh-CN"/>
        </w:rPr>
        <w:t>634690.00元</w:t>
      </w:r>
    </w:p>
    <w:p w14:paraId="1E1C360E">
      <w:pPr>
        <w:spacing w:before="184" w:line="219" w:lineRule="auto"/>
        <w:ind w:left="618"/>
        <w:rPr>
          <w:rFonts w:ascii="宋体" w:hAnsi="宋体" w:eastAsia="宋体" w:cs="宋体"/>
          <w:spacing w:val="9"/>
          <w:sz w:val="24"/>
          <w:szCs w:val="24"/>
        </w:rPr>
      </w:pPr>
      <w:r>
        <w:rPr>
          <w:rFonts w:ascii="宋体" w:hAnsi="宋体" w:eastAsia="宋体" w:cs="宋体"/>
          <w:spacing w:val="9"/>
          <w:sz w:val="24"/>
          <w:szCs w:val="24"/>
        </w:rPr>
        <w:t>采购需求：</w:t>
      </w:r>
    </w:p>
    <w:p w14:paraId="6702B4E2">
      <w:pPr>
        <w:spacing w:before="184" w:line="219" w:lineRule="auto"/>
        <w:ind w:left="618"/>
        <w:rPr>
          <w:rFonts w:ascii="宋体" w:hAnsi="宋体" w:eastAsia="宋体" w:cs="宋体"/>
          <w:sz w:val="24"/>
          <w:szCs w:val="24"/>
        </w:rPr>
      </w:pPr>
      <w:r>
        <w:rPr>
          <w:rFonts w:ascii="宋体" w:hAnsi="宋体" w:eastAsia="宋体" w:cs="宋体"/>
          <w:spacing w:val="9"/>
          <w:sz w:val="24"/>
          <w:szCs w:val="24"/>
        </w:rPr>
        <w:t>合同包1(</w:t>
      </w:r>
      <w:r>
        <w:rPr>
          <w:rFonts w:hint="eastAsia" w:ascii="宋体" w:hAnsi="宋体" w:eastAsia="宋体" w:cs="宋体"/>
          <w:spacing w:val="9"/>
          <w:sz w:val="24"/>
          <w:szCs w:val="24"/>
          <w:lang w:eastAsia="zh-CN"/>
        </w:rPr>
        <w:t>绥德县第二净水厂化验设备采购</w:t>
      </w:r>
      <w:r>
        <w:rPr>
          <w:rFonts w:ascii="宋体" w:hAnsi="宋体" w:eastAsia="宋体" w:cs="宋体"/>
          <w:spacing w:val="9"/>
          <w:sz w:val="24"/>
          <w:szCs w:val="24"/>
        </w:rPr>
        <w:t>):</w:t>
      </w:r>
    </w:p>
    <w:p w14:paraId="5BF25918">
      <w:pPr>
        <w:spacing w:before="184" w:line="219" w:lineRule="auto"/>
        <w:ind w:left="618"/>
        <w:rPr>
          <w:rFonts w:ascii="宋体" w:hAnsi="宋体" w:eastAsia="宋体" w:cs="宋体"/>
          <w:sz w:val="24"/>
          <w:szCs w:val="24"/>
        </w:rPr>
      </w:pPr>
      <w:r>
        <w:rPr>
          <w:rFonts w:ascii="宋体" w:hAnsi="宋体" w:eastAsia="宋体" w:cs="宋体"/>
          <w:spacing w:val="-1"/>
          <w:sz w:val="24"/>
          <w:szCs w:val="24"/>
        </w:rPr>
        <w:t>合同包预算金额：</w:t>
      </w:r>
      <w:r>
        <w:rPr>
          <w:rFonts w:hint="eastAsia" w:ascii="宋体" w:hAnsi="宋体" w:eastAsia="宋体" w:cs="宋体"/>
          <w:spacing w:val="-1"/>
          <w:sz w:val="24"/>
          <w:szCs w:val="24"/>
          <w:lang w:val="en-US" w:eastAsia="zh-CN"/>
        </w:rPr>
        <w:t>634690.00</w:t>
      </w:r>
      <w:r>
        <w:rPr>
          <w:rFonts w:hint="eastAsia" w:ascii="宋体" w:hAnsi="宋体" w:eastAsia="宋体" w:cs="宋体"/>
          <w:spacing w:val="9"/>
          <w:sz w:val="24"/>
          <w:szCs w:val="24"/>
          <w:lang w:val="en-US" w:eastAsia="zh-CN"/>
        </w:rPr>
        <w:t>元</w:t>
      </w:r>
    </w:p>
    <w:p w14:paraId="21CA293C">
      <w:pPr>
        <w:spacing w:before="182" w:line="218" w:lineRule="auto"/>
        <w:ind w:left="618"/>
        <w:rPr>
          <w:rFonts w:ascii="宋体" w:hAnsi="宋体" w:eastAsia="宋体" w:cs="宋体"/>
          <w:sz w:val="24"/>
          <w:szCs w:val="24"/>
        </w:rPr>
      </w:pPr>
      <w:r>
        <w:rPr>
          <w:rFonts w:ascii="宋体" w:hAnsi="宋体" w:eastAsia="宋体" w:cs="宋体"/>
          <w:spacing w:val="-1"/>
          <w:sz w:val="24"/>
          <w:szCs w:val="24"/>
        </w:rPr>
        <w:t>合同包最高限价：</w:t>
      </w:r>
      <w:r>
        <w:rPr>
          <w:rFonts w:hint="eastAsia" w:ascii="宋体" w:hAnsi="宋体" w:eastAsia="宋体" w:cs="宋体"/>
          <w:spacing w:val="-1"/>
          <w:sz w:val="24"/>
          <w:szCs w:val="24"/>
          <w:lang w:val="en-US" w:eastAsia="zh-CN"/>
        </w:rPr>
        <w:t>634690.00</w:t>
      </w:r>
      <w:r>
        <w:rPr>
          <w:rFonts w:ascii="宋体" w:hAnsi="宋体" w:eastAsia="宋体" w:cs="宋体"/>
          <w:spacing w:val="-1"/>
          <w:sz w:val="24"/>
          <w:szCs w:val="24"/>
        </w:rPr>
        <w:t>元</w:t>
      </w:r>
    </w:p>
    <w:p w14:paraId="42426195">
      <w:pPr>
        <w:spacing w:line="70" w:lineRule="exact"/>
      </w:pPr>
    </w:p>
    <w:tbl>
      <w:tblPr>
        <w:tblStyle w:val="31"/>
        <w:tblW w:w="9961"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901"/>
        <w:gridCol w:w="1280"/>
        <w:gridCol w:w="1357"/>
        <w:gridCol w:w="1808"/>
        <w:gridCol w:w="1353"/>
        <w:gridCol w:w="1683"/>
        <w:gridCol w:w="1579"/>
      </w:tblGrid>
      <w:tr w14:paraId="304AF7A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1" w:hRule="atLeast"/>
        </w:trPr>
        <w:tc>
          <w:tcPr>
            <w:tcW w:w="901" w:type="dxa"/>
            <w:textDirection w:val="tbRlV"/>
            <w:vAlign w:val="top"/>
          </w:tcPr>
          <w:p w14:paraId="057EF6EC">
            <w:pPr>
              <w:pStyle w:val="32"/>
              <w:spacing w:before="242" w:line="197" w:lineRule="auto"/>
              <w:ind w:left="438"/>
              <w:rPr>
                <w:rFonts w:hint="default"/>
                <w:color w:val="333333"/>
                <w:spacing w:val="-10"/>
                <w:lang w:val="en-US" w:eastAsia="zh-CN"/>
              </w:rPr>
            </w:pPr>
            <w:r>
              <w:rPr>
                <w:rFonts w:hint="eastAsia" w:ascii="宋体" w:hAnsi="宋体" w:eastAsia="宋体" w:cs="宋体"/>
                <w:spacing w:val="47"/>
                <w:lang w:val="en-US" w:eastAsia="zh-CN"/>
              </w:rPr>
              <w:t>品目</w:t>
            </w:r>
            <w:r>
              <w:rPr>
                <w:rFonts w:hint="eastAsia"/>
                <w:color w:val="333333"/>
                <w:spacing w:val="-10"/>
                <w:lang w:val="en-US" w:eastAsia="zh-CN"/>
              </w:rPr>
              <w:t>号</w:t>
            </w:r>
          </w:p>
        </w:tc>
        <w:tc>
          <w:tcPr>
            <w:tcW w:w="1280" w:type="dxa"/>
            <w:vAlign w:val="center"/>
          </w:tcPr>
          <w:p w14:paraId="684EF350">
            <w:pPr>
              <w:pStyle w:val="32"/>
              <w:spacing w:before="78" w:line="241" w:lineRule="auto"/>
              <w:ind w:left="145"/>
              <w:rPr>
                <w:color w:val="333333"/>
                <w:spacing w:val="-10"/>
              </w:rPr>
            </w:pPr>
            <w:r>
              <w:rPr>
                <w:color w:val="333333"/>
                <w:spacing w:val="-10"/>
              </w:rPr>
              <w:t>品目名称</w:t>
            </w:r>
          </w:p>
        </w:tc>
        <w:tc>
          <w:tcPr>
            <w:tcW w:w="1357" w:type="dxa"/>
            <w:vAlign w:val="center"/>
          </w:tcPr>
          <w:p w14:paraId="6B9CD7C3">
            <w:pPr>
              <w:pStyle w:val="32"/>
              <w:spacing w:before="78" w:line="241" w:lineRule="auto"/>
              <w:ind w:left="145"/>
              <w:rPr>
                <w:color w:val="333333"/>
                <w:spacing w:val="-10"/>
              </w:rPr>
            </w:pPr>
            <w:r>
              <w:rPr>
                <w:color w:val="333333"/>
                <w:spacing w:val="-10"/>
              </w:rPr>
              <w:t>采购标的</w:t>
            </w:r>
          </w:p>
        </w:tc>
        <w:tc>
          <w:tcPr>
            <w:tcW w:w="1808" w:type="dxa"/>
            <w:vAlign w:val="center"/>
          </w:tcPr>
          <w:p w14:paraId="5317927B">
            <w:pPr>
              <w:pStyle w:val="32"/>
              <w:spacing w:before="78" w:line="241" w:lineRule="auto"/>
              <w:jc w:val="center"/>
              <w:rPr>
                <w:color w:val="333333"/>
                <w:spacing w:val="-10"/>
              </w:rPr>
            </w:pPr>
            <w:r>
              <w:rPr>
                <w:color w:val="333333"/>
                <w:spacing w:val="-10"/>
              </w:rPr>
              <w:t>数量</w:t>
            </w:r>
            <w:r>
              <w:rPr>
                <w:rFonts w:hint="eastAsia"/>
                <w:color w:val="333333"/>
                <w:spacing w:val="-10"/>
                <w:lang w:eastAsia="zh-CN"/>
              </w:rPr>
              <w:t>（</w:t>
            </w:r>
            <w:r>
              <w:rPr>
                <w:color w:val="333333"/>
                <w:spacing w:val="-10"/>
              </w:rPr>
              <w:t>单位</w:t>
            </w:r>
            <w:r>
              <w:rPr>
                <w:rFonts w:hint="eastAsia"/>
                <w:color w:val="333333"/>
                <w:spacing w:val="-10"/>
                <w:lang w:eastAsia="zh-CN"/>
              </w:rPr>
              <w:t>）</w:t>
            </w:r>
          </w:p>
        </w:tc>
        <w:tc>
          <w:tcPr>
            <w:tcW w:w="1353" w:type="dxa"/>
            <w:vAlign w:val="center"/>
          </w:tcPr>
          <w:p w14:paraId="123AF7DE">
            <w:pPr>
              <w:pStyle w:val="32"/>
              <w:spacing w:before="78" w:line="241" w:lineRule="auto"/>
              <w:ind w:left="145"/>
              <w:rPr>
                <w:color w:val="333333"/>
                <w:spacing w:val="-10"/>
              </w:rPr>
            </w:pPr>
            <w:r>
              <w:rPr>
                <w:color w:val="333333"/>
                <w:spacing w:val="-10"/>
              </w:rPr>
              <w:t>技术规格、参数及要求</w:t>
            </w:r>
          </w:p>
        </w:tc>
        <w:tc>
          <w:tcPr>
            <w:tcW w:w="1683" w:type="dxa"/>
            <w:vAlign w:val="center"/>
          </w:tcPr>
          <w:p w14:paraId="2A08270B">
            <w:pPr>
              <w:pStyle w:val="32"/>
              <w:spacing w:before="78" w:line="241" w:lineRule="auto"/>
              <w:jc w:val="center"/>
              <w:rPr>
                <w:color w:val="333333"/>
                <w:spacing w:val="-10"/>
              </w:rPr>
            </w:pPr>
            <w:r>
              <w:rPr>
                <w:color w:val="333333"/>
                <w:spacing w:val="-10"/>
              </w:rPr>
              <w:t>品目预算(元)</w:t>
            </w:r>
          </w:p>
        </w:tc>
        <w:tc>
          <w:tcPr>
            <w:tcW w:w="1579" w:type="dxa"/>
            <w:vAlign w:val="center"/>
          </w:tcPr>
          <w:p w14:paraId="04F5880B">
            <w:pPr>
              <w:pStyle w:val="32"/>
              <w:spacing w:before="78" w:line="241" w:lineRule="auto"/>
              <w:jc w:val="center"/>
              <w:rPr>
                <w:color w:val="333333"/>
                <w:spacing w:val="-10"/>
              </w:rPr>
            </w:pPr>
            <w:r>
              <w:rPr>
                <w:color w:val="333333"/>
                <w:spacing w:val="-10"/>
              </w:rPr>
              <w:t>最高限价(元)</w:t>
            </w:r>
          </w:p>
        </w:tc>
      </w:tr>
      <w:tr w14:paraId="62B82A38">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2252" w:hRule="atLeast"/>
        </w:trPr>
        <w:tc>
          <w:tcPr>
            <w:tcW w:w="901" w:type="dxa"/>
            <w:vAlign w:val="top"/>
          </w:tcPr>
          <w:p w14:paraId="06939401">
            <w:pPr>
              <w:pStyle w:val="32"/>
              <w:spacing w:before="78" w:line="241" w:lineRule="auto"/>
              <w:ind w:left="145"/>
              <w:rPr>
                <w:color w:val="333333"/>
                <w:spacing w:val="-10"/>
              </w:rPr>
            </w:pPr>
          </w:p>
          <w:p w14:paraId="5E23D0A6">
            <w:pPr>
              <w:pStyle w:val="32"/>
              <w:spacing w:before="78" w:line="241" w:lineRule="auto"/>
              <w:ind w:left="145"/>
              <w:rPr>
                <w:color w:val="333333"/>
                <w:spacing w:val="-10"/>
              </w:rPr>
            </w:pPr>
          </w:p>
          <w:p w14:paraId="12ABF509">
            <w:pPr>
              <w:pStyle w:val="32"/>
              <w:spacing w:before="78" w:line="241" w:lineRule="auto"/>
              <w:ind w:left="145"/>
              <w:jc w:val="center"/>
              <w:rPr>
                <w:color w:val="333333"/>
                <w:spacing w:val="-10"/>
              </w:rPr>
            </w:pPr>
            <w:r>
              <w:rPr>
                <w:color w:val="333333"/>
                <w:spacing w:val="-10"/>
              </w:rPr>
              <w:t>1-1</w:t>
            </w:r>
          </w:p>
        </w:tc>
        <w:tc>
          <w:tcPr>
            <w:tcW w:w="1280" w:type="dxa"/>
            <w:vAlign w:val="top"/>
          </w:tcPr>
          <w:p w14:paraId="599CD486">
            <w:pPr>
              <w:pStyle w:val="32"/>
              <w:spacing w:before="78" w:line="241" w:lineRule="auto"/>
              <w:ind w:left="145"/>
              <w:rPr>
                <w:color w:val="333333"/>
                <w:spacing w:val="-10"/>
              </w:rPr>
            </w:pPr>
          </w:p>
          <w:p w14:paraId="3F622EE4">
            <w:pPr>
              <w:pStyle w:val="32"/>
              <w:spacing w:before="78" w:line="241" w:lineRule="auto"/>
              <w:ind w:left="145"/>
              <w:rPr>
                <w:color w:val="333333"/>
                <w:spacing w:val="-10"/>
              </w:rPr>
            </w:pPr>
          </w:p>
          <w:p w14:paraId="2548A1D2">
            <w:pPr>
              <w:pStyle w:val="32"/>
              <w:spacing w:before="78" w:line="241" w:lineRule="auto"/>
              <w:ind w:left="145"/>
              <w:jc w:val="center"/>
              <w:rPr>
                <w:rFonts w:hint="eastAsia"/>
                <w:color w:val="333333"/>
                <w:spacing w:val="-10"/>
                <w:lang w:eastAsia="zh-CN"/>
              </w:rPr>
            </w:pPr>
            <w:r>
              <w:rPr>
                <w:rFonts w:hint="eastAsia"/>
                <w:color w:val="333333"/>
                <w:spacing w:val="-10"/>
                <w:lang w:eastAsia="zh-CN"/>
              </w:rPr>
              <w:t>水质污染防治设备</w:t>
            </w:r>
          </w:p>
        </w:tc>
        <w:tc>
          <w:tcPr>
            <w:tcW w:w="1357" w:type="dxa"/>
            <w:vAlign w:val="center"/>
          </w:tcPr>
          <w:p w14:paraId="1D083E10">
            <w:pPr>
              <w:pStyle w:val="32"/>
              <w:spacing w:before="78" w:line="241" w:lineRule="auto"/>
              <w:ind w:left="145"/>
              <w:jc w:val="left"/>
              <w:rPr>
                <w:color w:val="333333"/>
                <w:spacing w:val="-10"/>
              </w:rPr>
            </w:pPr>
            <w:r>
              <w:rPr>
                <w:color w:val="333333"/>
                <w:spacing w:val="-10"/>
              </w:rPr>
              <w:t>绥德县第二净水厂化验设备采购</w:t>
            </w:r>
          </w:p>
        </w:tc>
        <w:tc>
          <w:tcPr>
            <w:tcW w:w="1808" w:type="dxa"/>
            <w:vAlign w:val="top"/>
          </w:tcPr>
          <w:p w14:paraId="614C01E9">
            <w:pPr>
              <w:pStyle w:val="32"/>
              <w:spacing w:before="78" w:line="241" w:lineRule="auto"/>
              <w:ind w:left="145"/>
              <w:rPr>
                <w:color w:val="333333"/>
                <w:spacing w:val="-10"/>
              </w:rPr>
            </w:pPr>
          </w:p>
          <w:p w14:paraId="60F02FDA">
            <w:pPr>
              <w:pStyle w:val="32"/>
              <w:spacing w:before="78" w:line="241" w:lineRule="auto"/>
              <w:ind w:left="145"/>
              <w:jc w:val="center"/>
              <w:rPr>
                <w:color w:val="333333"/>
                <w:spacing w:val="-10"/>
              </w:rPr>
            </w:pPr>
          </w:p>
          <w:p w14:paraId="0D77A018">
            <w:pPr>
              <w:pStyle w:val="32"/>
              <w:spacing w:before="78" w:line="241" w:lineRule="auto"/>
              <w:ind w:left="145"/>
              <w:jc w:val="center"/>
              <w:rPr>
                <w:color w:val="333333"/>
                <w:spacing w:val="-10"/>
              </w:rPr>
            </w:pPr>
            <w:r>
              <w:rPr>
                <w:color w:val="333333"/>
                <w:spacing w:val="-10"/>
              </w:rPr>
              <w:t>1(批)</w:t>
            </w:r>
          </w:p>
        </w:tc>
        <w:tc>
          <w:tcPr>
            <w:tcW w:w="1353" w:type="dxa"/>
            <w:vAlign w:val="top"/>
          </w:tcPr>
          <w:p w14:paraId="6C12B4C8">
            <w:pPr>
              <w:pStyle w:val="32"/>
              <w:spacing w:before="78" w:line="241" w:lineRule="auto"/>
              <w:ind w:left="145"/>
              <w:jc w:val="center"/>
              <w:rPr>
                <w:color w:val="333333"/>
                <w:spacing w:val="-10"/>
              </w:rPr>
            </w:pPr>
          </w:p>
          <w:p w14:paraId="484BB934">
            <w:pPr>
              <w:pStyle w:val="32"/>
              <w:spacing w:before="78" w:line="241" w:lineRule="auto"/>
              <w:ind w:left="145"/>
              <w:jc w:val="center"/>
              <w:rPr>
                <w:color w:val="333333"/>
                <w:spacing w:val="-10"/>
              </w:rPr>
            </w:pPr>
          </w:p>
          <w:p w14:paraId="0CADB61F">
            <w:pPr>
              <w:pStyle w:val="32"/>
              <w:spacing w:before="78" w:line="241" w:lineRule="auto"/>
              <w:ind w:left="145"/>
              <w:jc w:val="center"/>
              <w:rPr>
                <w:color w:val="333333"/>
                <w:spacing w:val="-10"/>
              </w:rPr>
            </w:pPr>
            <w:r>
              <w:rPr>
                <w:color w:val="333333"/>
                <w:spacing w:val="-10"/>
              </w:rPr>
              <w:t>详见采购文件</w:t>
            </w:r>
          </w:p>
        </w:tc>
        <w:tc>
          <w:tcPr>
            <w:tcW w:w="1683" w:type="dxa"/>
            <w:vAlign w:val="top"/>
          </w:tcPr>
          <w:p w14:paraId="2DCEF621">
            <w:pPr>
              <w:pStyle w:val="32"/>
              <w:spacing w:before="78" w:line="241" w:lineRule="auto"/>
              <w:ind w:left="145"/>
              <w:rPr>
                <w:color w:val="333333"/>
                <w:spacing w:val="-10"/>
              </w:rPr>
            </w:pPr>
          </w:p>
          <w:p w14:paraId="171136B0">
            <w:pPr>
              <w:pStyle w:val="32"/>
              <w:spacing w:before="78" w:line="241" w:lineRule="auto"/>
              <w:ind w:left="145"/>
              <w:rPr>
                <w:color w:val="333333"/>
                <w:spacing w:val="-10"/>
              </w:rPr>
            </w:pPr>
          </w:p>
          <w:p w14:paraId="566A4272">
            <w:pPr>
              <w:pStyle w:val="32"/>
              <w:spacing w:before="78" w:line="241" w:lineRule="auto"/>
              <w:ind w:left="145"/>
              <w:jc w:val="center"/>
              <w:rPr>
                <w:color w:val="333333"/>
                <w:spacing w:val="-10"/>
              </w:rPr>
            </w:pPr>
            <w:r>
              <w:rPr>
                <w:rFonts w:hint="eastAsia"/>
                <w:color w:val="333333"/>
                <w:spacing w:val="-10"/>
                <w:lang w:val="en-US" w:eastAsia="zh-CN"/>
              </w:rPr>
              <w:t>634690.00</w:t>
            </w:r>
          </w:p>
        </w:tc>
        <w:tc>
          <w:tcPr>
            <w:tcW w:w="1579" w:type="dxa"/>
            <w:vAlign w:val="top"/>
          </w:tcPr>
          <w:p w14:paraId="787D9189">
            <w:pPr>
              <w:pStyle w:val="32"/>
              <w:spacing w:before="78" w:line="241" w:lineRule="auto"/>
              <w:ind w:left="145"/>
              <w:rPr>
                <w:color w:val="333333"/>
                <w:spacing w:val="-10"/>
              </w:rPr>
            </w:pPr>
          </w:p>
          <w:p w14:paraId="1087E966">
            <w:pPr>
              <w:pStyle w:val="32"/>
              <w:spacing w:before="78" w:line="241" w:lineRule="auto"/>
              <w:ind w:left="145"/>
              <w:rPr>
                <w:color w:val="333333"/>
                <w:spacing w:val="-10"/>
              </w:rPr>
            </w:pPr>
          </w:p>
          <w:p w14:paraId="039AEBA0">
            <w:pPr>
              <w:pStyle w:val="32"/>
              <w:spacing w:before="78" w:line="241" w:lineRule="auto"/>
              <w:ind w:left="145"/>
              <w:jc w:val="center"/>
              <w:rPr>
                <w:color w:val="333333"/>
                <w:spacing w:val="-10"/>
              </w:rPr>
            </w:pPr>
            <w:r>
              <w:rPr>
                <w:rFonts w:hint="eastAsia"/>
                <w:color w:val="333333"/>
                <w:spacing w:val="-10"/>
                <w:lang w:val="en-US" w:eastAsia="zh-CN"/>
              </w:rPr>
              <w:t>634690.00</w:t>
            </w:r>
          </w:p>
        </w:tc>
      </w:tr>
    </w:tbl>
    <w:p w14:paraId="355215BD">
      <w:pPr>
        <w:spacing w:before="156" w:line="219" w:lineRule="auto"/>
        <w:ind w:left="138" w:firstLine="238" w:firstLineChars="100"/>
        <w:rPr>
          <w:rFonts w:ascii="宋体" w:hAnsi="宋体" w:eastAsia="宋体" w:cs="宋体"/>
          <w:sz w:val="24"/>
          <w:szCs w:val="24"/>
        </w:rPr>
      </w:pPr>
      <w:r>
        <w:rPr>
          <w:rFonts w:ascii="宋体" w:hAnsi="宋体" w:eastAsia="宋体" w:cs="宋体"/>
          <w:spacing w:val="-1"/>
          <w:sz w:val="24"/>
          <w:szCs w:val="24"/>
        </w:rPr>
        <w:t>本合同包不接受联合体投标</w:t>
      </w:r>
    </w:p>
    <w:p w14:paraId="0F3D1F18">
      <w:pPr>
        <w:spacing w:before="147" w:line="219" w:lineRule="auto"/>
        <w:ind w:left="138" w:firstLine="238" w:firstLineChars="100"/>
        <w:rPr>
          <w:rFonts w:ascii="宋体" w:hAnsi="宋体" w:eastAsia="宋体" w:cs="宋体"/>
          <w:sz w:val="24"/>
          <w:szCs w:val="24"/>
        </w:rPr>
      </w:pPr>
      <w:r>
        <w:rPr>
          <w:rFonts w:ascii="宋体" w:hAnsi="宋体" w:eastAsia="宋体" w:cs="宋体"/>
          <w:spacing w:val="-1"/>
          <w:sz w:val="24"/>
          <w:szCs w:val="24"/>
        </w:rPr>
        <w:t>合同履行期限：详见采购文件</w:t>
      </w:r>
    </w:p>
    <w:p w14:paraId="2C033C5F">
      <w:pPr>
        <w:spacing w:before="148" w:line="219" w:lineRule="auto"/>
        <w:ind w:left="141"/>
        <w:rPr>
          <w:rFonts w:ascii="宋体" w:hAnsi="宋体" w:eastAsia="宋体" w:cs="宋体"/>
          <w:sz w:val="24"/>
          <w:szCs w:val="24"/>
        </w:rPr>
      </w:pPr>
      <w:r>
        <w:rPr>
          <w:rFonts w:ascii="宋体" w:hAnsi="宋体" w:eastAsia="宋体" w:cs="宋体"/>
          <w:b/>
          <w:bCs/>
          <w:spacing w:val="-3"/>
          <w:sz w:val="24"/>
          <w:szCs w:val="24"/>
        </w:rPr>
        <w:t>二、申请人的资格要求：</w:t>
      </w:r>
    </w:p>
    <w:p w14:paraId="63A72784">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1.满足《中华人民共和国政府采购法》第二十二条规定;</w:t>
      </w:r>
    </w:p>
    <w:p w14:paraId="72489DA4">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2.落实政府采购政策需满足的资格要求：</w:t>
      </w:r>
    </w:p>
    <w:p w14:paraId="01501EE3">
      <w:pPr>
        <w:spacing w:before="226" w:line="240" w:lineRule="auto"/>
        <w:ind w:left="621"/>
        <w:rPr>
          <w:rFonts w:hint="eastAsia" w:ascii="宋体" w:hAnsi="宋体" w:eastAsia="宋体" w:cs="宋体"/>
          <w:spacing w:val="9"/>
          <w:sz w:val="24"/>
          <w:szCs w:val="24"/>
          <w:lang w:eastAsia="zh-CN"/>
        </w:rPr>
      </w:pPr>
      <w:r>
        <w:rPr>
          <w:rFonts w:hint="eastAsia" w:ascii="宋体" w:hAnsi="宋体" w:eastAsia="宋体" w:cs="宋体"/>
          <w:spacing w:val="9"/>
          <w:sz w:val="24"/>
          <w:szCs w:val="24"/>
          <w:lang w:val="en-US" w:eastAsia="zh-CN"/>
        </w:rPr>
        <w:t>（1）</w:t>
      </w:r>
      <w:r>
        <w:rPr>
          <w:rFonts w:hint="eastAsia" w:ascii="宋体" w:hAnsi="宋体" w:eastAsia="宋体" w:cs="宋体"/>
          <w:spacing w:val="9"/>
          <w:sz w:val="24"/>
          <w:szCs w:val="24"/>
          <w:lang w:eastAsia="zh-CN"/>
        </w:rPr>
        <w:t>《政府采购促进中小企业发展管理办法》（财库〔2020〕46 号）；</w:t>
      </w:r>
    </w:p>
    <w:p w14:paraId="1B535F6B">
      <w:pPr>
        <w:spacing w:before="226" w:line="219" w:lineRule="auto"/>
        <w:ind w:left="621"/>
        <w:rPr>
          <w:rFonts w:hint="eastAsia" w:ascii="宋体" w:hAnsi="宋体" w:eastAsia="宋体" w:cs="宋体"/>
          <w:spacing w:val="9"/>
          <w:sz w:val="24"/>
          <w:szCs w:val="24"/>
          <w:lang w:eastAsia="zh-CN"/>
        </w:rPr>
        <w:sectPr>
          <w:footerReference r:id="rId6" w:type="default"/>
          <w:pgSz w:w="11906" w:h="16839"/>
          <w:pgMar w:top="1414" w:right="881" w:bottom="1151" w:left="1052" w:header="0" w:footer="987" w:gutter="0"/>
          <w:pgNumType w:fmt="decimal" w:start="1"/>
          <w:cols w:space="720" w:num="1"/>
        </w:sectPr>
      </w:pPr>
    </w:p>
    <w:p w14:paraId="7B19C369">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（2）《财政部司法部关于政府采购支持监狱企业发展有关问题的通知》（财库〔2014〕68 号）；</w:t>
      </w:r>
    </w:p>
    <w:p w14:paraId="15CAA5B7">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（3）《国务院办公厅关于建立政府强制采购节能产品制度的通知》（国办发〔2007〕51号）；</w:t>
      </w:r>
    </w:p>
    <w:p w14:paraId="0F9434F9">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（4）《节能产品政府采购实施意见》（财库[2004]185号）；</w:t>
      </w:r>
    </w:p>
    <w:p w14:paraId="131A2B74">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（5）《环境标志产品政府采购实施的意见》（财库[2006]90号）；</w:t>
      </w:r>
    </w:p>
    <w:p w14:paraId="0716C6FC">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（6）《财政部、民政部、中国残疾人联合会关于促进残疾人就业政府采购政策的通知》（财库[2017]141 号）；</w:t>
      </w:r>
    </w:p>
    <w:p w14:paraId="02CD9F19">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（7）陕西省财政厅关于印发《陕西省中小企业政府采购信用融资办法》（陕财办采〔 2018 〕23号） ； 相 关 政 策 、 业 务 流 程 、 办 理 平 台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"http://www.ccgpshaanxi.gov.cn/zcdservice/zcd/shanxi/"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http://www.ccgpshaanxi.gov.cn/zcdservice/zcd/shanxi/</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w:t>
      </w:r>
    </w:p>
    <w:p w14:paraId="6CC69EBE">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（8）《关于在政府采购活动中查询及使用信用记录有关问题的通知》（财库〔2016〕125 号）；</w:t>
      </w:r>
    </w:p>
    <w:p w14:paraId="0A2AD6E5">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（9）《榆林市财政局关于进一步加大政府采购支持中小企业力度的通知》（榆政财采发〔2022〕10号)；</w:t>
      </w:r>
    </w:p>
    <w:p w14:paraId="66FE84B0">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（10）《陕西省财政厅关于进一步加大政府采购支持中小企业力度的通知》(陕财采发〔2022〕5号)；</w:t>
      </w:r>
    </w:p>
    <w:p w14:paraId="2B070091">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3.本项目的特定资格要求：</w:t>
      </w:r>
    </w:p>
    <w:p w14:paraId="0B0A68F5">
      <w:pPr>
        <w:spacing w:before="226" w:line="240" w:lineRule="auto"/>
        <w:ind w:firstLine="520" w:firstLineChars="200"/>
        <w:rPr>
          <w:rFonts w:hint="eastAsia" w:ascii="宋体" w:hAnsi="宋体" w:eastAsia="宋体" w:cs="宋体"/>
          <w:spacing w:val="9"/>
          <w:sz w:val="24"/>
          <w:szCs w:val="24"/>
          <w:lang w:eastAsia="zh-CN"/>
        </w:rPr>
      </w:pPr>
      <w:r>
        <w:rPr>
          <w:rFonts w:hint="eastAsia" w:ascii="宋体" w:hAnsi="宋体" w:eastAsia="宋体" w:cs="宋体"/>
          <w:spacing w:val="10"/>
          <w:sz w:val="24"/>
          <w:szCs w:val="24"/>
          <w:lang w:eastAsia="zh-CN"/>
        </w:rPr>
        <w:t>合同包1(绥德县第二净水厂化验设备采购)特定资格要求如下:</w:t>
      </w:r>
    </w:p>
    <w:p w14:paraId="207F0943">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392EBFEB">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（2）参加政府采购活动前 3 年内经营活动中没有重大违法记录声明书；投标时限内“信用中国”(</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"https://www.creditchina.gov.cn"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www.creditchina.gov.cn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)网站生成的带水印信用报告，供应商不得为“信用中国 ”网站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"https://www.creditchina.gov.cn"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www.creditchina.gov.cn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）中列入重大税收违法失信主体、政府采购严重违法失信行为记录名单 ，不得为中国政府采购网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"https://www.ccgp.gov.cn"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www.ccgp.gov.cn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）政府采购严重违法失信行为记录名单中被财政部门禁止参加政府采购活动的供应商（提供查询结果网页截 图并加盖供应商公章）；同时提供榆林市政府采购货物类项目供应商信用承诺书。</w:t>
      </w:r>
    </w:p>
    <w:p w14:paraId="78F3C619">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（3）财务状况报告：经会计事务所或审计机构出具的202</w:t>
      </w:r>
      <w:r>
        <w:rPr>
          <w:rFonts w:hint="eastAsia" w:ascii="宋体" w:hAnsi="宋体" w:eastAsia="宋体" w:cs="宋体"/>
          <w:spacing w:val="5"/>
          <w:sz w:val="24"/>
          <w:szCs w:val="24"/>
          <w:lang w:val="en-US" w:eastAsia="zh-CN"/>
        </w:rPr>
        <w:t>5</w:t>
      </w:r>
      <w:r>
        <w:rPr>
          <w:rFonts w:hint="eastAsia" w:ascii="宋体" w:hAnsi="宋体" w:eastAsia="宋体" w:cs="宋体"/>
          <w:spacing w:val="5"/>
          <w:sz w:val="24"/>
          <w:szCs w:val="24"/>
          <w:lang w:eastAsia="zh-CN"/>
        </w:rPr>
        <w:t>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567CCF5A">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（4）税收缴纳证明：提供2025 年</w:t>
      </w:r>
      <w:r>
        <w:rPr>
          <w:rFonts w:hint="eastAsia" w:ascii="宋体" w:hAnsi="宋体" w:eastAsia="宋体" w:cs="宋体"/>
          <w:spacing w:val="5"/>
          <w:sz w:val="24"/>
          <w:szCs w:val="24"/>
          <w:lang w:val="en-US" w:eastAsia="zh-CN"/>
        </w:rPr>
        <w:t>1</w:t>
      </w:r>
      <w:r>
        <w:rPr>
          <w:rFonts w:hint="eastAsia" w:ascii="宋体" w:hAnsi="宋体" w:eastAsia="宋体" w:cs="宋体"/>
          <w:spacing w:val="5"/>
          <w:sz w:val="24"/>
          <w:szCs w:val="24"/>
          <w:lang w:eastAsia="zh-CN"/>
        </w:rPr>
        <w:t>月至投标截止时间止任意一个月完税证明，完税证明上应有税务机关的公章（加盖公章复印件）；依法免税的供应商应提供相关文件证明；</w:t>
      </w:r>
    </w:p>
    <w:p w14:paraId="19B93DA6">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（5）社会保障资金缴纳证明：提供 2025年</w:t>
      </w:r>
      <w:r>
        <w:rPr>
          <w:rFonts w:hint="eastAsia" w:ascii="宋体" w:hAnsi="宋体" w:eastAsia="宋体" w:cs="宋体"/>
          <w:spacing w:val="5"/>
          <w:sz w:val="24"/>
          <w:szCs w:val="24"/>
          <w:lang w:val="en-US" w:eastAsia="zh-CN"/>
        </w:rPr>
        <w:t>1</w:t>
      </w:r>
      <w:r>
        <w:rPr>
          <w:rFonts w:hint="eastAsia" w:ascii="宋体" w:hAnsi="宋体" w:eastAsia="宋体" w:cs="宋体"/>
          <w:spacing w:val="5"/>
          <w:sz w:val="24"/>
          <w:szCs w:val="24"/>
          <w:lang w:eastAsia="zh-CN"/>
        </w:rPr>
        <w:t>月至投标截止时间止任意一个月的社会保障资金缴存单据或社保机构开具的社会保险参保缴费情况证明；依法不需要缴纳社会保障资金的应提供相关文件证明；</w:t>
      </w:r>
    </w:p>
    <w:p w14:paraId="2F9A1901">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（6）提供具有履行合同所必需的设备和专业技术能力的证明资料或承诺书；</w:t>
      </w:r>
    </w:p>
    <w:p w14:paraId="3CB8C996">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（7）本项目以“投标信用承诺书 ”代替投标保证金；</w:t>
      </w:r>
    </w:p>
    <w:p w14:paraId="79FEBAD3">
      <w:pPr>
        <w:spacing w:before="183" w:line="313" w:lineRule="auto"/>
        <w:ind w:left="1" w:right="193" w:firstLine="514"/>
        <w:rPr>
          <w:rFonts w:hint="eastAsia" w:ascii="宋体" w:hAnsi="宋体" w:eastAsia="宋体" w:cs="宋体"/>
          <w:spacing w:val="10"/>
          <w:sz w:val="24"/>
          <w:szCs w:val="24"/>
          <w:lang w:eastAsia="zh-CN"/>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8</w:t>
      </w:r>
      <w:r>
        <w:rPr>
          <w:rFonts w:hint="eastAsia" w:ascii="宋体" w:hAnsi="宋体" w:eastAsia="宋体" w:cs="宋体"/>
          <w:spacing w:val="5"/>
          <w:sz w:val="24"/>
          <w:szCs w:val="24"/>
          <w:lang w:eastAsia="zh-CN"/>
        </w:rPr>
        <w:t>）本项目不接受联合体投标，单位负责人为同一人或者存在直接控股、管理关系的不同供应商，不得参加同一合同项下的政府采购活动</w:t>
      </w:r>
      <w:r>
        <w:rPr>
          <w:rFonts w:hint="eastAsia" w:ascii="宋体" w:hAnsi="宋体" w:eastAsia="宋体" w:cs="宋体"/>
          <w:spacing w:val="5"/>
          <w:sz w:val="24"/>
          <w:szCs w:val="24"/>
        </w:rPr>
        <w:t>；</w:t>
      </w:r>
    </w:p>
    <w:p w14:paraId="15FC3D8A">
      <w:pPr>
        <w:spacing w:before="183" w:line="313" w:lineRule="auto"/>
        <w:ind w:left="1" w:right="193" w:firstLine="514"/>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9</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本项目专门面向中小企业采购，供应商须提供货物类中小企业声明函。</w:t>
      </w:r>
    </w:p>
    <w:p w14:paraId="215C556E">
      <w:pPr>
        <w:spacing w:before="183" w:line="219" w:lineRule="auto"/>
        <w:rPr>
          <w:rFonts w:ascii="宋体" w:hAnsi="宋体" w:eastAsia="宋体" w:cs="宋体"/>
          <w:sz w:val="24"/>
          <w:szCs w:val="24"/>
        </w:rPr>
      </w:pPr>
      <w:r>
        <w:rPr>
          <w:rFonts w:ascii="宋体" w:hAnsi="宋体" w:eastAsia="宋体" w:cs="宋体"/>
          <w:b/>
          <w:bCs/>
          <w:spacing w:val="-3"/>
          <w:sz w:val="24"/>
          <w:szCs w:val="24"/>
        </w:rPr>
        <w:t>三、获取采购文件</w:t>
      </w:r>
    </w:p>
    <w:p w14:paraId="1B95DE79">
      <w:pPr>
        <w:spacing w:before="184" w:line="360" w:lineRule="auto"/>
        <w:ind w:left="8" w:firstLine="483"/>
        <w:rPr>
          <w:rFonts w:hint="eastAsia" w:ascii="宋体" w:hAnsi="宋体" w:eastAsia="宋体" w:cs="宋体"/>
          <w:color w:val="000000" w:themeColor="text1"/>
          <w:spacing w:val="-7"/>
          <w:sz w:val="24"/>
          <w:szCs w:val="24"/>
          <w:highlight w:val="none"/>
          <w:lang w:eastAsia="zh-CN"/>
          <w14:textFill>
            <w14:solidFill>
              <w14:schemeClr w14:val="tx1"/>
            </w14:solidFill>
          </w14:textFill>
        </w:rPr>
      </w:pPr>
      <w:r>
        <w:rPr>
          <w:rFonts w:hint="eastAsia" w:ascii="宋体" w:hAnsi="宋体" w:eastAsia="宋体" w:cs="宋体"/>
          <w:color w:val="000000" w:themeColor="text1"/>
          <w:spacing w:val="-7"/>
          <w:sz w:val="24"/>
          <w:szCs w:val="24"/>
          <w:highlight w:val="none"/>
          <w:lang w:eastAsia="zh-CN"/>
          <w14:textFill>
            <w14:solidFill>
              <w14:schemeClr w14:val="tx1"/>
            </w14:solidFill>
          </w14:textFill>
        </w:rPr>
        <w:t>时间：202</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年</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09</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 xml:space="preserve">月 </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08 </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日至</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 xml:space="preserve"> 202</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6 </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 xml:space="preserve">年 </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09</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月</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 10</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 xml:space="preserve"> 日，每天上午 0</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 xml:space="preserve">0:00 至 12:00:00， 下午 12:00:00 至 </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18</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00</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:00（北京时间</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w:t>
      </w:r>
    </w:p>
    <w:p w14:paraId="6D4A5B40">
      <w:pPr>
        <w:spacing w:line="219" w:lineRule="auto"/>
        <w:ind w:left="480"/>
        <w:rPr>
          <w:rFonts w:ascii="宋体" w:hAnsi="宋体" w:eastAsia="宋体" w:cs="宋体"/>
          <w:color w:val="auto"/>
          <w:sz w:val="24"/>
          <w:szCs w:val="24"/>
        </w:rPr>
      </w:pPr>
      <w:r>
        <w:rPr>
          <w:rFonts w:ascii="宋体" w:hAnsi="宋体" w:eastAsia="宋体" w:cs="宋体"/>
          <w:color w:val="auto"/>
          <w:spacing w:val="2"/>
          <w:sz w:val="24"/>
          <w:szCs w:val="24"/>
        </w:rPr>
        <w:t>途径：</w:t>
      </w:r>
      <w:r>
        <w:rPr>
          <w:rFonts w:hint="eastAsia" w:ascii="宋体" w:hAnsi="宋体" w:eastAsia="宋体" w:cs="宋体"/>
          <w:color w:val="auto"/>
          <w:spacing w:val="-7"/>
          <w:sz w:val="24"/>
          <w:szCs w:val="24"/>
          <w:lang w:eastAsia="zh-CN"/>
        </w:rPr>
        <w:t>陕西省公共资源交易平台CA锁自行下载</w:t>
      </w:r>
    </w:p>
    <w:p w14:paraId="748F76F2">
      <w:pPr>
        <w:spacing w:before="184" w:line="219" w:lineRule="auto"/>
        <w:ind w:left="481"/>
        <w:rPr>
          <w:rFonts w:ascii="宋体" w:hAnsi="宋体" w:eastAsia="宋体" w:cs="宋体"/>
          <w:color w:val="auto"/>
          <w:sz w:val="24"/>
          <w:szCs w:val="24"/>
        </w:rPr>
      </w:pPr>
      <w:r>
        <w:rPr>
          <w:rFonts w:ascii="宋体" w:hAnsi="宋体" w:eastAsia="宋体" w:cs="宋体"/>
          <w:color w:val="auto"/>
          <w:spacing w:val="-2"/>
          <w:sz w:val="24"/>
          <w:szCs w:val="24"/>
        </w:rPr>
        <w:t>方式：</w:t>
      </w:r>
      <w:r>
        <w:rPr>
          <w:rFonts w:hint="eastAsia" w:ascii="宋体" w:hAnsi="宋体" w:eastAsia="宋体" w:cs="宋体"/>
          <w:color w:val="auto"/>
          <w:spacing w:val="-2"/>
          <w:sz w:val="24"/>
          <w:szCs w:val="24"/>
          <w:lang w:val="en-US" w:eastAsia="zh-CN"/>
        </w:rPr>
        <w:t>在线</w:t>
      </w:r>
      <w:r>
        <w:rPr>
          <w:rFonts w:ascii="宋体" w:hAnsi="宋体" w:eastAsia="宋体" w:cs="宋体"/>
          <w:color w:val="auto"/>
          <w:spacing w:val="-2"/>
          <w:sz w:val="24"/>
          <w:szCs w:val="24"/>
        </w:rPr>
        <w:t>获取</w:t>
      </w:r>
    </w:p>
    <w:p w14:paraId="574D0E72">
      <w:pPr>
        <w:spacing w:before="182" w:line="218" w:lineRule="auto"/>
        <w:ind w:left="480"/>
        <w:rPr>
          <w:rFonts w:ascii="宋体" w:hAnsi="宋体" w:eastAsia="宋体" w:cs="宋体"/>
          <w:color w:val="auto"/>
          <w:sz w:val="24"/>
          <w:szCs w:val="24"/>
        </w:rPr>
      </w:pPr>
      <w:r>
        <w:rPr>
          <w:rFonts w:ascii="宋体" w:hAnsi="宋体" w:eastAsia="宋体" w:cs="宋体"/>
          <w:color w:val="auto"/>
          <w:spacing w:val="-5"/>
          <w:sz w:val="24"/>
          <w:szCs w:val="24"/>
        </w:rPr>
        <w:t>售价：</w:t>
      </w:r>
      <w:r>
        <w:rPr>
          <w:rFonts w:ascii="宋体" w:hAnsi="宋体" w:eastAsia="宋体" w:cs="宋体"/>
          <w:color w:val="auto"/>
          <w:spacing w:val="14"/>
          <w:sz w:val="24"/>
          <w:szCs w:val="24"/>
        </w:rPr>
        <w:t xml:space="preserve"> </w:t>
      </w:r>
      <w:r>
        <w:rPr>
          <w:rFonts w:ascii="宋体" w:hAnsi="宋体" w:eastAsia="宋体" w:cs="宋体"/>
          <w:color w:val="auto"/>
          <w:spacing w:val="-5"/>
          <w:sz w:val="24"/>
          <w:szCs w:val="24"/>
        </w:rPr>
        <w:t>0</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元</w:t>
      </w:r>
    </w:p>
    <w:p w14:paraId="4AFB19C3">
      <w:pPr>
        <w:spacing w:before="186" w:line="219" w:lineRule="auto"/>
        <w:ind w:left="23"/>
        <w:rPr>
          <w:rFonts w:ascii="宋体" w:hAnsi="宋体" w:eastAsia="宋体" w:cs="宋体"/>
          <w:color w:val="auto"/>
          <w:sz w:val="24"/>
          <w:szCs w:val="24"/>
        </w:rPr>
      </w:pPr>
      <w:r>
        <w:rPr>
          <w:rFonts w:ascii="宋体" w:hAnsi="宋体" w:eastAsia="宋体" w:cs="宋体"/>
          <w:b/>
          <w:bCs/>
          <w:color w:val="auto"/>
          <w:spacing w:val="-6"/>
          <w:sz w:val="24"/>
          <w:szCs w:val="24"/>
        </w:rPr>
        <w:t>四、响应文件提交</w:t>
      </w:r>
    </w:p>
    <w:p w14:paraId="7DEAC557">
      <w:pPr>
        <w:spacing w:line="219" w:lineRule="auto"/>
        <w:ind w:left="480"/>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 xml:space="preserve">截止时间：2026 年 </w:t>
      </w:r>
      <w:r>
        <w:rPr>
          <w:rFonts w:hint="eastAsia" w:ascii="宋体" w:hAnsi="宋体" w:eastAsia="宋体" w:cs="宋体"/>
          <w:color w:val="auto"/>
          <w:spacing w:val="-7"/>
          <w:sz w:val="24"/>
          <w:szCs w:val="24"/>
          <w:lang w:val="en-US" w:eastAsia="zh-CN"/>
        </w:rPr>
        <w:t>09</w:t>
      </w:r>
      <w:r>
        <w:rPr>
          <w:rFonts w:hint="eastAsia" w:ascii="宋体" w:hAnsi="宋体" w:eastAsia="宋体" w:cs="宋体"/>
          <w:color w:val="auto"/>
          <w:spacing w:val="-7"/>
          <w:sz w:val="24"/>
          <w:szCs w:val="24"/>
          <w:lang w:eastAsia="zh-CN"/>
        </w:rPr>
        <w:t xml:space="preserve">月 </w:t>
      </w:r>
      <w:r>
        <w:rPr>
          <w:rFonts w:hint="eastAsia" w:ascii="宋体" w:hAnsi="宋体" w:eastAsia="宋体" w:cs="宋体"/>
          <w:color w:val="auto"/>
          <w:spacing w:val="-7"/>
          <w:sz w:val="24"/>
          <w:szCs w:val="24"/>
          <w:lang w:val="en-US" w:eastAsia="zh-CN"/>
        </w:rPr>
        <w:t>11</w:t>
      </w:r>
      <w:r>
        <w:rPr>
          <w:rFonts w:hint="eastAsia" w:ascii="宋体" w:hAnsi="宋体" w:eastAsia="宋体" w:cs="宋体"/>
          <w:color w:val="auto"/>
          <w:spacing w:val="-7"/>
          <w:sz w:val="24"/>
          <w:szCs w:val="24"/>
          <w:lang w:eastAsia="zh-CN"/>
        </w:rPr>
        <w:t xml:space="preserve"> 日</w:t>
      </w:r>
      <w:r>
        <w:rPr>
          <w:rFonts w:hint="eastAsia" w:ascii="宋体" w:hAnsi="宋体" w:eastAsia="宋体" w:cs="宋体"/>
          <w:color w:val="auto"/>
          <w:spacing w:val="-7"/>
          <w:sz w:val="24"/>
          <w:szCs w:val="24"/>
          <w:lang w:val="en-US" w:eastAsia="zh-CN"/>
        </w:rPr>
        <w:t xml:space="preserve">13 </w:t>
      </w:r>
      <w:r>
        <w:rPr>
          <w:rFonts w:hint="eastAsia" w:ascii="宋体" w:hAnsi="宋体" w:eastAsia="宋体" w:cs="宋体"/>
          <w:color w:val="auto"/>
          <w:spacing w:val="-7"/>
          <w:sz w:val="24"/>
          <w:szCs w:val="24"/>
          <w:lang w:eastAsia="zh-CN"/>
        </w:rPr>
        <w:t>时 30 分00 秒 （北京时间）</w:t>
      </w:r>
    </w:p>
    <w:p w14:paraId="64279C5A">
      <w:pPr>
        <w:spacing w:before="183" w:line="219" w:lineRule="auto"/>
        <w:ind w:left="480"/>
        <w:rPr>
          <w:rFonts w:hint="default" w:ascii="宋体" w:hAnsi="宋体" w:eastAsia="宋体" w:cs="宋体"/>
          <w:color w:val="auto"/>
          <w:sz w:val="24"/>
          <w:szCs w:val="24"/>
          <w:lang w:val="en-US" w:eastAsia="zh-CN"/>
        </w:rPr>
      </w:pPr>
      <w:r>
        <w:rPr>
          <w:rFonts w:ascii="宋体" w:hAnsi="宋体" w:eastAsia="宋体" w:cs="宋体"/>
          <w:color w:val="auto"/>
          <w:sz w:val="24"/>
          <w:szCs w:val="24"/>
        </w:rPr>
        <w:t>地点：</w:t>
      </w:r>
      <w:r>
        <w:rPr>
          <w:rFonts w:hint="eastAsia" w:ascii="宋体" w:hAnsi="宋体" w:eastAsia="宋体" w:cs="宋体"/>
          <w:color w:val="auto"/>
          <w:sz w:val="24"/>
          <w:szCs w:val="24"/>
          <w:lang w:val="en-US" w:eastAsia="zh-CN"/>
        </w:rPr>
        <w:t>线上递交</w:t>
      </w:r>
    </w:p>
    <w:p w14:paraId="09D42B02">
      <w:pPr>
        <w:spacing w:before="183" w:line="221" w:lineRule="auto"/>
        <w:ind w:left="4"/>
        <w:rPr>
          <w:rFonts w:ascii="宋体" w:hAnsi="宋体" w:eastAsia="宋体" w:cs="宋体"/>
          <w:color w:val="auto"/>
          <w:sz w:val="24"/>
          <w:szCs w:val="24"/>
        </w:rPr>
      </w:pPr>
      <w:r>
        <w:rPr>
          <w:rFonts w:ascii="宋体" w:hAnsi="宋体" w:eastAsia="宋体" w:cs="宋体"/>
          <w:b/>
          <w:bCs/>
          <w:color w:val="auto"/>
          <w:spacing w:val="-6"/>
          <w:sz w:val="24"/>
          <w:szCs w:val="24"/>
        </w:rPr>
        <w:t>五、开启</w:t>
      </w:r>
    </w:p>
    <w:p w14:paraId="5A44D3A7">
      <w:pPr>
        <w:spacing w:before="184" w:line="360" w:lineRule="auto"/>
        <w:ind w:left="8" w:firstLine="483"/>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时间：2026 年 09 月 11 日 13 时 30 分 00 秒（北京时间）</w:t>
      </w:r>
    </w:p>
    <w:p w14:paraId="2116A72F">
      <w:pPr>
        <w:spacing w:before="182" w:line="218" w:lineRule="auto"/>
        <w:ind w:left="2" w:firstLine="452" w:firstLineChars="200"/>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地点：榆林市公共资源交易中心18楼开标室1804B</w:t>
      </w:r>
    </w:p>
    <w:p w14:paraId="56BF64E2">
      <w:pPr>
        <w:spacing w:before="182" w:line="218" w:lineRule="auto"/>
        <w:ind w:left="2"/>
        <w:rPr>
          <w:rFonts w:ascii="宋体" w:hAnsi="宋体" w:eastAsia="宋体" w:cs="宋体"/>
          <w:color w:val="auto"/>
          <w:sz w:val="24"/>
          <w:szCs w:val="24"/>
        </w:rPr>
      </w:pPr>
      <w:r>
        <w:rPr>
          <w:rFonts w:ascii="宋体" w:hAnsi="宋体" w:eastAsia="宋体" w:cs="宋体"/>
          <w:b/>
          <w:bCs/>
          <w:color w:val="auto"/>
          <w:spacing w:val="-4"/>
          <w:sz w:val="24"/>
          <w:szCs w:val="24"/>
        </w:rPr>
        <w:t>六、公告期限</w:t>
      </w:r>
    </w:p>
    <w:p w14:paraId="643B4D6C">
      <w:pPr>
        <w:spacing w:before="185" w:line="218" w:lineRule="auto"/>
        <w:ind w:left="520"/>
        <w:rPr>
          <w:rFonts w:ascii="宋体" w:hAnsi="宋体" w:eastAsia="宋体" w:cs="宋体"/>
          <w:color w:val="auto"/>
          <w:sz w:val="24"/>
          <w:szCs w:val="24"/>
        </w:rPr>
      </w:pPr>
      <w:r>
        <w:rPr>
          <w:rFonts w:ascii="宋体" w:hAnsi="宋体" w:eastAsia="宋体" w:cs="宋体"/>
          <w:color w:val="auto"/>
          <w:spacing w:val="-5"/>
          <w:sz w:val="24"/>
          <w:szCs w:val="24"/>
        </w:rPr>
        <w:t>自本公告发布之日起</w:t>
      </w:r>
      <w:r>
        <w:rPr>
          <w:rFonts w:ascii="宋体" w:hAnsi="宋体" w:eastAsia="宋体" w:cs="宋体"/>
          <w:color w:val="auto"/>
          <w:spacing w:val="-45"/>
          <w:sz w:val="24"/>
          <w:szCs w:val="24"/>
        </w:rPr>
        <w:t xml:space="preserve"> </w:t>
      </w:r>
      <w:r>
        <w:rPr>
          <w:rFonts w:ascii="宋体" w:hAnsi="宋体" w:eastAsia="宋体" w:cs="宋体"/>
          <w:color w:val="auto"/>
          <w:spacing w:val="-5"/>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5"/>
          <w:sz w:val="24"/>
          <w:szCs w:val="24"/>
        </w:rPr>
        <w:t>个工作日。</w:t>
      </w:r>
    </w:p>
    <w:p w14:paraId="0A6CF9B7">
      <w:pPr>
        <w:numPr>
          <w:ilvl w:val="0"/>
          <w:numId w:val="1"/>
        </w:numPr>
        <w:spacing w:before="185" w:line="220" w:lineRule="auto"/>
        <w:rPr>
          <w:rFonts w:ascii="宋体" w:hAnsi="宋体" w:eastAsia="宋体" w:cs="宋体"/>
          <w:b/>
          <w:bCs/>
          <w:spacing w:val="-3"/>
          <w:sz w:val="24"/>
          <w:szCs w:val="24"/>
        </w:rPr>
      </w:pPr>
      <w:r>
        <w:rPr>
          <w:rFonts w:ascii="宋体" w:hAnsi="宋体" w:eastAsia="宋体" w:cs="宋体"/>
          <w:b/>
          <w:bCs/>
          <w:spacing w:val="-3"/>
          <w:sz w:val="24"/>
          <w:szCs w:val="24"/>
        </w:rPr>
        <w:t>其他补充事宜</w:t>
      </w:r>
    </w:p>
    <w:p w14:paraId="40E46205">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1.以上为必备证明文件，不能全部提供的将拒绝其投标；电子投标文件附扫描件加电子签章(若有与法律规定不一致的，须按现行法律法规提供相应证书或材料)。</w:t>
      </w:r>
    </w:p>
    <w:p w14:paraId="216BA6ED">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2.</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可登录全国公共资源交易中心平台(陕西省) (http://www.sxggzyjy.cn/) ,选择“电子交易平台-陕西政府采购交易系统-陕西省公共资源交易平台-</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”进行登录，登录后选择“交易乙方”身份进入</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界面进行报名并免费下载招标文件。</w:t>
      </w:r>
    </w:p>
    <w:p w14:paraId="2DF31268">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3.本项目采用电子化招投标的方式，</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使用数字认证证书(CA锁)对投标文件进行签章、加密、递交及开标时解密等相关招投标事宜。</w:t>
      </w:r>
    </w:p>
    <w:p w14:paraId="1582422B">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4.电子投标文件制作软件技术支持热线：400-998-0000，CA锁购买：榆林市市民大厦四楼窗口,电话：0912-3515031。</w:t>
      </w:r>
    </w:p>
    <w:p w14:paraId="76175B30">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5.请各</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获取采购文件后，按照陕西省财政厅《关于政府采购投标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注册登记有关事项的通知》要求，通过陕西省政府采购(http://www.ccgp-shaanxi.gov.cn/) 注册登记加入陕西省政府采购投标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库。</w:t>
      </w:r>
    </w:p>
    <w:p w14:paraId="7D3B9A18">
      <w:pPr>
        <w:spacing w:before="184" w:line="289" w:lineRule="auto"/>
        <w:ind w:right="196"/>
        <w:rPr>
          <w:rFonts w:ascii="宋体" w:hAnsi="宋体" w:eastAsia="宋体" w:cs="宋体"/>
          <w:sz w:val="24"/>
          <w:szCs w:val="24"/>
        </w:rPr>
      </w:pPr>
      <w:r>
        <w:rPr>
          <w:rFonts w:ascii="宋体" w:hAnsi="宋体" w:eastAsia="宋体" w:cs="宋体"/>
          <w:b/>
          <w:bCs/>
          <w:spacing w:val="-3"/>
          <w:sz w:val="24"/>
          <w:szCs w:val="24"/>
        </w:rPr>
        <w:t>八、对本次采购提出询问，请按以下方式联系。</w:t>
      </w:r>
    </w:p>
    <w:p w14:paraId="7F49BFEF">
      <w:pPr>
        <w:spacing w:before="183" w:line="219" w:lineRule="auto"/>
        <w:ind w:left="18"/>
        <w:rPr>
          <w:rFonts w:ascii="宋体" w:hAnsi="宋体" w:eastAsia="宋体" w:cs="宋体"/>
          <w:sz w:val="24"/>
          <w:szCs w:val="24"/>
        </w:rPr>
      </w:pPr>
      <w:r>
        <w:rPr>
          <w:rFonts w:ascii="宋体" w:hAnsi="宋体" w:eastAsia="宋体" w:cs="宋体"/>
          <w:spacing w:val="-4"/>
          <w:sz w:val="24"/>
          <w:szCs w:val="24"/>
        </w:rPr>
        <w:t>1.采购人信息</w:t>
      </w:r>
    </w:p>
    <w:p w14:paraId="7BB556A8">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名称：绥德县城市管理执法局</w:t>
      </w:r>
    </w:p>
    <w:p w14:paraId="5BC338C2">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地址：绥德县杏树屹崂1号</w:t>
      </w:r>
    </w:p>
    <w:p w14:paraId="18A4F54D">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联系方式：13488083344</w:t>
      </w:r>
    </w:p>
    <w:p w14:paraId="39736140">
      <w:pPr>
        <w:spacing w:before="184" w:line="360" w:lineRule="auto"/>
        <w:ind w:right="605"/>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2.采购代理机构信息</w:t>
      </w:r>
    </w:p>
    <w:p w14:paraId="42557CE0">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名称：陕西盛誉恒正项目管理有限公司</w:t>
      </w:r>
    </w:p>
    <w:p w14:paraId="0FF8D42A">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地址：陕西省榆林市高新技术产业园区兴达路高新悦府13幢2单元2301室</w:t>
      </w:r>
    </w:p>
    <w:p w14:paraId="1C3541F5">
      <w:pPr>
        <w:spacing w:before="184" w:line="360" w:lineRule="auto"/>
        <w:ind w:left="144" w:right="605" w:firstLine="233"/>
        <w:rPr>
          <w:rFonts w:hint="default"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联系方式：18717696566</w:t>
      </w:r>
    </w:p>
    <w:p w14:paraId="51A647A5">
      <w:pPr>
        <w:spacing w:before="184" w:line="360" w:lineRule="auto"/>
        <w:ind w:right="605"/>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3.项目联系方式</w:t>
      </w:r>
    </w:p>
    <w:p w14:paraId="3938BD2F">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项目联系人：王浩南</w:t>
      </w:r>
    </w:p>
    <w:p w14:paraId="3CC0AD29">
      <w:pPr>
        <w:spacing w:before="184" w:line="360" w:lineRule="auto"/>
        <w:ind w:left="144" w:right="605" w:firstLine="233"/>
        <w:rPr>
          <w:rFonts w:hint="eastAsia" w:ascii="宋体" w:hAnsi="宋体" w:eastAsia="宋体" w:cs="宋体"/>
          <w:spacing w:val="10"/>
          <w:sz w:val="24"/>
          <w:szCs w:val="24"/>
          <w:lang w:val="en-US" w:eastAsia="zh-CN"/>
        </w:rPr>
        <w:sectPr>
          <w:footerReference r:id="rId7" w:type="default"/>
          <w:pgSz w:w="11906" w:h="16839"/>
          <w:pgMar w:top="1431" w:right="1365" w:bottom="1151" w:left="1189" w:header="0" w:footer="987" w:gutter="0"/>
          <w:pgNumType w:fmt="decimal"/>
          <w:cols w:space="720" w:num="1"/>
        </w:sectPr>
      </w:pPr>
      <w:r>
        <w:rPr>
          <w:rFonts w:hint="eastAsia" w:ascii="宋体" w:hAnsi="宋体" w:eastAsia="宋体" w:cs="宋体"/>
          <w:spacing w:val="10"/>
          <w:sz w:val="24"/>
          <w:szCs w:val="24"/>
          <w:lang w:val="en-US" w:eastAsia="zh-CN"/>
        </w:rPr>
        <w:t>电话：18717696566</w:t>
      </w:r>
    </w:p>
    <w:p w14:paraId="18052681">
      <w:pPr>
        <w:spacing w:before="119" w:line="219" w:lineRule="auto"/>
        <w:ind w:left="2099"/>
        <w:outlineLvl w:val="0"/>
        <w:rPr>
          <w:rFonts w:ascii="宋体" w:hAnsi="宋体" w:eastAsia="宋体" w:cs="宋体"/>
          <w:sz w:val="40"/>
          <w:szCs w:val="40"/>
        </w:rPr>
      </w:pPr>
      <w:r>
        <w:rPr>
          <w:rFonts w:ascii="宋体" w:hAnsi="宋体" w:eastAsia="宋体" w:cs="宋体"/>
          <w:b/>
          <w:bCs/>
          <w:spacing w:val="-4"/>
          <w:sz w:val="40"/>
          <w:szCs w:val="40"/>
        </w:rPr>
        <w:t>第二部分</w:t>
      </w:r>
      <w:r>
        <w:rPr>
          <w:rFonts w:ascii="宋体" w:hAnsi="宋体" w:eastAsia="宋体" w:cs="宋体"/>
          <w:spacing w:val="-4"/>
          <w:sz w:val="40"/>
          <w:szCs w:val="40"/>
        </w:rPr>
        <w:t xml:space="preserve">  </w:t>
      </w:r>
      <w:r>
        <w:rPr>
          <w:rFonts w:ascii="宋体" w:hAnsi="宋体" w:eastAsia="宋体" w:cs="宋体"/>
          <w:b/>
          <w:bCs/>
          <w:spacing w:val="-4"/>
          <w:sz w:val="40"/>
          <w:szCs w:val="40"/>
        </w:rPr>
        <w:t>供应商须知前附表</w:t>
      </w:r>
      <w:bookmarkEnd w:id="2"/>
      <w:bookmarkEnd w:id="3"/>
    </w:p>
    <w:p w14:paraId="08AECE4C">
      <w:pPr>
        <w:spacing w:line="91" w:lineRule="auto"/>
        <w:rPr>
          <w:rFonts w:ascii="Arial"/>
          <w:sz w:val="2"/>
        </w:rPr>
      </w:pPr>
    </w:p>
    <w:p w14:paraId="63AACE02">
      <w:pPr>
        <w:spacing w:line="91" w:lineRule="auto"/>
        <w:rPr>
          <w:rFonts w:ascii="Arial"/>
          <w:sz w:val="2"/>
        </w:rPr>
      </w:pPr>
    </w:p>
    <w:p w14:paraId="33A3EE06">
      <w:pPr>
        <w:spacing w:line="91" w:lineRule="auto"/>
        <w:rPr>
          <w:rFonts w:ascii="Arial"/>
          <w:sz w:val="2"/>
        </w:rPr>
      </w:pPr>
    </w:p>
    <w:p w14:paraId="1EE61DD9">
      <w:pPr>
        <w:spacing w:line="91" w:lineRule="auto"/>
        <w:rPr>
          <w:rFonts w:ascii="Arial"/>
          <w:sz w:val="2"/>
        </w:rPr>
      </w:pPr>
    </w:p>
    <w:p w14:paraId="288BCB30">
      <w:pPr>
        <w:spacing w:line="91" w:lineRule="auto"/>
        <w:rPr>
          <w:rFonts w:ascii="Arial"/>
          <w:sz w:val="2"/>
        </w:rPr>
      </w:pPr>
    </w:p>
    <w:p w14:paraId="6E60C2C9">
      <w:pPr>
        <w:spacing w:line="91" w:lineRule="auto"/>
        <w:rPr>
          <w:rFonts w:ascii="Arial"/>
          <w:sz w:val="2"/>
        </w:rPr>
      </w:pPr>
    </w:p>
    <w:tbl>
      <w:tblPr>
        <w:tblStyle w:val="16"/>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8406"/>
      </w:tblGrid>
      <w:tr w14:paraId="42B0D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954" w:type="dxa"/>
            <w:noWrap w:val="0"/>
            <w:vAlign w:val="center"/>
          </w:tcPr>
          <w:p w14:paraId="7FA426B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项号</w:t>
            </w:r>
          </w:p>
        </w:tc>
        <w:tc>
          <w:tcPr>
            <w:tcW w:w="8406" w:type="dxa"/>
            <w:noWrap w:val="0"/>
            <w:vAlign w:val="center"/>
          </w:tcPr>
          <w:p w14:paraId="773CC7E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编列内容</w:t>
            </w:r>
          </w:p>
        </w:tc>
      </w:tr>
      <w:tr w14:paraId="181D1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954" w:type="dxa"/>
            <w:noWrap w:val="0"/>
            <w:vAlign w:val="center"/>
          </w:tcPr>
          <w:p w14:paraId="3960DB79">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4337F055">
            <w:pPr>
              <w:keepNext w:val="0"/>
              <w:keepLines w:val="0"/>
              <w:pageBreakBefore w:val="0"/>
              <w:kinsoku/>
              <w:wordWrap/>
              <w:overflowPunct/>
              <w:topLinePunct w:val="0"/>
              <w:autoSpaceDE/>
              <w:autoSpaceDN/>
              <w:bidi w:val="0"/>
              <w:adjustRightInd/>
              <w:snapToGrid/>
              <w:spacing w:line="360" w:lineRule="auto"/>
              <w:ind w:leftChars="-9" w:hanging="19" w:hangingChars="8"/>
              <w:textAlignment w:val="auto"/>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color w:val="auto"/>
                <w:sz w:val="24"/>
              </w:rPr>
              <w:t>项目名称：</w:t>
            </w:r>
            <w:r>
              <w:rPr>
                <w:rFonts w:hint="eastAsia" w:ascii="宋体" w:hAnsi="宋体" w:eastAsia="宋体" w:cs="宋体"/>
                <w:snapToGrid w:val="0"/>
                <w:color w:val="000000"/>
                <w:kern w:val="0"/>
                <w:sz w:val="24"/>
                <w:szCs w:val="24"/>
                <w:lang w:val="en-US" w:eastAsia="zh-CN" w:bidi="ar"/>
              </w:rPr>
              <w:t>绥德县第二净水厂化验设备采购</w:t>
            </w:r>
          </w:p>
          <w:p w14:paraId="21BDE9B2">
            <w:pPr>
              <w:keepNext w:val="0"/>
              <w:keepLines w:val="0"/>
              <w:pageBreakBefore w:val="0"/>
              <w:kinsoku/>
              <w:wordWrap/>
              <w:overflowPunct/>
              <w:topLinePunct w:val="0"/>
              <w:autoSpaceDE/>
              <w:autoSpaceDN/>
              <w:bidi w:val="0"/>
              <w:adjustRightInd/>
              <w:snapToGrid/>
              <w:spacing w:line="360" w:lineRule="auto"/>
              <w:ind w:leftChars="-9" w:hanging="19" w:hangingChars="8"/>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项目编号：</w:t>
            </w:r>
            <w:r>
              <w:rPr>
                <w:rFonts w:hint="eastAsia" w:ascii="宋体" w:hAnsi="宋体" w:eastAsia="宋体" w:cs="宋体"/>
                <w:color w:val="auto"/>
                <w:sz w:val="24"/>
                <w:lang w:eastAsia="zh-CN"/>
              </w:rPr>
              <w:t>SYHZ-2026-07</w:t>
            </w:r>
          </w:p>
        </w:tc>
      </w:tr>
      <w:tr w14:paraId="2B8F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noWrap w:val="0"/>
            <w:vAlign w:val="center"/>
          </w:tcPr>
          <w:p w14:paraId="4D56D712">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05950247">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lang w:val="en-US" w:eastAsia="zh-CN"/>
              </w:rPr>
            </w:pPr>
            <w:r>
              <w:rPr>
                <w:rFonts w:hint="eastAsia" w:ascii="宋体" w:hAnsi="宋体" w:eastAsia="宋体" w:cs="宋体"/>
                <w:color w:val="auto"/>
                <w:sz w:val="24"/>
              </w:rPr>
              <w:t>项目性质：</w:t>
            </w:r>
            <w:r>
              <w:rPr>
                <w:rFonts w:hint="eastAsia" w:ascii="宋体" w:hAnsi="宋体" w:eastAsia="宋体" w:cs="宋体"/>
                <w:color w:val="auto"/>
                <w:sz w:val="24"/>
                <w:lang w:val="en-US" w:eastAsia="zh-CN"/>
              </w:rPr>
              <w:t>财政资金</w:t>
            </w:r>
          </w:p>
        </w:tc>
      </w:tr>
      <w:tr w14:paraId="47DF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954" w:type="dxa"/>
            <w:noWrap w:val="0"/>
            <w:vAlign w:val="center"/>
          </w:tcPr>
          <w:p w14:paraId="4B274E6F">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14937D4A">
            <w:pPr>
              <w:keepNext w:val="0"/>
              <w:keepLines w:val="0"/>
              <w:widowControl/>
              <w:suppressLineNumbers w:val="0"/>
              <w:jc w:val="left"/>
            </w:pPr>
            <w:r>
              <w:rPr>
                <w:rFonts w:hint="eastAsia" w:ascii="宋体" w:hAnsi="宋体" w:eastAsia="宋体" w:cs="宋体"/>
                <w:color w:val="auto"/>
                <w:sz w:val="24"/>
              </w:rPr>
              <w:t>采购人：</w:t>
            </w:r>
            <w:r>
              <w:rPr>
                <w:rFonts w:hint="eastAsia" w:ascii="宋体" w:hAnsi="宋体" w:eastAsia="宋体" w:cs="宋体"/>
                <w:snapToGrid w:val="0"/>
                <w:color w:val="000000"/>
                <w:kern w:val="0"/>
                <w:sz w:val="24"/>
                <w:szCs w:val="24"/>
                <w:lang w:val="en-US" w:eastAsia="zh-CN" w:bidi="ar"/>
              </w:rPr>
              <w:t>榆林市绥德县城市管理执法局</w:t>
            </w:r>
          </w:p>
          <w:p w14:paraId="6173C920">
            <w:pPr>
              <w:keepNext w:val="0"/>
              <w:keepLines w:val="0"/>
              <w:pageBreakBefore w:val="0"/>
              <w:kinsoku/>
              <w:wordWrap/>
              <w:overflowPunct/>
              <w:topLinePunct w:val="0"/>
              <w:autoSpaceDE/>
              <w:autoSpaceDN/>
              <w:bidi w:val="0"/>
              <w:adjustRightInd/>
              <w:snapToGrid/>
              <w:spacing w:line="360" w:lineRule="auto"/>
              <w:ind w:left="960" w:hanging="960" w:hangingChars="400"/>
              <w:textAlignment w:val="auto"/>
              <w:rPr>
                <w:rFonts w:hint="eastAsia" w:ascii="宋体" w:hAnsi="宋体" w:eastAsia="宋体" w:cs="宋体"/>
                <w:color w:val="auto"/>
                <w:sz w:val="24"/>
              </w:rPr>
            </w:pPr>
            <w:r>
              <w:rPr>
                <w:rFonts w:hint="eastAsia" w:ascii="宋体" w:hAnsi="宋体" w:eastAsia="宋体" w:cs="宋体"/>
                <w:color w:val="auto"/>
                <w:sz w:val="24"/>
              </w:rPr>
              <w:t>采购代理机构：</w:t>
            </w:r>
            <w:r>
              <w:rPr>
                <w:rFonts w:hint="eastAsia" w:ascii="宋体" w:hAnsi="宋体" w:eastAsia="宋体" w:cs="宋体"/>
                <w:color w:val="auto"/>
                <w:sz w:val="24"/>
                <w:lang w:eastAsia="zh-CN"/>
              </w:rPr>
              <w:t>陕西盛誉恒正项目管理有限公司</w:t>
            </w:r>
          </w:p>
        </w:tc>
      </w:tr>
      <w:tr w14:paraId="0FDE9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954" w:type="dxa"/>
            <w:noWrap w:val="0"/>
            <w:vAlign w:val="center"/>
          </w:tcPr>
          <w:p w14:paraId="4C9AEED3">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6029573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lang w:eastAsia="zh-CN"/>
              </w:rPr>
            </w:pPr>
            <w:r>
              <w:rPr>
                <w:rFonts w:hint="eastAsia" w:ascii="宋体" w:hAnsi="宋体" w:eastAsia="宋体" w:cs="宋体"/>
                <w:color w:val="auto"/>
                <w:sz w:val="24"/>
              </w:rPr>
              <w:t>采购内容具体见谈判文件第</w:t>
            </w:r>
            <w:r>
              <w:rPr>
                <w:rFonts w:hint="eastAsia" w:ascii="宋体" w:hAnsi="宋体" w:eastAsia="宋体" w:cs="宋体"/>
                <w:color w:val="auto"/>
                <w:sz w:val="24"/>
                <w:lang w:val="en-US" w:eastAsia="zh-CN"/>
              </w:rPr>
              <w:t>六部分</w:t>
            </w:r>
          </w:p>
          <w:p w14:paraId="1909401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本次采购、报价、谈判、评审和合同授予均以项目为单位，供应商必须就整个项目进行响应。</w:t>
            </w:r>
          </w:p>
        </w:tc>
      </w:tr>
      <w:tr w14:paraId="66E36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9" w:hRule="atLeast"/>
          <w:jc w:val="center"/>
        </w:trPr>
        <w:tc>
          <w:tcPr>
            <w:tcW w:w="954" w:type="dxa"/>
            <w:noWrap w:val="0"/>
            <w:vAlign w:val="center"/>
          </w:tcPr>
          <w:p w14:paraId="1BFFB5DC">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191C9C21">
            <w:pPr>
              <w:keepNext w:val="0"/>
              <w:keepLines w:val="0"/>
              <w:pageBreakBefore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0"/>
                <w:lang w:val="en-US" w:eastAsia="zh-CN" w:bidi="ar-SA"/>
              </w:rPr>
            </w:pPr>
            <w:r>
              <w:rPr>
                <w:rFonts w:hint="eastAsia" w:ascii="宋体" w:hAnsi="宋体" w:eastAsia="宋体" w:cs="宋体"/>
                <w:color w:val="auto"/>
                <w:kern w:val="2"/>
                <w:sz w:val="24"/>
                <w:szCs w:val="20"/>
                <w:lang w:val="en-US" w:eastAsia="zh-CN" w:bidi="ar-SA"/>
              </w:rPr>
              <w:t>谈判文件截止时间及谈判时间和地点：</w:t>
            </w:r>
          </w:p>
          <w:p w14:paraId="3EA33A59">
            <w:pPr>
              <w:keepNext w:val="0"/>
              <w:keepLines w:val="0"/>
              <w:pageBreakBefore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color w:val="auto"/>
                <w:kern w:val="2"/>
                <w:sz w:val="24"/>
                <w:szCs w:val="20"/>
                <w:lang w:val="en-US" w:eastAsia="zh-CN" w:bidi="ar-SA"/>
              </w:rPr>
              <w:t>谈判文件截止时间：</w:t>
            </w:r>
            <w:r>
              <w:rPr>
                <w:rFonts w:hint="eastAsia" w:ascii="宋体" w:hAnsi="宋体" w:eastAsia="宋体" w:cs="宋体"/>
                <w:i w:val="0"/>
                <w:iCs w:val="0"/>
                <w:caps w:val="0"/>
                <w:color w:val="auto"/>
                <w:spacing w:val="0"/>
                <w:kern w:val="0"/>
                <w:sz w:val="24"/>
                <w:szCs w:val="24"/>
                <w:shd w:val="clear" w:color="auto" w:fill="FFFFFF"/>
                <w:lang w:val="en-US" w:eastAsia="zh-CN" w:bidi="ar-SA"/>
              </w:rPr>
              <w:t>榆林市公共资源交易中心18楼开标室1804B</w:t>
            </w:r>
          </w:p>
          <w:p w14:paraId="3878EE12">
            <w:pPr>
              <w:keepNext w:val="0"/>
              <w:keepLines w:val="0"/>
              <w:pageBreakBefore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0"/>
                <w:lang w:val="en-US" w:eastAsia="zh-CN" w:bidi="ar-SA"/>
              </w:rPr>
            </w:pPr>
            <w:r>
              <w:rPr>
                <w:rFonts w:hint="eastAsia" w:ascii="宋体" w:hAnsi="宋体" w:eastAsia="宋体" w:cs="宋体"/>
                <w:color w:val="auto"/>
                <w:kern w:val="2"/>
                <w:sz w:val="24"/>
                <w:szCs w:val="20"/>
                <w:lang w:val="en-US" w:eastAsia="zh-CN" w:bidi="ar-SA"/>
              </w:rPr>
              <w:t>谈判时间：</w:t>
            </w:r>
            <w:r>
              <w:rPr>
                <w:rFonts w:hint="eastAsia" w:ascii="宋体" w:hAnsi="宋体" w:eastAsia="宋体" w:cs="宋体"/>
                <w:i w:val="0"/>
                <w:iCs w:val="0"/>
                <w:caps w:val="0"/>
                <w:color w:val="auto"/>
                <w:spacing w:val="0"/>
                <w:kern w:val="0"/>
                <w:sz w:val="24"/>
                <w:szCs w:val="24"/>
                <w:shd w:val="clear" w:color="auto" w:fill="FFFFFF"/>
                <w:lang w:val="en-US" w:eastAsia="zh-CN" w:bidi="ar-SA"/>
              </w:rPr>
              <w:t xml:space="preserve">2026年09月11日13时30分00秒 </w:t>
            </w:r>
          </w:p>
          <w:p w14:paraId="7ABB8FD9">
            <w:pPr>
              <w:keepNext w:val="0"/>
              <w:keepLines w:val="0"/>
              <w:pageBreakBefore w:val="0"/>
              <w:shd w:val="clear" w:color="auto" w:fill="auto"/>
              <w:kinsoku/>
              <w:wordWrap/>
              <w:overflowPunct/>
              <w:topLinePunct w:val="0"/>
              <w:autoSpaceDE/>
              <w:autoSpaceDN/>
              <w:bidi w:val="0"/>
              <w:adjustRightInd/>
              <w:snapToGrid/>
              <w:spacing w:line="360" w:lineRule="auto"/>
              <w:textAlignment w:val="auto"/>
              <w:rPr>
                <w:rFonts w:hint="default" w:ascii="宋体" w:hAnsi="宋体" w:eastAsia="宋体" w:cs="宋体"/>
                <w:color w:val="auto"/>
                <w:kern w:val="2"/>
                <w:sz w:val="24"/>
                <w:szCs w:val="20"/>
                <w:lang w:val="en-US" w:eastAsia="zh-CN" w:bidi="ar-SA"/>
              </w:rPr>
            </w:pPr>
            <w:r>
              <w:rPr>
                <w:rFonts w:hint="eastAsia" w:ascii="宋体" w:hAnsi="宋体" w:eastAsia="宋体" w:cs="宋体"/>
                <w:color w:val="auto"/>
                <w:kern w:val="2"/>
                <w:sz w:val="24"/>
                <w:szCs w:val="20"/>
                <w:lang w:val="en-US" w:eastAsia="zh-CN" w:bidi="ar-SA"/>
              </w:rPr>
              <w:t>谈判地点：</w:t>
            </w:r>
            <w:r>
              <w:rPr>
                <w:rFonts w:hint="eastAsia" w:ascii="宋体" w:hAnsi="宋体" w:eastAsia="宋体" w:cs="宋体"/>
                <w:color w:val="auto"/>
                <w:spacing w:val="-6"/>
                <w:sz w:val="24"/>
                <w:szCs w:val="24"/>
                <w:lang w:val="en-US" w:eastAsia="zh-CN"/>
              </w:rPr>
              <w:t>榆林市公共资源交易中心18楼开标室1804B</w:t>
            </w:r>
          </w:p>
        </w:tc>
      </w:tr>
      <w:tr w14:paraId="13BCB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noWrap w:val="0"/>
            <w:vAlign w:val="center"/>
          </w:tcPr>
          <w:p w14:paraId="06622B6E">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6AFDBC81">
            <w:pPr>
              <w:keepNext w:val="0"/>
              <w:keepLines w:val="0"/>
              <w:pageBreakBefore w:val="0"/>
              <w:shd w:val="clear" w:color="auto" w:fill="auto"/>
              <w:kinsoku/>
              <w:wordWrap/>
              <w:overflowPunct/>
              <w:topLinePunct w:val="0"/>
              <w:autoSpaceDE/>
              <w:autoSpaceDN/>
              <w:bidi w:val="0"/>
              <w:adjustRightInd/>
              <w:snapToGrid/>
              <w:spacing w:line="360" w:lineRule="auto"/>
              <w:textAlignment w:val="auto"/>
              <w:rPr>
                <w:rFonts w:hint="default"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供货期：15天</w:t>
            </w:r>
          </w:p>
        </w:tc>
      </w:tr>
      <w:tr w14:paraId="1D072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noWrap w:val="0"/>
            <w:vAlign w:val="center"/>
          </w:tcPr>
          <w:p w14:paraId="5CCD1441">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6F849DC3">
            <w:pPr>
              <w:keepNext w:val="0"/>
              <w:keepLines w:val="0"/>
              <w:pageBreakBefore w:val="0"/>
              <w:shd w:val="clear" w:color="auto" w:fill="auto"/>
              <w:kinsoku/>
              <w:wordWrap/>
              <w:overflowPunct/>
              <w:topLinePunct w:val="0"/>
              <w:autoSpaceDE/>
              <w:autoSpaceDN/>
              <w:bidi w:val="0"/>
              <w:adjustRightInd/>
              <w:snapToGrid/>
              <w:spacing w:line="360" w:lineRule="auto"/>
              <w:textAlignment w:val="auto"/>
              <w:rPr>
                <w:rFonts w:hint="default"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质保期：二年</w:t>
            </w:r>
          </w:p>
        </w:tc>
      </w:tr>
      <w:tr w14:paraId="0FD5B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noWrap w:val="0"/>
            <w:vAlign w:val="center"/>
          </w:tcPr>
          <w:p w14:paraId="773542E7">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0C44810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lang w:eastAsia="zh-CN"/>
              </w:rPr>
            </w:pPr>
            <w:r>
              <w:rPr>
                <w:rFonts w:hint="eastAsia" w:ascii="宋体" w:hAnsi="宋体" w:eastAsia="宋体" w:cs="宋体"/>
                <w:color w:val="auto"/>
                <w:sz w:val="24"/>
              </w:rPr>
              <w:t>项目实施地点：采购人指定地点</w:t>
            </w:r>
          </w:p>
        </w:tc>
      </w:tr>
      <w:tr w14:paraId="1B426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954" w:type="dxa"/>
            <w:noWrap w:val="0"/>
            <w:vAlign w:val="center"/>
          </w:tcPr>
          <w:p w14:paraId="1395204F">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73999D46">
            <w:pPr>
              <w:numPr>
                <w:ilvl w:val="0"/>
                <w:numId w:val="0"/>
              </w:numPr>
              <w:rPr>
                <w:rFonts w:hint="default" w:ascii="宋体" w:hAnsi="宋体" w:eastAsia="宋体" w:cs="宋体"/>
                <w:color w:val="auto"/>
                <w:sz w:val="24"/>
                <w:lang w:val="en-US" w:eastAsia="zh-CN"/>
              </w:rPr>
            </w:pPr>
            <w:r>
              <w:rPr>
                <w:rFonts w:hint="eastAsia" w:ascii="宋体" w:hAnsi="宋体" w:eastAsia="宋体" w:cs="宋体"/>
                <w:color w:val="auto"/>
                <w:sz w:val="24"/>
              </w:rPr>
              <w:t>付款方式：安装完成调试合格后一次性付清</w:t>
            </w:r>
          </w:p>
        </w:tc>
      </w:tr>
      <w:tr w14:paraId="0D27E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954" w:type="dxa"/>
            <w:noWrap w:val="0"/>
            <w:vAlign w:val="center"/>
          </w:tcPr>
          <w:p w14:paraId="78377FB2">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139BD1C0">
            <w:pPr>
              <w:keepNext w:val="0"/>
              <w:keepLines w:val="0"/>
              <w:suppressLineNumbers w:val="0"/>
              <w:tabs>
                <w:tab w:val="left" w:pos="610"/>
              </w:tabs>
              <w:spacing w:before="0" w:beforeAutospacing="0" w:after="0" w:afterAutospacing="0" w:line="360" w:lineRule="auto"/>
              <w:ind w:right="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投标保证金：</w:t>
            </w:r>
            <w:r>
              <w:rPr>
                <w:rFonts w:hint="eastAsia" w:ascii="宋体" w:hAnsi="宋体" w:eastAsia="宋体" w:cs="宋体"/>
                <w:color w:val="auto"/>
                <w:sz w:val="24"/>
                <w:szCs w:val="24"/>
              </w:rPr>
              <w:sym w:font="Wingdings" w:char="00FE"/>
            </w:r>
            <w:r>
              <w:rPr>
                <w:rFonts w:hint="eastAsia" w:ascii="宋体" w:hAnsi="宋体" w:eastAsia="宋体" w:cs="宋体"/>
                <w:color w:val="auto"/>
                <w:sz w:val="24"/>
                <w:szCs w:val="24"/>
              </w:rPr>
              <w:t>不要求  要求</w:t>
            </w:r>
          </w:p>
          <w:p w14:paraId="60F6A2F7">
            <w:pPr>
              <w:keepNext w:val="0"/>
              <w:keepLines w:val="0"/>
              <w:suppressLineNumbers w:val="0"/>
              <w:tabs>
                <w:tab w:val="left" w:pos="610"/>
              </w:tabs>
              <w:spacing w:before="0" w:beforeAutospacing="0" w:after="0" w:afterAutospacing="0" w:line="360" w:lineRule="auto"/>
              <w:ind w:right="0"/>
              <w:rPr>
                <w:rFonts w:hint="eastAsia" w:ascii="宋体" w:hAnsi="宋体" w:eastAsia="宋体" w:cs="宋体"/>
                <w:color w:val="auto"/>
                <w:sz w:val="24"/>
                <w:szCs w:val="24"/>
              </w:rPr>
            </w:pPr>
            <w:r>
              <w:rPr>
                <w:rFonts w:hint="eastAsia" w:ascii="宋体" w:hAnsi="宋体" w:eastAsia="宋体" w:cs="宋体"/>
                <w:color w:val="auto"/>
                <w:sz w:val="24"/>
                <w:szCs w:val="24"/>
              </w:rPr>
              <w:t>本项目以投标信用承诺书代替投标保证金</w:t>
            </w:r>
          </w:p>
          <w:p w14:paraId="6B628BF6">
            <w:pPr>
              <w:keepNext w:val="0"/>
              <w:keepLines w:val="0"/>
              <w:suppressLineNumbers w:val="0"/>
              <w:tabs>
                <w:tab w:val="left" w:pos="610"/>
              </w:tabs>
              <w:spacing w:before="0" w:beforeAutospacing="0" w:after="0" w:afterAutospacing="0" w:line="360" w:lineRule="auto"/>
              <w:ind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（根据“榆交易函【2021】19号”文件要求，投标信用(保证金）承诺书须由投标单位自行在“信用中国（陕西榆林）”网站注册并根据项目自行承诺。</w:t>
            </w:r>
          </w:p>
        </w:tc>
      </w:tr>
      <w:tr w14:paraId="599A7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jc w:val="center"/>
        </w:trPr>
        <w:tc>
          <w:tcPr>
            <w:tcW w:w="954" w:type="dxa"/>
            <w:noWrap w:val="0"/>
            <w:vAlign w:val="center"/>
          </w:tcPr>
          <w:p w14:paraId="717F0FD3">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3B4EA9D5">
            <w:pPr>
              <w:keepNext w:val="0"/>
              <w:keepLines w:val="0"/>
              <w:suppressLineNumbers w:val="0"/>
              <w:tabs>
                <w:tab w:val="left" w:pos="610"/>
              </w:tabs>
              <w:spacing w:before="0" w:beforeAutospacing="0" w:after="0" w:afterAutospacing="0" w:line="360" w:lineRule="auto"/>
              <w:ind w:right="0"/>
              <w:rPr>
                <w:rFonts w:hint="eastAsia" w:ascii="宋体" w:hAnsi="宋体" w:eastAsia="宋体" w:cs="宋体"/>
                <w:color w:val="auto"/>
                <w:sz w:val="24"/>
                <w:szCs w:val="24"/>
              </w:rPr>
            </w:pPr>
            <w:r>
              <w:rPr>
                <w:rFonts w:hint="eastAsia" w:ascii="宋体" w:hAnsi="宋体" w:eastAsia="宋体" w:cs="宋体"/>
                <w:color w:val="auto"/>
                <w:sz w:val="24"/>
                <w:szCs w:val="24"/>
              </w:rPr>
              <w:t>谈判有效期：谈判响应文件从开标之日起，谈判有效期为</w:t>
            </w:r>
            <w:r>
              <w:rPr>
                <w:rFonts w:hint="eastAsia" w:ascii="宋体" w:hAnsi="宋体" w:eastAsia="宋体" w:cs="宋体"/>
                <w:color w:val="auto"/>
                <w:sz w:val="24"/>
                <w:szCs w:val="24"/>
                <w:lang w:val="en-US" w:eastAsia="zh-CN"/>
              </w:rPr>
              <w:t>120</w:t>
            </w:r>
            <w:r>
              <w:rPr>
                <w:rFonts w:hint="eastAsia" w:ascii="宋体" w:hAnsi="宋体" w:eastAsia="宋体" w:cs="宋体"/>
                <w:color w:val="auto"/>
                <w:sz w:val="24"/>
                <w:szCs w:val="24"/>
              </w:rPr>
              <w:t>日历天。</w:t>
            </w:r>
          </w:p>
        </w:tc>
      </w:tr>
      <w:tr w14:paraId="0A6BE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noWrap w:val="0"/>
            <w:vAlign w:val="center"/>
          </w:tcPr>
          <w:p w14:paraId="04071E24">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7523ABBF">
            <w:pPr>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color w:val="auto"/>
                <w:sz w:val="24"/>
                <w:szCs w:val="24"/>
                <w:lang w:eastAsia="zh-CN"/>
              </w:rPr>
              <w:t>成交供应商</w:t>
            </w:r>
            <w:r>
              <w:rPr>
                <w:rFonts w:hint="eastAsia" w:ascii="宋体" w:hAnsi="宋体" w:eastAsia="宋体" w:cs="宋体"/>
                <w:b/>
                <w:bCs w:val="0"/>
                <w:color w:val="auto"/>
                <w:sz w:val="24"/>
                <w:szCs w:val="24"/>
                <w:lang w:val="en-US" w:eastAsia="zh-CN"/>
              </w:rPr>
              <w:t>在成交结果公示后将成交供应商的标书邮寄代理机构，备案用（邮寄地址：陕西省榆林市绿洲阳光小区1号楼1单元1901，联系人：王浩南 联系电话：18717696566</w:t>
            </w:r>
            <w:r>
              <w:rPr>
                <w:rFonts w:hint="eastAsia" w:ascii="宋体" w:hAnsi="宋体" w:eastAsia="宋体" w:cs="宋体"/>
                <w:b/>
                <w:bCs w:val="0"/>
                <w:color w:val="auto"/>
                <w:sz w:val="24"/>
                <w:szCs w:val="24"/>
                <w:lang w:eastAsia="zh-CN"/>
              </w:rPr>
              <w:t>）</w:t>
            </w:r>
            <w:r>
              <w:rPr>
                <w:rFonts w:hint="eastAsia" w:ascii="宋体" w:hAnsi="宋体" w:eastAsia="宋体" w:cs="宋体"/>
                <w:b/>
                <w:bCs w:val="0"/>
                <w:sz w:val="24"/>
                <w:szCs w:val="24"/>
                <w:lang w:val="en-US" w:eastAsia="zh-CN"/>
              </w:rPr>
              <w:t>。</w:t>
            </w:r>
          </w:p>
          <w:p w14:paraId="3C68F449">
            <w:pPr>
              <w:keepNext w:val="0"/>
              <w:keepLines w:val="0"/>
              <w:suppressLineNumbers w:val="0"/>
              <w:tabs>
                <w:tab w:val="left" w:pos="610"/>
              </w:tabs>
              <w:spacing w:before="0" w:beforeAutospacing="0" w:after="0" w:afterAutospacing="0" w:line="360" w:lineRule="auto"/>
              <w:ind w:right="0"/>
              <w:rPr>
                <w:rFonts w:hint="eastAsia" w:ascii="宋体" w:hAnsi="宋体" w:eastAsia="宋体" w:cs="宋体"/>
                <w:color w:val="auto"/>
                <w:sz w:val="24"/>
              </w:rPr>
            </w:pPr>
            <w:r>
              <w:rPr>
                <w:rFonts w:hint="eastAsia" w:ascii="宋体" w:hAnsi="宋体" w:eastAsia="宋体" w:cs="宋体"/>
                <w:color w:val="auto"/>
                <w:sz w:val="24"/>
                <w:szCs w:val="24"/>
              </w:rPr>
              <w:t>正本份数：壹份；副本份数：</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份。同时提供与正本内容一致的电子版（U盘，签章后PDF版本）并在盘面标注供应商全称、项目名称、标项编号、项目编号。投标文件装订要求：胶装</w:t>
            </w:r>
          </w:p>
        </w:tc>
      </w:tr>
      <w:tr w14:paraId="4A7B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noWrap w:val="0"/>
            <w:vAlign w:val="center"/>
          </w:tcPr>
          <w:p w14:paraId="062795EE">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159ECCE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踏勘现场：</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可根据</w:t>
            </w:r>
            <w:r>
              <w:rPr>
                <w:rFonts w:hint="eastAsia" w:ascii="宋体" w:hAnsi="宋体" w:eastAsia="宋体" w:cs="宋体"/>
                <w:color w:val="000000"/>
                <w:sz w:val="24"/>
                <w:szCs w:val="24"/>
                <w:lang w:eastAsia="zh-CN"/>
              </w:rPr>
              <w:t>竞争性谈判文件</w:t>
            </w:r>
            <w:r>
              <w:rPr>
                <w:rFonts w:hint="eastAsia" w:ascii="宋体" w:hAnsi="宋体" w:eastAsia="宋体" w:cs="宋体"/>
                <w:color w:val="000000"/>
                <w:sz w:val="24"/>
                <w:szCs w:val="24"/>
              </w:rPr>
              <w:t>的招标内容自行踏勘现场，由此引发的费用</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自行承担，</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不组织</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踏勘现场</w:t>
            </w:r>
            <w:r>
              <w:rPr>
                <w:rFonts w:hint="eastAsia" w:ascii="宋体" w:hAnsi="宋体" w:eastAsia="宋体" w:cs="宋体"/>
                <w:sz w:val="24"/>
                <w:szCs w:val="24"/>
              </w:rPr>
              <w:t>。</w:t>
            </w:r>
          </w:p>
        </w:tc>
      </w:tr>
      <w:tr w14:paraId="57EFC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954" w:type="dxa"/>
            <w:noWrap w:val="0"/>
            <w:vAlign w:val="center"/>
          </w:tcPr>
          <w:p w14:paraId="4B5BA02B">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4B9BE6A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供应商</w:t>
            </w:r>
            <w:r>
              <w:rPr>
                <w:rFonts w:hint="eastAsia" w:ascii="宋体" w:hAnsi="宋体" w:eastAsia="宋体" w:cs="宋体"/>
                <w:color w:val="auto"/>
                <w:sz w:val="24"/>
                <w:lang w:eastAsia="zh-CN"/>
              </w:rPr>
              <w:t>特定资格要求：</w:t>
            </w:r>
          </w:p>
          <w:p w14:paraId="17F020E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（1）供应商为具有独立承担民事责任能力的法人、事业法人、 其他组织或自然人。企业法人应提供合法有效的标识有统一社会 信用代码的营业执照；事业法人应提供事业单位法人证书；其他组织应提供合法登记证明文件；自然人应提供身份证；</w:t>
            </w:r>
            <w:r>
              <w:rPr>
                <w:rFonts w:hint="eastAsia" w:ascii="宋体" w:hAnsi="宋体" w:eastAsia="宋体" w:cs="宋体"/>
                <w:color w:val="auto"/>
                <w:sz w:val="24"/>
                <w:lang w:val="en-US" w:eastAsia="zh-CN"/>
              </w:rPr>
              <w:br w:type="textWrapping"/>
            </w:r>
            <w:r>
              <w:rPr>
                <w:rFonts w:hint="eastAsia" w:ascii="宋体" w:hAnsi="宋体" w:eastAsia="宋体" w:cs="宋体"/>
                <w:color w:val="auto"/>
                <w:sz w:val="24"/>
                <w:lang w:val="en-US" w:eastAsia="zh-CN"/>
              </w:rPr>
              <w:t>（2）参加政府采购活动前 3 年内经营活动中没有重大违法记录声明书；投标时限内“信用中国”(www.creditchina.gov.cn)网站生成的带水印信用报告，供应商不得为“信用中国 ”网站 （www.creditchina.gov.cn）中列入重大税收违法失信主体、政府采购严重违法失信行为记录名单 ，不得为中国政府采购网 （www.ccgp.gov.cn）政府采购严重违法失信行为记录名单中被财政部门禁止参加政府采购活动的供应商（提供查询结果网页截 图并加盖供应商公章）；同时提供榆林市政府采购货物类项目供应商信用承诺书。</w:t>
            </w:r>
            <w:r>
              <w:rPr>
                <w:rFonts w:hint="eastAsia" w:ascii="宋体" w:hAnsi="宋体" w:eastAsia="宋体" w:cs="宋体"/>
                <w:color w:val="auto"/>
                <w:sz w:val="24"/>
                <w:lang w:val="en-US" w:eastAsia="zh-CN"/>
              </w:rPr>
              <w:br w:type="textWrapping"/>
            </w:r>
            <w:r>
              <w:rPr>
                <w:rFonts w:hint="eastAsia" w:ascii="宋体" w:hAnsi="宋体" w:eastAsia="宋体" w:cs="宋体"/>
                <w:color w:val="auto"/>
                <w:sz w:val="24"/>
                <w:lang w:val="en-US" w:eastAsia="zh-CN"/>
              </w:rPr>
              <w:t>（3）财务状况报告：经会计事务所或审计机构出具的 2025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r>
              <w:rPr>
                <w:rFonts w:hint="eastAsia" w:ascii="宋体" w:hAnsi="宋体" w:eastAsia="宋体" w:cs="宋体"/>
                <w:color w:val="auto"/>
                <w:sz w:val="24"/>
                <w:lang w:val="en-US" w:eastAsia="zh-CN"/>
              </w:rPr>
              <w:br w:type="textWrapping"/>
            </w:r>
            <w:r>
              <w:rPr>
                <w:rFonts w:hint="eastAsia" w:ascii="宋体" w:hAnsi="宋体" w:eastAsia="宋体" w:cs="宋体"/>
                <w:color w:val="auto"/>
                <w:sz w:val="24"/>
                <w:lang w:val="en-US" w:eastAsia="zh-CN"/>
              </w:rPr>
              <w:t>（4）税收缴纳证明：提供 2025 年 1 月 至投标截止时间止任意一个月完税证明，完税证明上应有税务机关的公章（加盖公章复印件）；依法免税的供应商应提供相关文件证明；</w:t>
            </w:r>
            <w:r>
              <w:rPr>
                <w:rFonts w:hint="eastAsia" w:ascii="宋体" w:hAnsi="宋体" w:eastAsia="宋体" w:cs="宋体"/>
                <w:color w:val="auto"/>
                <w:sz w:val="24"/>
                <w:lang w:val="en-US" w:eastAsia="zh-CN"/>
              </w:rPr>
              <w:br w:type="textWrapping"/>
            </w:r>
            <w:r>
              <w:rPr>
                <w:rFonts w:hint="eastAsia" w:ascii="宋体" w:hAnsi="宋体" w:eastAsia="宋体" w:cs="宋体"/>
                <w:color w:val="auto"/>
                <w:sz w:val="24"/>
                <w:lang w:val="en-US" w:eastAsia="zh-CN"/>
              </w:rPr>
              <w:t>（5）社会保障资金缴纳证明：提供 2025 年1 月至投标截止时间止任意一个月的社会保障资金缴存单据或社保机构开具的社会保险参保缴费情况证明；依法不需要缴纳社会保障资金的应提供相关文件证明；</w:t>
            </w:r>
            <w:r>
              <w:rPr>
                <w:rFonts w:hint="eastAsia" w:ascii="宋体" w:hAnsi="宋体" w:eastAsia="宋体" w:cs="宋体"/>
                <w:color w:val="auto"/>
                <w:sz w:val="24"/>
                <w:lang w:val="en-US" w:eastAsia="zh-CN"/>
              </w:rPr>
              <w:br w:type="textWrapping"/>
            </w:r>
            <w:r>
              <w:rPr>
                <w:rFonts w:hint="eastAsia" w:ascii="宋体" w:hAnsi="宋体" w:eastAsia="宋体" w:cs="宋体"/>
                <w:color w:val="auto"/>
                <w:sz w:val="24"/>
                <w:lang w:val="en-US" w:eastAsia="zh-CN"/>
              </w:rPr>
              <w:t>（6）提供具有履行合同所必需的设备和专业技术能力的证明资料或承诺书；</w:t>
            </w:r>
            <w:r>
              <w:rPr>
                <w:rFonts w:hint="eastAsia" w:ascii="宋体" w:hAnsi="宋体" w:eastAsia="宋体" w:cs="宋体"/>
                <w:color w:val="auto"/>
                <w:sz w:val="24"/>
                <w:lang w:val="en-US" w:eastAsia="zh-CN"/>
              </w:rPr>
              <w:br w:type="textWrapping"/>
            </w:r>
            <w:r>
              <w:rPr>
                <w:rFonts w:hint="eastAsia" w:ascii="宋体" w:hAnsi="宋体" w:eastAsia="宋体" w:cs="宋体"/>
                <w:color w:val="auto"/>
                <w:sz w:val="24"/>
                <w:lang w:val="en-US" w:eastAsia="zh-CN"/>
              </w:rPr>
              <w:t>（7）本项目以“投标信用承诺书 ”代替投标保证金；</w:t>
            </w:r>
            <w:r>
              <w:rPr>
                <w:rFonts w:hint="eastAsia" w:ascii="宋体" w:hAnsi="宋体" w:eastAsia="宋体" w:cs="宋体"/>
                <w:color w:val="auto"/>
                <w:sz w:val="24"/>
                <w:lang w:val="en-US" w:eastAsia="zh-CN"/>
              </w:rPr>
              <w:br w:type="textWrapping"/>
            </w:r>
            <w:r>
              <w:rPr>
                <w:rFonts w:hint="eastAsia" w:ascii="宋体" w:hAnsi="宋体" w:eastAsia="宋体" w:cs="宋体"/>
                <w:color w:val="auto"/>
                <w:sz w:val="24"/>
                <w:lang w:val="en-US" w:eastAsia="zh-CN"/>
              </w:rPr>
              <w:t>（8）本项目不接受联合体投标，单位负责人为同一人或者存在直接控股、管理关系的不同供应商，不得参加同一合同项下的政府采购活动；</w:t>
            </w:r>
            <w:r>
              <w:rPr>
                <w:rFonts w:hint="eastAsia" w:ascii="宋体" w:hAnsi="宋体" w:eastAsia="宋体" w:cs="宋体"/>
                <w:color w:val="auto"/>
                <w:sz w:val="24"/>
                <w:lang w:val="en-US" w:eastAsia="zh-CN"/>
              </w:rPr>
              <w:br w:type="textWrapping"/>
            </w:r>
            <w:r>
              <w:rPr>
                <w:rFonts w:hint="eastAsia" w:ascii="宋体" w:hAnsi="宋体" w:eastAsia="宋体" w:cs="宋体"/>
                <w:color w:val="auto"/>
                <w:sz w:val="24"/>
                <w:lang w:val="en-US" w:eastAsia="zh-CN"/>
              </w:rPr>
              <w:t>（9）本项目专门面向中小企业采购，供应商须提供货物类中小企业声明函。</w:t>
            </w:r>
          </w:p>
        </w:tc>
      </w:tr>
      <w:tr w14:paraId="22685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noWrap w:val="0"/>
            <w:vAlign w:val="center"/>
          </w:tcPr>
          <w:p w14:paraId="05ACA514">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406671E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合同签订：成交供应商和采购人签订合同。</w:t>
            </w:r>
          </w:p>
        </w:tc>
      </w:tr>
      <w:tr w14:paraId="7F10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noWrap w:val="0"/>
            <w:vAlign w:val="center"/>
          </w:tcPr>
          <w:p w14:paraId="62BC2B6F">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6C2103C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rPr>
            </w:pPr>
            <w:r>
              <w:rPr>
                <w:rFonts w:hint="eastAsia" w:ascii="宋体" w:hAnsi="宋体" w:eastAsia="宋体" w:cs="宋体"/>
                <w:b/>
                <w:bCs/>
                <w:color w:val="auto"/>
                <w:sz w:val="24"/>
                <w:szCs w:val="24"/>
              </w:rPr>
              <w:t>评审方法：最低评标价法 （详见附件第</w:t>
            </w:r>
            <w:r>
              <w:rPr>
                <w:rFonts w:hint="eastAsia" w:ascii="宋体" w:hAnsi="宋体" w:eastAsia="宋体" w:cs="宋体"/>
                <w:b/>
                <w:bCs/>
                <w:color w:val="auto"/>
                <w:sz w:val="24"/>
                <w:szCs w:val="24"/>
                <w:lang w:val="en-US" w:eastAsia="zh-CN"/>
              </w:rPr>
              <w:t>七部分</w:t>
            </w:r>
            <w:r>
              <w:rPr>
                <w:rFonts w:hint="eastAsia" w:ascii="宋体" w:hAnsi="宋体" w:eastAsia="宋体" w:cs="宋体"/>
                <w:b/>
                <w:bCs/>
                <w:color w:val="auto"/>
                <w:sz w:val="24"/>
                <w:szCs w:val="24"/>
              </w:rPr>
              <w:t>）</w:t>
            </w:r>
          </w:p>
        </w:tc>
      </w:tr>
      <w:tr w14:paraId="700B4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3" w:hRule="atLeast"/>
          <w:jc w:val="center"/>
        </w:trPr>
        <w:tc>
          <w:tcPr>
            <w:tcW w:w="954" w:type="dxa"/>
            <w:noWrap w:val="0"/>
            <w:vAlign w:val="center"/>
          </w:tcPr>
          <w:p w14:paraId="51AC09B3">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0B949AF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成交代理服务费： </w:t>
            </w:r>
          </w:p>
          <w:p w14:paraId="1896C2E2">
            <w:p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参照国家收费标准（国家计委计价格[2002]1980号）服务类收取。</w:t>
            </w:r>
          </w:p>
          <w:p w14:paraId="32C22C2C">
            <w:pPr>
              <w:spacing w:line="360" w:lineRule="auto"/>
              <w:jc w:val="left"/>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招标代理服务收费标准(费率)</w:t>
            </w:r>
          </w:p>
          <w:tbl>
            <w:tblPr>
              <w:tblStyle w:val="16"/>
              <w:tblW w:w="8078"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221"/>
              <w:gridCol w:w="2174"/>
              <w:gridCol w:w="1847"/>
              <w:gridCol w:w="1836"/>
            </w:tblGrid>
            <w:tr w14:paraId="0F3E4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6" w:hRule="atLeast"/>
                <w:tblCellSpacing w:w="0" w:type="dxa"/>
                <w:jc w:val="center"/>
              </w:trPr>
              <w:tc>
                <w:tcPr>
                  <w:tcW w:w="2221" w:type="dxa"/>
                  <w:tcBorders>
                    <w:top w:val="single" w:color="auto" w:sz="4" w:space="0"/>
                    <w:left w:val="single" w:color="auto" w:sz="0" w:space="0"/>
                    <w:bottom w:val="single" w:color="auto" w:sz="4" w:space="0"/>
                    <w:right w:val="single" w:color="auto" w:sz="4" w:space="0"/>
                  </w:tcBorders>
                  <w:noWrap w:val="0"/>
                  <w:vAlign w:val="center"/>
                </w:tcPr>
                <w:p w14:paraId="3C13FDFA">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中标金额（万元）</w:t>
                  </w:r>
                </w:p>
              </w:tc>
              <w:tc>
                <w:tcPr>
                  <w:tcW w:w="2174" w:type="dxa"/>
                  <w:tcBorders>
                    <w:top w:val="single" w:color="auto" w:sz="4" w:space="0"/>
                    <w:left w:val="single" w:color="auto" w:sz="4" w:space="0"/>
                    <w:bottom w:val="single" w:color="auto" w:sz="4" w:space="0"/>
                    <w:right w:val="single" w:color="auto" w:sz="4" w:space="0"/>
                  </w:tcBorders>
                  <w:noWrap w:val="0"/>
                  <w:vAlign w:val="center"/>
                </w:tcPr>
                <w:p w14:paraId="39A59B52">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货物招标</w:t>
                  </w:r>
                </w:p>
              </w:tc>
              <w:tc>
                <w:tcPr>
                  <w:tcW w:w="1847" w:type="dxa"/>
                  <w:tcBorders>
                    <w:top w:val="single" w:color="auto" w:sz="4" w:space="0"/>
                    <w:left w:val="single" w:color="auto" w:sz="4" w:space="0"/>
                    <w:bottom w:val="single" w:color="auto" w:sz="4" w:space="0"/>
                    <w:right w:val="single" w:color="auto" w:sz="4" w:space="0"/>
                  </w:tcBorders>
                  <w:noWrap w:val="0"/>
                  <w:vAlign w:val="center"/>
                </w:tcPr>
                <w:p w14:paraId="1F53863B">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服务招标</w:t>
                  </w:r>
                </w:p>
              </w:tc>
              <w:tc>
                <w:tcPr>
                  <w:tcW w:w="1836" w:type="dxa"/>
                  <w:tcBorders>
                    <w:top w:val="single" w:color="auto" w:sz="4" w:space="0"/>
                    <w:left w:val="single" w:color="auto" w:sz="4" w:space="0"/>
                    <w:bottom w:val="single" w:color="auto" w:sz="4" w:space="0"/>
                    <w:right w:val="single" w:color="auto" w:sz="4" w:space="0"/>
                  </w:tcBorders>
                  <w:noWrap w:val="0"/>
                  <w:vAlign w:val="center"/>
                </w:tcPr>
                <w:p w14:paraId="2837A304">
                  <w:pPr>
                    <w:spacing w:line="240" w:lineRule="auto"/>
                    <w:jc w:val="center"/>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工程招标</w:t>
                  </w:r>
                </w:p>
              </w:tc>
            </w:tr>
            <w:tr w14:paraId="0B67D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6" w:hRule="atLeast"/>
                <w:tblCellSpacing w:w="0" w:type="dxa"/>
                <w:jc w:val="center"/>
              </w:trPr>
              <w:tc>
                <w:tcPr>
                  <w:tcW w:w="2221" w:type="dxa"/>
                  <w:tcBorders>
                    <w:top w:val="single" w:color="auto" w:sz="4" w:space="0"/>
                    <w:left w:val="single" w:color="auto" w:sz="4" w:space="0"/>
                    <w:bottom w:val="single" w:color="auto" w:sz="4" w:space="0"/>
                    <w:right w:val="single" w:color="auto" w:sz="4" w:space="0"/>
                  </w:tcBorders>
                  <w:noWrap w:val="0"/>
                  <w:vAlign w:val="center"/>
                </w:tcPr>
                <w:p w14:paraId="51DEC4BA">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100以下</w:t>
                  </w:r>
                </w:p>
              </w:tc>
              <w:tc>
                <w:tcPr>
                  <w:tcW w:w="2174" w:type="dxa"/>
                  <w:tcBorders>
                    <w:top w:val="single" w:color="auto" w:sz="4" w:space="0"/>
                    <w:left w:val="single" w:color="auto" w:sz="4" w:space="0"/>
                    <w:bottom w:val="single" w:color="auto" w:sz="4" w:space="0"/>
                    <w:right w:val="single" w:color="auto" w:sz="4" w:space="0"/>
                  </w:tcBorders>
                  <w:noWrap w:val="0"/>
                  <w:vAlign w:val="center"/>
                </w:tcPr>
                <w:p w14:paraId="57A34803">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1.5％</w:t>
                  </w:r>
                </w:p>
              </w:tc>
              <w:tc>
                <w:tcPr>
                  <w:tcW w:w="1847" w:type="dxa"/>
                  <w:tcBorders>
                    <w:top w:val="single" w:color="auto" w:sz="4" w:space="0"/>
                    <w:left w:val="single" w:color="auto" w:sz="4" w:space="0"/>
                    <w:bottom w:val="single" w:color="auto" w:sz="4" w:space="0"/>
                    <w:right w:val="single" w:color="auto" w:sz="4" w:space="0"/>
                  </w:tcBorders>
                  <w:noWrap w:val="0"/>
                  <w:vAlign w:val="center"/>
                </w:tcPr>
                <w:p w14:paraId="5FF68079">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1.5％</w:t>
                  </w:r>
                </w:p>
              </w:tc>
              <w:tc>
                <w:tcPr>
                  <w:tcW w:w="1836" w:type="dxa"/>
                  <w:tcBorders>
                    <w:top w:val="single" w:color="auto" w:sz="4" w:space="0"/>
                    <w:left w:val="single" w:color="auto" w:sz="4" w:space="0"/>
                    <w:bottom w:val="single" w:color="auto" w:sz="4" w:space="0"/>
                    <w:right w:val="single" w:color="auto" w:sz="4" w:space="0"/>
                  </w:tcBorders>
                  <w:noWrap w:val="0"/>
                  <w:vAlign w:val="center"/>
                </w:tcPr>
                <w:p w14:paraId="55CB7D98">
                  <w:pPr>
                    <w:spacing w:line="240" w:lineRule="auto"/>
                    <w:jc w:val="center"/>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1.0%</w:t>
                  </w:r>
                </w:p>
              </w:tc>
            </w:tr>
            <w:tr w14:paraId="54119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6" w:hRule="atLeast"/>
                <w:tblCellSpacing w:w="0" w:type="dxa"/>
                <w:jc w:val="center"/>
              </w:trPr>
              <w:tc>
                <w:tcPr>
                  <w:tcW w:w="2221" w:type="dxa"/>
                  <w:tcBorders>
                    <w:top w:val="single" w:color="auto" w:sz="4" w:space="0"/>
                    <w:left w:val="single" w:color="auto" w:sz="4" w:space="0"/>
                    <w:bottom w:val="single" w:color="auto" w:sz="4" w:space="0"/>
                    <w:right w:val="single" w:color="auto" w:sz="4" w:space="0"/>
                  </w:tcBorders>
                  <w:noWrap w:val="0"/>
                  <w:vAlign w:val="center"/>
                </w:tcPr>
                <w:p w14:paraId="74985232">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100—500</w:t>
                  </w:r>
                </w:p>
              </w:tc>
              <w:tc>
                <w:tcPr>
                  <w:tcW w:w="2174" w:type="dxa"/>
                  <w:tcBorders>
                    <w:top w:val="single" w:color="auto" w:sz="4" w:space="0"/>
                    <w:left w:val="single" w:color="auto" w:sz="4" w:space="0"/>
                    <w:bottom w:val="single" w:color="auto" w:sz="4" w:space="0"/>
                    <w:right w:val="single" w:color="auto" w:sz="4" w:space="0"/>
                  </w:tcBorders>
                  <w:noWrap w:val="0"/>
                  <w:vAlign w:val="center"/>
                </w:tcPr>
                <w:p w14:paraId="1986E530">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1.1％</w:t>
                  </w:r>
                </w:p>
              </w:tc>
              <w:tc>
                <w:tcPr>
                  <w:tcW w:w="1847" w:type="dxa"/>
                  <w:tcBorders>
                    <w:top w:val="single" w:color="auto" w:sz="4" w:space="0"/>
                    <w:left w:val="single" w:color="auto" w:sz="4" w:space="0"/>
                    <w:bottom w:val="single" w:color="auto" w:sz="4" w:space="0"/>
                    <w:right w:val="single" w:color="auto" w:sz="4" w:space="0"/>
                  </w:tcBorders>
                  <w:noWrap w:val="0"/>
                  <w:vAlign w:val="center"/>
                </w:tcPr>
                <w:p w14:paraId="0F4DFA04">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0.8％</w:t>
                  </w:r>
                </w:p>
              </w:tc>
              <w:tc>
                <w:tcPr>
                  <w:tcW w:w="1836" w:type="dxa"/>
                  <w:tcBorders>
                    <w:top w:val="single" w:color="auto" w:sz="4" w:space="0"/>
                    <w:left w:val="single" w:color="auto" w:sz="4" w:space="0"/>
                    <w:bottom w:val="single" w:color="auto" w:sz="4" w:space="0"/>
                    <w:right w:val="single" w:color="auto" w:sz="4" w:space="0"/>
                  </w:tcBorders>
                  <w:noWrap w:val="0"/>
                  <w:vAlign w:val="center"/>
                </w:tcPr>
                <w:p w14:paraId="1B2965C5">
                  <w:pPr>
                    <w:spacing w:line="240" w:lineRule="auto"/>
                    <w:jc w:val="center"/>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0.7%</w:t>
                  </w:r>
                </w:p>
              </w:tc>
            </w:tr>
            <w:tr w14:paraId="09806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6" w:hRule="atLeast"/>
                <w:tblCellSpacing w:w="0" w:type="dxa"/>
                <w:jc w:val="center"/>
              </w:trPr>
              <w:tc>
                <w:tcPr>
                  <w:tcW w:w="2221" w:type="dxa"/>
                  <w:tcBorders>
                    <w:top w:val="single" w:color="auto" w:sz="4" w:space="0"/>
                    <w:left w:val="single" w:color="auto" w:sz="4" w:space="0"/>
                    <w:bottom w:val="single" w:color="auto" w:sz="4" w:space="0"/>
                    <w:right w:val="single" w:color="auto" w:sz="4" w:space="0"/>
                  </w:tcBorders>
                  <w:noWrap w:val="0"/>
                  <w:vAlign w:val="center"/>
                </w:tcPr>
                <w:p w14:paraId="1C3DFE61">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500—1000</w:t>
                  </w:r>
                </w:p>
              </w:tc>
              <w:tc>
                <w:tcPr>
                  <w:tcW w:w="2174" w:type="dxa"/>
                  <w:tcBorders>
                    <w:top w:val="single" w:color="auto" w:sz="4" w:space="0"/>
                    <w:left w:val="single" w:color="auto" w:sz="4" w:space="0"/>
                    <w:bottom w:val="single" w:color="auto" w:sz="4" w:space="0"/>
                    <w:right w:val="single" w:color="auto" w:sz="4" w:space="0"/>
                  </w:tcBorders>
                  <w:noWrap w:val="0"/>
                  <w:vAlign w:val="center"/>
                </w:tcPr>
                <w:p w14:paraId="10CBE4A9">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0.8％</w:t>
                  </w:r>
                </w:p>
              </w:tc>
              <w:tc>
                <w:tcPr>
                  <w:tcW w:w="1847" w:type="dxa"/>
                  <w:tcBorders>
                    <w:top w:val="single" w:color="auto" w:sz="4" w:space="0"/>
                    <w:left w:val="single" w:color="auto" w:sz="4" w:space="0"/>
                    <w:bottom w:val="single" w:color="auto" w:sz="4" w:space="0"/>
                    <w:right w:val="single" w:color="auto" w:sz="4" w:space="0"/>
                  </w:tcBorders>
                  <w:noWrap w:val="0"/>
                  <w:vAlign w:val="center"/>
                </w:tcPr>
                <w:p w14:paraId="63E51645">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0.45％</w:t>
                  </w:r>
                </w:p>
              </w:tc>
              <w:tc>
                <w:tcPr>
                  <w:tcW w:w="1836" w:type="dxa"/>
                  <w:tcBorders>
                    <w:top w:val="single" w:color="auto" w:sz="4" w:space="0"/>
                    <w:left w:val="single" w:color="auto" w:sz="4" w:space="0"/>
                    <w:bottom w:val="single" w:color="auto" w:sz="4" w:space="0"/>
                    <w:right w:val="single" w:color="auto" w:sz="4" w:space="0"/>
                  </w:tcBorders>
                  <w:noWrap w:val="0"/>
                  <w:vAlign w:val="center"/>
                </w:tcPr>
                <w:p w14:paraId="0E09A92B">
                  <w:pPr>
                    <w:spacing w:line="240" w:lineRule="auto"/>
                    <w:jc w:val="center"/>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0.55%</w:t>
                  </w:r>
                </w:p>
              </w:tc>
            </w:tr>
            <w:tr w14:paraId="433D5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6" w:hRule="atLeast"/>
                <w:tblCellSpacing w:w="0" w:type="dxa"/>
                <w:jc w:val="center"/>
              </w:trPr>
              <w:tc>
                <w:tcPr>
                  <w:tcW w:w="2221" w:type="dxa"/>
                  <w:tcBorders>
                    <w:top w:val="single" w:color="auto" w:sz="4" w:space="0"/>
                    <w:left w:val="single" w:color="auto" w:sz="4" w:space="0"/>
                    <w:bottom w:val="single" w:color="auto" w:sz="4" w:space="0"/>
                    <w:right w:val="single" w:color="auto" w:sz="4" w:space="0"/>
                  </w:tcBorders>
                  <w:noWrap w:val="0"/>
                  <w:vAlign w:val="center"/>
                </w:tcPr>
                <w:p w14:paraId="7803FC96">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1000—5000</w:t>
                  </w:r>
                </w:p>
              </w:tc>
              <w:tc>
                <w:tcPr>
                  <w:tcW w:w="2174" w:type="dxa"/>
                  <w:tcBorders>
                    <w:top w:val="single" w:color="auto" w:sz="4" w:space="0"/>
                    <w:left w:val="single" w:color="auto" w:sz="4" w:space="0"/>
                    <w:bottom w:val="single" w:color="auto" w:sz="4" w:space="0"/>
                    <w:right w:val="single" w:color="auto" w:sz="4" w:space="0"/>
                  </w:tcBorders>
                  <w:noWrap w:val="0"/>
                  <w:vAlign w:val="center"/>
                </w:tcPr>
                <w:p w14:paraId="79EB0376">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0.5％</w:t>
                  </w:r>
                </w:p>
              </w:tc>
              <w:tc>
                <w:tcPr>
                  <w:tcW w:w="1847" w:type="dxa"/>
                  <w:tcBorders>
                    <w:top w:val="single" w:color="auto" w:sz="4" w:space="0"/>
                    <w:left w:val="single" w:color="auto" w:sz="4" w:space="0"/>
                    <w:bottom w:val="single" w:color="auto" w:sz="4" w:space="0"/>
                    <w:right w:val="single" w:color="auto" w:sz="4" w:space="0"/>
                  </w:tcBorders>
                  <w:noWrap w:val="0"/>
                  <w:vAlign w:val="center"/>
                </w:tcPr>
                <w:p w14:paraId="5CE4AFE2">
                  <w:pPr>
                    <w:spacing w:line="240" w:lineRule="auto"/>
                    <w:jc w:val="center"/>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0.25％</w:t>
                  </w:r>
                </w:p>
              </w:tc>
              <w:tc>
                <w:tcPr>
                  <w:tcW w:w="1836" w:type="dxa"/>
                  <w:tcBorders>
                    <w:top w:val="single" w:color="auto" w:sz="4" w:space="0"/>
                    <w:left w:val="single" w:color="auto" w:sz="4" w:space="0"/>
                    <w:bottom w:val="single" w:color="auto" w:sz="4" w:space="0"/>
                    <w:right w:val="single" w:color="auto" w:sz="4" w:space="0"/>
                  </w:tcBorders>
                  <w:noWrap w:val="0"/>
                  <w:vAlign w:val="center"/>
                </w:tcPr>
                <w:p w14:paraId="7FB03DA1">
                  <w:pPr>
                    <w:spacing w:line="240" w:lineRule="auto"/>
                    <w:jc w:val="center"/>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0.35%</w:t>
                  </w:r>
                </w:p>
              </w:tc>
            </w:tr>
          </w:tbl>
          <w:p w14:paraId="1E9C826E">
            <w:pPr>
              <w:keepNext w:val="0"/>
              <w:keepLines w:val="0"/>
              <w:pageBreakBefore w:val="0"/>
              <w:kinsoku/>
              <w:wordWrap/>
              <w:overflowPunct/>
              <w:topLinePunct w:val="0"/>
              <w:autoSpaceDE/>
              <w:autoSpaceDN/>
              <w:bidi w:val="0"/>
              <w:adjustRightInd/>
              <w:snapToGrid/>
              <w:spacing w:line="360" w:lineRule="auto"/>
              <w:ind w:right="-10" w:rightChars="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本项目所属货物类。</w:t>
            </w:r>
          </w:p>
        </w:tc>
      </w:tr>
      <w:tr w14:paraId="66C4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954" w:type="dxa"/>
            <w:noWrap w:val="0"/>
            <w:vAlign w:val="center"/>
          </w:tcPr>
          <w:p w14:paraId="408427F3">
            <w:pPr>
              <w:keepNext w:val="0"/>
              <w:keepLines w:val="0"/>
              <w:pageBreakBefore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10ADBACD">
            <w:pPr>
              <w:keepNext w:val="0"/>
              <w:keepLines w:val="0"/>
              <w:pageBreakBefore w:val="0"/>
              <w:widowControl/>
              <w:tabs>
                <w:tab w:val="left" w:pos="180"/>
              </w:tabs>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其他：</w:t>
            </w:r>
          </w:p>
          <w:p w14:paraId="53BF2148">
            <w:pPr>
              <w:keepNext w:val="0"/>
              <w:keepLines w:val="0"/>
              <w:pageBreakBefore w:val="0"/>
              <w:widowControl/>
              <w:tabs>
                <w:tab w:val="left" w:pos="180"/>
              </w:tabs>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eastAsia="zh-CN"/>
              </w:rPr>
              <w:t>供应商</w:t>
            </w:r>
            <w:r>
              <w:rPr>
                <w:rFonts w:hint="eastAsia" w:ascii="宋体" w:hAnsi="宋体" w:eastAsia="宋体" w:cs="宋体"/>
                <w:sz w:val="24"/>
                <w:szCs w:val="24"/>
              </w:rPr>
              <w:t>对谈判文件有异议的，应当在投标截止时间2日前提出。</w:t>
            </w:r>
          </w:p>
          <w:p w14:paraId="6118E1CE">
            <w:pPr>
              <w:keepNext w:val="0"/>
              <w:keepLines w:val="0"/>
              <w:pageBreakBefore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sz w:val="24"/>
                <w:lang w:eastAsia="zh-CN"/>
              </w:rPr>
            </w:pPr>
            <w:r>
              <w:rPr>
                <w:rFonts w:hint="eastAsia" w:ascii="宋体" w:hAnsi="宋体" w:eastAsia="宋体" w:cs="宋体"/>
                <w:sz w:val="24"/>
                <w:szCs w:val="24"/>
              </w:rPr>
              <w:t>2、当</w:t>
            </w:r>
            <w:r>
              <w:rPr>
                <w:rFonts w:hint="eastAsia" w:ascii="宋体" w:hAnsi="宋体" w:eastAsia="宋体" w:cs="宋体"/>
                <w:sz w:val="24"/>
                <w:szCs w:val="24"/>
                <w:lang w:eastAsia="zh-CN"/>
              </w:rPr>
              <w:t>供应商</w:t>
            </w:r>
            <w:r>
              <w:rPr>
                <w:rFonts w:hint="eastAsia" w:ascii="宋体" w:hAnsi="宋体" w:eastAsia="宋体" w:cs="宋体"/>
                <w:sz w:val="24"/>
                <w:szCs w:val="24"/>
              </w:rPr>
              <w:t>不足三家时，按相关文件执行</w:t>
            </w:r>
            <w:r>
              <w:rPr>
                <w:rFonts w:hint="eastAsia" w:ascii="宋体" w:hAnsi="宋体" w:eastAsia="宋体" w:cs="宋体"/>
                <w:sz w:val="24"/>
                <w:szCs w:val="24"/>
                <w:lang w:eastAsia="zh-CN"/>
              </w:rPr>
              <w:t>。</w:t>
            </w:r>
          </w:p>
        </w:tc>
      </w:tr>
      <w:tr w14:paraId="6277D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54" w:type="dxa"/>
            <w:noWrap w:val="0"/>
            <w:vAlign w:val="center"/>
          </w:tcPr>
          <w:p w14:paraId="53187DCC">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3326B4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val="0"/>
                <w:color w:val="auto"/>
                <w:kern w:val="2"/>
                <w:sz w:val="24"/>
                <w:szCs w:val="24"/>
                <w:lang w:val="en-US" w:eastAsia="zh-CN" w:bidi="ar-SA"/>
              </w:rPr>
            </w:pPr>
            <w:r>
              <w:rPr>
                <w:rFonts w:hint="eastAsia" w:ascii="宋体" w:hAnsi="宋体" w:eastAsia="宋体" w:cs="宋体"/>
                <w:b/>
                <w:bCs/>
                <w:sz w:val="24"/>
                <w:szCs w:val="24"/>
                <w:lang w:val="en-US" w:eastAsia="zh-CN"/>
              </w:rPr>
              <w:t>是否电子标：是</w:t>
            </w:r>
          </w:p>
        </w:tc>
      </w:tr>
      <w:tr w14:paraId="4BBD8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54" w:type="dxa"/>
            <w:noWrap w:val="0"/>
            <w:vAlign w:val="center"/>
          </w:tcPr>
          <w:p w14:paraId="020DD09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7C13CC03">
            <w:pPr>
              <w:spacing w:line="360" w:lineRule="auto"/>
              <w:rPr>
                <w:rFonts w:hint="eastAsia" w:ascii="宋体" w:hAnsi="宋体" w:eastAsia="宋体" w:cs="宋体"/>
                <w:b w:val="0"/>
                <w:color w:val="auto"/>
                <w:kern w:val="2"/>
                <w:sz w:val="24"/>
                <w:szCs w:val="24"/>
                <w:lang w:val="en-US" w:eastAsia="zh-CN" w:bidi="ar-SA"/>
              </w:rPr>
            </w:pPr>
            <w:r>
              <w:rPr>
                <w:rFonts w:hint="eastAsia" w:ascii="宋体" w:hAnsi="宋体" w:eastAsia="宋体" w:cs="宋体"/>
                <w:color w:val="auto"/>
                <w:sz w:val="24"/>
                <w:szCs w:val="24"/>
              </w:rPr>
              <w:t>本项目不接受联合体投标。</w:t>
            </w:r>
          </w:p>
        </w:tc>
      </w:tr>
      <w:tr w14:paraId="40DF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54" w:type="dxa"/>
            <w:noWrap w:val="0"/>
            <w:vAlign w:val="center"/>
          </w:tcPr>
          <w:p w14:paraId="13C2F86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3B5975DB">
            <w:pPr>
              <w:spacing w:line="360" w:lineRule="auto"/>
              <w:rPr>
                <w:rFonts w:hint="eastAsia" w:ascii="宋体" w:hAnsi="宋体" w:eastAsia="宋体" w:cs="宋体"/>
                <w:b w:val="0"/>
                <w:color w:val="auto"/>
                <w:kern w:val="2"/>
                <w:sz w:val="24"/>
                <w:szCs w:val="24"/>
                <w:lang w:val="en-US" w:eastAsia="zh-CN" w:bidi="ar-SA"/>
              </w:rPr>
            </w:pPr>
            <w:r>
              <w:rPr>
                <w:rFonts w:hint="eastAsia" w:ascii="宋体" w:hAnsi="宋体" w:eastAsia="宋体" w:cs="宋体"/>
                <w:color w:val="auto"/>
                <w:sz w:val="24"/>
                <w:szCs w:val="24"/>
              </w:rPr>
              <w:t>不允许提供备选方案。</w:t>
            </w:r>
          </w:p>
        </w:tc>
      </w:tr>
      <w:tr w14:paraId="3E62F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54" w:type="dxa"/>
            <w:noWrap w:val="0"/>
            <w:vAlign w:val="center"/>
          </w:tcPr>
          <w:p w14:paraId="3A2780F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51E4B669">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谈判报价轮次：</w:t>
            </w:r>
          </w:p>
          <w:p w14:paraId="6AE33DF6">
            <w:pPr>
              <w:spacing w:line="360" w:lineRule="auto"/>
              <w:ind w:firstLine="240"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多轮（报价文件中报价为第一轮，腾讯会议为第二轮）</w:t>
            </w:r>
          </w:p>
          <w:p w14:paraId="0A09A50E">
            <w:pPr>
              <w:spacing w:line="360" w:lineRule="auto"/>
              <w:ind w:firstLine="240"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各供应商需在二次报价前进入谈判环节，各供应商须提前在手机上下载腾讯会议 APP 并按时进入会议 ,保证会议正常进行,加入会议室的同时将各参会人员姓名修改为“供应商简称+授权人姓名”，每家供应商仅限一名授权委托人加入，在开标现场结束后各供应商进入腾讯视频会议，等待谈判，会议进行期间各供应商不得随意喧哗，保持安静，在需要问答的时候进行回复。未按时加入会议的，视为其认可所有按规定程序形成的结果。 </w:t>
            </w:r>
          </w:p>
          <w:p w14:paraId="1367285D">
            <w:pPr>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 xml:space="preserve">最后一轮报价时间：腾讯会议通知（请授权委托人或法人代表/负责人保持手机畅通，以便于接收最后报价通知，各供应商在CA锁上进行最后报价。） </w:t>
            </w:r>
          </w:p>
        </w:tc>
      </w:tr>
      <w:tr w14:paraId="6C7C0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954" w:type="dxa"/>
            <w:noWrap w:val="0"/>
            <w:vAlign w:val="center"/>
          </w:tcPr>
          <w:p w14:paraId="4020AAFB">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40BA0C8E">
            <w:pPr>
              <w:pageBreakBefore w:val="0"/>
              <w:kinsoku/>
              <w:bidi w:val="0"/>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w:t>
            </w:r>
            <w:r>
              <w:rPr>
                <w:rFonts w:hint="eastAsia" w:ascii="宋体" w:hAnsi="宋体" w:eastAsia="宋体" w:cs="宋体"/>
                <w:bCs/>
                <w:sz w:val="24"/>
                <w:szCs w:val="24"/>
                <w:lang w:val="en-US" w:eastAsia="zh-CN"/>
              </w:rPr>
              <w:t>管理</w:t>
            </w:r>
            <w:r>
              <w:rPr>
                <w:rFonts w:hint="eastAsia" w:ascii="宋体" w:hAnsi="宋体" w:eastAsia="宋体" w:cs="宋体"/>
                <w:bCs/>
                <w:sz w:val="24"/>
                <w:szCs w:val="24"/>
              </w:rPr>
              <w:t>办法》（财库〔20</w:t>
            </w:r>
            <w:r>
              <w:rPr>
                <w:rFonts w:hint="eastAsia" w:ascii="宋体" w:hAnsi="宋体" w:eastAsia="宋体" w:cs="宋体"/>
                <w:bCs/>
                <w:sz w:val="24"/>
                <w:szCs w:val="24"/>
                <w:lang w:val="en-US" w:eastAsia="zh-CN"/>
              </w:rPr>
              <w:t>20</w:t>
            </w:r>
            <w:r>
              <w:rPr>
                <w:rFonts w:hint="eastAsia" w:ascii="宋体" w:hAnsi="宋体" w:eastAsia="宋体" w:cs="宋体"/>
                <w:bCs/>
                <w:sz w:val="24"/>
                <w:szCs w:val="24"/>
              </w:rPr>
              <w:t>〕</w:t>
            </w:r>
            <w:r>
              <w:rPr>
                <w:rFonts w:hint="eastAsia" w:ascii="宋体" w:hAnsi="宋体" w:eastAsia="宋体" w:cs="宋体"/>
                <w:bCs/>
                <w:sz w:val="24"/>
                <w:szCs w:val="24"/>
                <w:lang w:val="en-US" w:eastAsia="zh-CN"/>
              </w:rPr>
              <w:t>46</w:t>
            </w:r>
            <w:r>
              <w:rPr>
                <w:rFonts w:hint="eastAsia" w:ascii="宋体" w:hAnsi="宋体" w:eastAsia="宋体" w:cs="宋体"/>
                <w:bCs/>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《陕西省财政厅 中国人民银行西安分行关于深入推进政府采购信用融资业务的通知》</w:t>
            </w:r>
            <w:r>
              <w:rPr>
                <w:rFonts w:hint="eastAsia" w:ascii="宋体" w:hAnsi="宋体" w:eastAsia="宋体" w:cs="宋体"/>
                <w:bCs/>
                <w:sz w:val="24"/>
                <w:szCs w:val="24"/>
              </w:rPr>
              <w:t>（陕财办采〔202</w:t>
            </w:r>
            <w:r>
              <w:rPr>
                <w:rFonts w:hint="eastAsia" w:ascii="宋体" w:hAnsi="宋体" w:eastAsia="宋体" w:cs="宋体"/>
                <w:bCs/>
                <w:sz w:val="24"/>
                <w:szCs w:val="24"/>
                <w:lang w:val="en-US" w:eastAsia="zh-CN"/>
              </w:rPr>
              <w:t>3</w:t>
            </w:r>
            <w:r>
              <w:rPr>
                <w:rFonts w:hint="eastAsia" w:ascii="宋体" w:hAnsi="宋体" w:eastAsia="宋体" w:cs="宋体"/>
                <w:bCs/>
                <w:sz w:val="24"/>
                <w:szCs w:val="24"/>
              </w:rPr>
              <w:t>〕5号）等有关规定，按照</w:t>
            </w:r>
            <w:r>
              <w:rPr>
                <w:rFonts w:hint="eastAsia" w:ascii="宋体" w:hAnsi="宋体" w:eastAsia="宋体" w:cs="宋体"/>
                <w:bCs/>
                <w:sz w:val="24"/>
                <w:szCs w:val="24"/>
                <w:lang w:val="en-US" w:eastAsia="zh-CN"/>
              </w:rPr>
              <w:t>政府</w:t>
            </w:r>
            <w:r>
              <w:rPr>
                <w:rFonts w:hint="eastAsia" w:ascii="宋体" w:hAnsi="宋体" w:eastAsia="宋体" w:cs="宋体"/>
                <w:bCs/>
                <w:sz w:val="24"/>
                <w:szCs w:val="24"/>
              </w:rPr>
              <w:t>引导、</w:t>
            </w:r>
            <w:r>
              <w:rPr>
                <w:rFonts w:hint="eastAsia" w:ascii="宋体" w:hAnsi="宋体" w:eastAsia="宋体" w:cs="宋体"/>
                <w:bCs/>
                <w:sz w:val="24"/>
                <w:szCs w:val="24"/>
                <w:lang w:val="en-US" w:eastAsia="zh-CN"/>
              </w:rPr>
              <w:t>市场运作、银企</w:t>
            </w:r>
            <w:r>
              <w:rPr>
                <w:rFonts w:hint="eastAsia" w:ascii="宋体" w:hAnsi="宋体" w:eastAsia="宋体" w:cs="宋体"/>
                <w:bCs/>
                <w:sz w:val="24"/>
                <w:szCs w:val="24"/>
              </w:rPr>
              <w:t>自愿、风险自担的原则，中标（成交）供应商可根据自身资金需求，登录陕西省政府采购信用融资平台（http://www.ccgp-shaanxi.gov.cn/zcdservice/zcd/shanxi/）</w:t>
            </w:r>
            <w:r>
              <w:rPr>
                <w:rFonts w:hint="eastAsia" w:ascii="宋体" w:hAnsi="宋体" w:eastAsia="宋体" w:cs="宋体"/>
                <w:bCs/>
                <w:sz w:val="24"/>
                <w:szCs w:val="24"/>
                <w:lang w:val="en-US" w:eastAsia="zh-CN"/>
              </w:rPr>
              <w:t>或中征平台（https://www.crcrfsp.com）</w:t>
            </w:r>
            <w:r>
              <w:rPr>
                <w:rFonts w:hint="eastAsia" w:ascii="宋体" w:hAnsi="宋体" w:eastAsia="宋体" w:cs="宋体"/>
                <w:bCs/>
                <w:sz w:val="24"/>
                <w:szCs w:val="24"/>
              </w:rPr>
              <w:t>在线申请，依法参加政府采购信用融资活动。</w:t>
            </w:r>
          </w:p>
          <w:tbl>
            <w:tblPr>
              <w:tblStyle w:val="16"/>
              <w:tblpPr w:leftFromText="180" w:rightFromText="180" w:vertAnchor="page" w:horzAnchor="page" w:tblpX="147" w:tblpY="1020"/>
              <w:tblOverlap w:val="never"/>
              <w:tblW w:w="79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
              <w:gridCol w:w="577"/>
              <w:gridCol w:w="876"/>
              <w:gridCol w:w="886"/>
              <w:gridCol w:w="916"/>
              <w:gridCol w:w="926"/>
              <w:gridCol w:w="1155"/>
              <w:gridCol w:w="916"/>
              <w:gridCol w:w="1702"/>
              <w:gridCol w:w="5"/>
            </w:tblGrid>
            <w:tr w14:paraId="2E0FF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65" w:hRule="atLeast"/>
                <w:jc w:val="center"/>
              </w:trPr>
              <w:tc>
                <w:tcPr>
                  <w:tcW w:w="582" w:type="dxa"/>
                  <w:gridSpan w:val="2"/>
                  <w:tcBorders>
                    <w:top w:val="nil"/>
                    <w:left w:val="nil"/>
                    <w:bottom w:val="nil"/>
                    <w:right w:val="nil"/>
                    <w:tl2br w:val="nil"/>
                    <w:tr2bl w:val="nil"/>
                  </w:tcBorders>
                  <w:noWrap/>
                  <w:vAlign w:val="center"/>
                </w:tcPr>
                <w:p w14:paraId="4032C948">
                  <w:pPr>
                    <w:widowControl/>
                    <w:textAlignment w:val="center"/>
                    <w:rPr>
                      <w:rFonts w:hint="eastAsia" w:ascii="宋体" w:hAnsi="宋体" w:eastAsia="宋体" w:cs="宋体"/>
                      <w:color w:val="000000"/>
                      <w:sz w:val="21"/>
                      <w:szCs w:val="21"/>
                      <w:lang w:bidi="ar"/>
                    </w:rPr>
                  </w:pPr>
                </w:p>
              </w:tc>
              <w:tc>
                <w:tcPr>
                  <w:tcW w:w="7377" w:type="dxa"/>
                  <w:gridSpan w:val="7"/>
                  <w:tcBorders>
                    <w:top w:val="nil"/>
                    <w:left w:val="nil"/>
                    <w:bottom w:val="nil"/>
                    <w:right w:val="nil"/>
                    <w:tl2br w:val="nil"/>
                    <w:tr2bl w:val="nil"/>
                  </w:tcBorders>
                  <w:noWrap/>
                  <w:vAlign w:val="center"/>
                </w:tcPr>
                <w:p w14:paraId="67C76D5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榆林市“政采贷”业务办理银行联系表</w:t>
                  </w:r>
                </w:p>
              </w:tc>
            </w:tr>
            <w:tr w14:paraId="43AC6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60" w:hRule="atLeast"/>
                <w:jc w:val="center"/>
              </w:trPr>
              <w:tc>
                <w:tcPr>
                  <w:tcW w:w="57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463BF90">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序号</w:t>
                  </w:r>
                </w:p>
              </w:tc>
              <w:tc>
                <w:tcPr>
                  <w:tcW w:w="87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69E18E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银行名称</w:t>
                  </w:r>
                </w:p>
              </w:tc>
              <w:tc>
                <w:tcPr>
                  <w:tcW w:w="88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DA4051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产品名称</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F10C09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贷款额度</w:t>
                  </w:r>
                </w:p>
              </w:tc>
              <w:tc>
                <w:tcPr>
                  <w:tcW w:w="92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F4A64F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贷款期限</w:t>
                  </w:r>
                </w:p>
              </w:tc>
              <w:tc>
                <w:tcPr>
                  <w:tcW w:w="115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6CB0AB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贷款利率</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946C1E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办理时效</w:t>
                  </w:r>
                </w:p>
              </w:tc>
              <w:tc>
                <w:tcPr>
                  <w:tcW w:w="1707"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7B42739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联系人</w:t>
                  </w:r>
                </w:p>
              </w:tc>
            </w:tr>
            <w:tr w14:paraId="340F7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60" w:hRule="atLeast"/>
                <w:jc w:val="center"/>
              </w:trPr>
              <w:tc>
                <w:tcPr>
                  <w:tcW w:w="57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CC0269D">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w:t>
                  </w:r>
                </w:p>
              </w:tc>
              <w:tc>
                <w:tcPr>
                  <w:tcW w:w="87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5AB512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长安银行</w:t>
                  </w:r>
                </w:p>
              </w:tc>
              <w:tc>
                <w:tcPr>
                  <w:tcW w:w="88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F3C692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政采贷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F90931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1000万元</w:t>
                  </w:r>
                </w:p>
              </w:tc>
              <w:tc>
                <w:tcPr>
                  <w:tcW w:w="92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1EE02E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1-3年</w:t>
                  </w:r>
                </w:p>
              </w:tc>
              <w:tc>
                <w:tcPr>
                  <w:tcW w:w="115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C24104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3.45%</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FCDACB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72小时</w:t>
                  </w:r>
                </w:p>
              </w:tc>
              <w:tc>
                <w:tcPr>
                  <w:tcW w:w="170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4B65F03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魏  众15109123951</w:t>
                  </w:r>
                </w:p>
              </w:tc>
            </w:tr>
            <w:tr w14:paraId="46088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60" w:hRule="atLeast"/>
                <w:jc w:val="center"/>
              </w:trPr>
              <w:tc>
                <w:tcPr>
                  <w:tcW w:w="57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417822D">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p>
              </w:tc>
              <w:tc>
                <w:tcPr>
                  <w:tcW w:w="87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75BF835">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中信银行</w:t>
                  </w:r>
                </w:p>
              </w:tc>
              <w:tc>
                <w:tcPr>
                  <w:tcW w:w="88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6E4C5CE">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政采E贷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CC05E71">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1000万元</w:t>
                  </w:r>
                </w:p>
              </w:tc>
              <w:tc>
                <w:tcPr>
                  <w:tcW w:w="92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C17A854">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1-3年</w:t>
                  </w:r>
                </w:p>
              </w:tc>
              <w:tc>
                <w:tcPr>
                  <w:tcW w:w="115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F2EE494">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3.45%起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E63893C">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24小时</w:t>
                  </w:r>
                </w:p>
              </w:tc>
              <w:tc>
                <w:tcPr>
                  <w:tcW w:w="1707"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437EEC9F">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李  靖15509125117</w:t>
                  </w:r>
                </w:p>
              </w:tc>
            </w:tr>
            <w:tr w14:paraId="38154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60" w:hRule="atLeast"/>
                <w:jc w:val="center"/>
              </w:trPr>
              <w:tc>
                <w:tcPr>
                  <w:tcW w:w="57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EF01FA0">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w:t>
                  </w:r>
                </w:p>
              </w:tc>
              <w:tc>
                <w:tcPr>
                  <w:tcW w:w="87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ADD20D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光大银行</w:t>
                  </w:r>
                </w:p>
              </w:tc>
              <w:tc>
                <w:tcPr>
                  <w:tcW w:w="88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DED3BC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政采贷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AECDDA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1000万元</w:t>
                  </w:r>
                </w:p>
              </w:tc>
              <w:tc>
                <w:tcPr>
                  <w:tcW w:w="92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B23177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1-3年</w:t>
                  </w:r>
                </w:p>
              </w:tc>
              <w:tc>
                <w:tcPr>
                  <w:tcW w:w="115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CCB6C2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3.45%</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1FC4F2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72小时</w:t>
                  </w:r>
                </w:p>
              </w:tc>
              <w:tc>
                <w:tcPr>
                  <w:tcW w:w="1707"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39CC08D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刘  波18809125468</w:t>
                  </w:r>
                </w:p>
              </w:tc>
            </w:tr>
            <w:tr w14:paraId="20BCD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60" w:hRule="atLeast"/>
                <w:jc w:val="center"/>
              </w:trPr>
              <w:tc>
                <w:tcPr>
                  <w:tcW w:w="57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1C16E5B">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w:t>
                  </w:r>
                </w:p>
              </w:tc>
              <w:tc>
                <w:tcPr>
                  <w:tcW w:w="87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60A195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交通银行</w:t>
                  </w:r>
                </w:p>
              </w:tc>
              <w:tc>
                <w:tcPr>
                  <w:tcW w:w="88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1B740C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秦政贷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EE413B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1000万元</w:t>
                  </w:r>
                </w:p>
              </w:tc>
              <w:tc>
                <w:tcPr>
                  <w:tcW w:w="92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28A22C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1年</w:t>
                  </w:r>
                </w:p>
              </w:tc>
              <w:tc>
                <w:tcPr>
                  <w:tcW w:w="115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196478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3.45%</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39110F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24小时</w:t>
                  </w:r>
                </w:p>
              </w:tc>
              <w:tc>
                <w:tcPr>
                  <w:tcW w:w="1707"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24E59F8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张  飞15291296886</w:t>
                  </w:r>
                </w:p>
              </w:tc>
            </w:tr>
            <w:tr w14:paraId="08925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60" w:hRule="atLeast"/>
                <w:jc w:val="center"/>
              </w:trPr>
              <w:tc>
                <w:tcPr>
                  <w:tcW w:w="57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B98BE67">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5</w:t>
                  </w:r>
                </w:p>
              </w:tc>
              <w:tc>
                <w:tcPr>
                  <w:tcW w:w="87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C58215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中国银行</w:t>
                  </w:r>
                </w:p>
              </w:tc>
              <w:tc>
                <w:tcPr>
                  <w:tcW w:w="88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A9AEDF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政采贷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BCDD55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1000万元</w:t>
                  </w:r>
                </w:p>
              </w:tc>
              <w:tc>
                <w:tcPr>
                  <w:tcW w:w="92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D93A4C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1-3年</w:t>
                  </w:r>
                </w:p>
              </w:tc>
              <w:tc>
                <w:tcPr>
                  <w:tcW w:w="115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8A085F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3.45%</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E4F061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72小时</w:t>
                  </w:r>
                </w:p>
              </w:tc>
              <w:tc>
                <w:tcPr>
                  <w:tcW w:w="170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7FD445D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李  浩18691230007</w:t>
                  </w:r>
                </w:p>
              </w:tc>
            </w:tr>
            <w:tr w14:paraId="1CBCB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60" w:hRule="atLeast"/>
                <w:jc w:val="center"/>
              </w:trPr>
              <w:tc>
                <w:tcPr>
                  <w:tcW w:w="57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3465CAF">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w:t>
                  </w:r>
                </w:p>
              </w:tc>
              <w:tc>
                <w:tcPr>
                  <w:tcW w:w="87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2D0CD5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招商银行</w:t>
                  </w:r>
                </w:p>
              </w:tc>
              <w:tc>
                <w:tcPr>
                  <w:tcW w:w="88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1DBA7E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政采贷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60CB12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3000万元</w:t>
                  </w:r>
                </w:p>
              </w:tc>
              <w:tc>
                <w:tcPr>
                  <w:tcW w:w="92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B8B09E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1-3年</w:t>
                  </w:r>
                </w:p>
              </w:tc>
              <w:tc>
                <w:tcPr>
                  <w:tcW w:w="115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E53601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3.45%起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D963F9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24小时</w:t>
                  </w:r>
                </w:p>
              </w:tc>
              <w:tc>
                <w:tcPr>
                  <w:tcW w:w="1707"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222586D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马  烨15596100007</w:t>
                  </w:r>
                </w:p>
              </w:tc>
            </w:tr>
            <w:tr w14:paraId="52CC9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60" w:hRule="atLeast"/>
                <w:jc w:val="center"/>
              </w:trPr>
              <w:tc>
                <w:tcPr>
                  <w:tcW w:w="57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645AFC2">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7</w:t>
                  </w:r>
                </w:p>
              </w:tc>
              <w:tc>
                <w:tcPr>
                  <w:tcW w:w="87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B602AA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浦发银行</w:t>
                  </w:r>
                </w:p>
              </w:tc>
              <w:tc>
                <w:tcPr>
                  <w:tcW w:w="88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A7FFA6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政采E贷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E8C3E1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2000万元</w:t>
                  </w:r>
                </w:p>
              </w:tc>
              <w:tc>
                <w:tcPr>
                  <w:tcW w:w="92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5E0899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1年</w:t>
                  </w:r>
                </w:p>
              </w:tc>
              <w:tc>
                <w:tcPr>
                  <w:tcW w:w="115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4D1854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3.8%</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D6A3DC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72小时</w:t>
                  </w:r>
                </w:p>
              </w:tc>
              <w:tc>
                <w:tcPr>
                  <w:tcW w:w="1707"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1619158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朱  君15629169158</w:t>
                  </w:r>
                </w:p>
              </w:tc>
            </w:tr>
            <w:tr w14:paraId="0BA99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60" w:hRule="atLeast"/>
                <w:jc w:val="center"/>
              </w:trPr>
              <w:tc>
                <w:tcPr>
                  <w:tcW w:w="57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EF499BC">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8</w:t>
                  </w:r>
                </w:p>
              </w:tc>
              <w:tc>
                <w:tcPr>
                  <w:tcW w:w="87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3F9C55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农商银行</w:t>
                  </w:r>
                </w:p>
              </w:tc>
              <w:tc>
                <w:tcPr>
                  <w:tcW w:w="88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B2852D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政采贷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D26EAF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1000万元</w:t>
                  </w:r>
                </w:p>
              </w:tc>
              <w:tc>
                <w:tcPr>
                  <w:tcW w:w="92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7D5A0C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1-2年</w:t>
                  </w:r>
                </w:p>
              </w:tc>
              <w:tc>
                <w:tcPr>
                  <w:tcW w:w="115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E13992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3.45%-5.8%</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6009C0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24小时</w:t>
                  </w:r>
                </w:p>
              </w:tc>
              <w:tc>
                <w:tcPr>
                  <w:tcW w:w="1707"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39CBC1B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王  璐15529875056</w:t>
                  </w:r>
                </w:p>
              </w:tc>
            </w:tr>
            <w:tr w14:paraId="2512F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60" w:hRule="atLeast"/>
                <w:jc w:val="center"/>
              </w:trPr>
              <w:tc>
                <w:tcPr>
                  <w:tcW w:w="57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9D2EAA1">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9</w:t>
                  </w:r>
                </w:p>
              </w:tc>
              <w:tc>
                <w:tcPr>
                  <w:tcW w:w="87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EEBF0D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农业银行</w:t>
                  </w:r>
                </w:p>
              </w:tc>
              <w:tc>
                <w:tcPr>
                  <w:tcW w:w="88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60B89C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政采贷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51C586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3000万元</w:t>
                  </w:r>
                </w:p>
              </w:tc>
              <w:tc>
                <w:tcPr>
                  <w:tcW w:w="92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DFA92B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1年</w:t>
                  </w:r>
                </w:p>
              </w:tc>
              <w:tc>
                <w:tcPr>
                  <w:tcW w:w="115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5E7FD2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3.45%-3.85%</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7287AA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24小时</w:t>
                  </w:r>
                </w:p>
              </w:tc>
              <w:tc>
                <w:tcPr>
                  <w:tcW w:w="1707"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1E73F2D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杨  尧13325409313</w:t>
                  </w:r>
                </w:p>
              </w:tc>
            </w:tr>
            <w:tr w14:paraId="281DE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69" w:hRule="atLeast"/>
                <w:jc w:val="center"/>
              </w:trPr>
              <w:tc>
                <w:tcPr>
                  <w:tcW w:w="57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91C2CC4">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10</w:t>
                  </w:r>
                </w:p>
              </w:tc>
              <w:tc>
                <w:tcPr>
                  <w:tcW w:w="87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FF3074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民生银行</w:t>
                  </w:r>
                </w:p>
              </w:tc>
              <w:tc>
                <w:tcPr>
                  <w:tcW w:w="88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EE1304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政采E贷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EA079B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3000万元</w:t>
                  </w:r>
                </w:p>
              </w:tc>
              <w:tc>
                <w:tcPr>
                  <w:tcW w:w="92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F5393A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1年</w:t>
                  </w:r>
                </w:p>
              </w:tc>
              <w:tc>
                <w:tcPr>
                  <w:tcW w:w="115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C49730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3.45%起</w:t>
                  </w:r>
                </w:p>
              </w:tc>
              <w:tc>
                <w:tcPr>
                  <w:tcW w:w="916"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E4091E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24小时</w:t>
                  </w:r>
                </w:p>
              </w:tc>
              <w:tc>
                <w:tcPr>
                  <w:tcW w:w="1707"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0CCD8AA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郝双双15991225850</w:t>
                  </w:r>
                </w:p>
              </w:tc>
            </w:tr>
          </w:tbl>
          <w:p w14:paraId="6122309D">
            <w:pPr>
              <w:spacing w:line="360" w:lineRule="auto"/>
              <w:rPr>
                <w:rFonts w:hint="eastAsia" w:ascii="宋体" w:hAnsi="宋体" w:eastAsia="宋体" w:cs="宋体"/>
                <w:color w:val="auto"/>
                <w:kern w:val="2"/>
                <w:sz w:val="24"/>
                <w:szCs w:val="24"/>
                <w:lang w:val="en-US" w:eastAsia="zh-CN" w:bidi="ar-SA"/>
              </w:rPr>
            </w:pPr>
          </w:p>
        </w:tc>
      </w:tr>
      <w:tr w14:paraId="11578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noWrap w:val="0"/>
            <w:vAlign w:val="center"/>
          </w:tcPr>
          <w:p w14:paraId="694652C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2C2041F1">
            <w:pPr>
              <w:keepNext w:val="0"/>
              <w:keepLines w:val="0"/>
              <w:widowControl/>
              <w:numPr>
                <w:ilvl w:val="0"/>
                <w:numId w:val="0"/>
              </w:numPr>
              <w:suppressLineNumbers w:val="0"/>
              <w:spacing w:before="0" w:beforeLines="0" w:beforeAutospacing="0" w:after="0" w:afterLines="0" w:afterAutospacing="0" w:line="360" w:lineRule="auto"/>
              <w:ind w:right="0" w:rightChars="0"/>
              <w:jc w:val="left"/>
              <w:rPr>
                <w:rFonts w:hint="eastAsia" w:ascii="宋体" w:hAnsi="宋体" w:eastAsia="宋体" w:cs="宋体"/>
                <w:b/>
                <w:bCs/>
                <w:sz w:val="24"/>
                <w:szCs w:val="22"/>
                <w:lang w:val="en-US" w:eastAsia="zh-CN"/>
              </w:rPr>
            </w:pPr>
            <w:r>
              <w:rPr>
                <w:rFonts w:hint="eastAsia" w:ascii="宋体" w:hAnsi="宋体" w:eastAsia="宋体" w:cs="宋体"/>
                <w:b/>
                <w:bCs/>
                <w:sz w:val="24"/>
                <w:szCs w:val="22"/>
                <w:lang w:val="en-US" w:eastAsia="zh-CN"/>
              </w:rPr>
              <w:t>信用承诺公示要求：</w:t>
            </w:r>
          </w:p>
          <w:p w14:paraId="40480EF2">
            <w:pPr>
              <w:pStyle w:val="3"/>
              <w:spacing w:line="360" w:lineRule="auto"/>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号）在工程建设和政府采购领域全面推行信用公开承诺制，进入公共资源交易平台的各方交易主体，均应在“信用中国（陕西榆林）”网站进行注册、登陆，自主上报信用承诺书（网址：https://credit.yl.gov.cn/），各相关交易主体注册、登陆后根据承诺事项选择相应的模板填写《信用承诺书》，并载明承诺事由，政府采购活动中，各方交易主体的承诺事由为“公共资源交易平台的所有活动”。</w:t>
            </w:r>
          </w:p>
          <w:p w14:paraId="371041A6">
            <w:pPr>
              <w:pStyle w:val="3"/>
              <w:spacing w:line="360" w:lineRule="auto"/>
              <w:ind w:firstLine="420" w:firstLineChars="0"/>
              <w:rPr>
                <w:rFonts w:hint="eastAsia" w:ascii="宋体" w:hAnsi="宋体" w:eastAsia="宋体" w:cs="宋体"/>
                <w:spacing w:val="4"/>
                <w:kern w:val="2"/>
                <w:sz w:val="24"/>
                <w:szCs w:val="24"/>
                <w:lang w:val="en-US" w:eastAsia="zh-CN" w:bidi="ar-SA"/>
              </w:rPr>
            </w:pPr>
            <w:r>
              <w:rPr>
                <w:rFonts w:hint="eastAsia" w:ascii="宋体" w:hAnsi="宋体" w:eastAsia="宋体" w:cs="宋体"/>
                <w:sz w:val="24"/>
                <w:szCs w:val="22"/>
                <w:lang w:val="en-US" w:eastAsia="zh-CN"/>
              </w:rPr>
              <w:t>附件：信用承诺上报操作指南</w:t>
            </w:r>
          </w:p>
        </w:tc>
      </w:tr>
      <w:tr w14:paraId="55695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54" w:type="dxa"/>
            <w:noWrap w:val="0"/>
            <w:vAlign w:val="center"/>
          </w:tcPr>
          <w:p w14:paraId="0C6BB70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50" w:leftChars="0" w:firstLineChars="0"/>
              <w:jc w:val="center"/>
              <w:textAlignment w:val="auto"/>
              <w:rPr>
                <w:rFonts w:hint="eastAsia" w:ascii="宋体" w:hAnsi="宋体" w:eastAsia="宋体" w:cs="宋体"/>
                <w:color w:val="auto"/>
                <w:sz w:val="24"/>
              </w:rPr>
            </w:pPr>
          </w:p>
        </w:tc>
        <w:tc>
          <w:tcPr>
            <w:tcW w:w="8406" w:type="dxa"/>
            <w:noWrap w:val="0"/>
            <w:vAlign w:val="center"/>
          </w:tcPr>
          <w:p w14:paraId="0CC6337A">
            <w:pPr>
              <w:spacing w:line="360" w:lineRule="auto"/>
              <w:ind w:firstLine="482" w:firstLineChars="200"/>
              <w:rPr>
                <w:rFonts w:hint="eastAsia" w:ascii="宋体" w:hAnsi="宋体" w:eastAsia="宋体" w:cs="宋体"/>
                <w:b/>
                <w:sz w:val="24"/>
                <w:szCs w:val="24"/>
              </w:rPr>
            </w:pPr>
            <w:r>
              <w:rPr>
                <w:rFonts w:hint="eastAsia" w:ascii="宋体" w:hAnsi="宋体" w:eastAsia="宋体" w:cs="宋体"/>
                <w:b/>
                <w:bCs/>
                <w:color w:val="auto"/>
                <w:sz w:val="24"/>
                <w:szCs w:val="22"/>
              </w:rPr>
              <w:t>特别提醒</w:t>
            </w:r>
            <w:r>
              <w:rPr>
                <w:rFonts w:hint="eastAsia" w:ascii="宋体" w:hAnsi="宋体" w:eastAsia="宋体" w:cs="宋体"/>
                <w:b/>
                <w:bCs/>
                <w:color w:val="auto"/>
                <w:sz w:val="24"/>
                <w:szCs w:val="22"/>
                <w:lang w:eastAsia="zh-CN"/>
              </w:rPr>
              <w:t>：</w:t>
            </w:r>
          </w:p>
          <w:p w14:paraId="14E6E3EA">
            <w:pPr>
              <w:keepNext w:val="0"/>
              <w:keepLines w:val="0"/>
              <w:suppressLineNumbers w:val="0"/>
              <w:shd w:val="clear" w:color="auto" w:fill="auto"/>
              <w:spacing w:before="0" w:beforeAutospacing="0" w:after="0" w:afterAutospacing="0" w:line="360" w:lineRule="auto"/>
              <w:ind w:left="0" w:right="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lang w:eastAsia="zh-CN"/>
              </w:rPr>
              <w:t>供应商</w:t>
            </w:r>
            <w:r>
              <w:rPr>
                <w:rFonts w:hint="eastAsia" w:ascii="宋体" w:hAnsi="宋体" w:eastAsia="宋体" w:cs="宋体"/>
                <w:color w:val="auto"/>
                <w:sz w:val="24"/>
                <w:szCs w:val="22"/>
                <w:highlight w:val="none"/>
              </w:rPr>
              <w:t>须使用数字认证证书对电子化</w:t>
            </w:r>
            <w:r>
              <w:rPr>
                <w:rFonts w:hint="eastAsia" w:ascii="宋体" w:hAnsi="宋体" w:eastAsia="宋体" w:cs="宋体"/>
                <w:color w:val="auto"/>
                <w:sz w:val="24"/>
                <w:szCs w:val="22"/>
                <w:highlight w:val="none"/>
                <w:lang w:eastAsia="zh-CN"/>
              </w:rPr>
              <w:t>谈判响应文件</w:t>
            </w:r>
            <w:r>
              <w:rPr>
                <w:rFonts w:hint="eastAsia" w:ascii="宋体" w:hAnsi="宋体" w:eastAsia="宋体" w:cs="宋体"/>
                <w:color w:val="auto"/>
                <w:sz w:val="24"/>
                <w:szCs w:val="22"/>
                <w:highlight w:val="none"/>
              </w:rPr>
              <w:t>进行签章、加密、递交及开标时解密等相关招投标事宜。现场递交</w:t>
            </w:r>
            <w:r>
              <w:rPr>
                <w:rFonts w:hint="eastAsia" w:ascii="宋体" w:hAnsi="宋体" w:eastAsia="宋体" w:cs="宋体"/>
                <w:color w:val="auto"/>
                <w:sz w:val="24"/>
                <w:szCs w:val="22"/>
                <w:highlight w:val="none"/>
                <w:lang w:eastAsia="zh-CN"/>
              </w:rPr>
              <w:t>谈判响应文件</w:t>
            </w:r>
            <w:r>
              <w:rPr>
                <w:rFonts w:hint="eastAsia" w:ascii="宋体" w:hAnsi="宋体" w:eastAsia="宋体" w:cs="宋体"/>
                <w:color w:val="auto"/>
                <w:sz w:val="24"/>
                <w:szCs w:val="22"/>
                <w:highlight w:val="none"/>
              </w:rPr>
              <w:t>时务必携带数字认证证书（主锁及上传文件所用的副锁），如因</w:t>
            </w:r>
            <w:r>
              <w:rPr>
                <w:rFonts w:hint="eastAsia" w:ascii="宋体" w:hAnsi="宋体" w:eastAsia="宋体" w:cs="宋体"/>
                <w:color w:val="auto"/>
                <w:sz w:val="24"/>
                <w:szCs w:val="22"/>
                <w:highlight w:val="none"/>
                <w:lang w:eastAsia="zh-CN"/>
              </w:rPr>
              <w:t>供应商</w:t>
            </w:r>
            <w:r>
              <w:rPr>
                <w:rFonts w:hint="eastAsia" w:ascii="宋体" w:hAnsi="宋体" w:eastAsia="宋体" w:cs="宋体"/>
                <w:color w:val="auto"/>
                <w:sz w:val="24"/>
                <w:szCs w:val="22"/>
                <w:highlight w:val="none"/>
              </w:rPr>
              <w:t>自身原因未携带数字认证证书造成无法解密</w:t>
            </w:r>
            <w:r>
              <w:rPr>
                <w:rFonts w:hint="eastAsia" w:ascii="宋体" w:hAnsi="宋体" w:eastAsia="宋体" w:cs="宋体"/>
                <w:color w:val="auto"/>
                <w:sz w:val="24"/>
                <w:szCs w:val="22"/>
                <w:highlight w:val="none"/>
                <w:lang w:eastAsia="zh-CN"/>
              </w:rPr>
              <w:t>谈判响应文件</w:t>
            </w:r>
            <w:r>
              <w:rPr>
                <w:rFonts w:hint="eastAsia" w:ascii="宋体" w:hAnsi="宋体" w:eastAsia="宋体" w:cs="宋体"/>
                <w:color w:val="auto"/>
                <w:sz w:val="24"/>
                <w:szCs w:val="22"/>
                <w:highlight w:val="none"/>
              </w:rPr>
              <w:t>，按无效投标对待。</w:t>
            </w:r>
          </w:p>
          <w:p w14:paraId="17419557">
            <w:pPr>
              <w:keepNext w:val="0"/>
              <w:keepLines w:val="0"/>
              <w:numPr>
                <w:ilvl w:val="0"/>
                <w:numId w:val="0"/>
              </w:numPr>
              <w:suppressLineNumbers w:val="0"/>
              <w:shd w:val="clear" w:color="auto" w:fill="auto"/>
              <w:spacing w:before="0" w:beforeAutospacing="0" w:after="0" w:afterAutospacing="0" w:line="360" w:lineRule="auto"/>
              <w:ind w:left="0" w:right="0"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w:t>
            </w:r>
            <w:r>
              <w:rPr>
                <w:rFonts w:hint="eastAsia" w:ascii="宋体" w:hAnsi="宋体" w:eastAsia="宋体" w:cs="宋体"/>
                <w:color w:val="auto"/>
                <w:sz w:val="24"/>
                <w:szCs w:val="22"/>
                <w:highlight w:val="none"/>
              </w:rPr>
              <w:t>制作电子</w:t>
            </w:r>
            <w:r>
              <w:rPr>
                <w:rFonts w:hint="eastAsia" w:ascii="宋体" w:hAnsi="宋体" w:eastAsia="宋体" w:cs="宋体"/>
                <w:color w:val="auto"/>
                <w:sz w:val="24"/>
                <w:szCs w:val="22"/>
                <w:highlight w:val="none"/>
                <w:lang w:eastAsia="zh-CN"/>
              </w:rPr>
              <w:t>谈判响应文件</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lang w:eastAsia="zh-CN"/>
              </w:rPr>
              <w:t>供应商</w:t>
            </w:r>
            <w:r>
              <w:rPr>
                <w:rFonts w:hint="eastAsia" w:ascii="宋体" w:hAnsi="宋体" w:eastAsia="宋体" w:cs="宋体"/>
                <w:color w:val="auto"/>
                <w:sz w:val="24"/>
                <w:szCs w:val="22"/>
                <w:highlight w:val="none"/>
              </w:rPr>
              <w:t>须在“全国公共资源交易中心平台（陕西省）（http://www.sxggzyjy.cn/）”的“服务指南” 栏目“下载专区”中，免费下载“陕西省公共资源交易平台政府采购电子标书制作工具” 及“政府采购投标单位操作手册”， 并使用该客户端制作电子</w:t>
            </w:r>
            <w:r>
              <w:rPr>
                <w:rFonts w:hint="eastAsia" w:ascii="宋体" w:hAnsi="宋体" w:eastAsia="宋体" w:cs="宋体"/>
                <w:color w:val="auto"/>
                <w:sz w:val="24"/>
                <w:szCs w:val="22"/>
                <w:highlight w:val="none"/>
                <w:lang w:eastAsia="zh-CN"/>
              </w:rPr>
              <w:t>谈判响应文件</w:t>
            </w:r>
            <w:r>
              <w:rPr>
                <w:rFonts w:hint="eastAsia" w:ascii="宋体" w:hAnsi="宋体" w:eastAsia="宋体" w:cs="宋体"/>
                <w:color w:val="auto"/>
                <w:sz w:val="24"/>
                <w:szCs w:val="22"/>
                <w:highlight w:val="none"/>
              </w:rPr>
              <w:t>，制作扩展名为“.SXSTF”的电子</w:t>
            </w:r>
            <w:r>
              <w:rPr>
                <w:rFonts w:hint="eastAsia" w:ascii="宋体" w:hAnsi="宋体" w:eastAsia="宋体" w:cs="宋体"/>
                <w:color w:val="auto"/>
                <w:sz w:val="24"/>
                <w:szCs w:val="22"/>
                <w:highlight w:val="none"/>
                <w:lang w:eastAsia="zh-CN"/>
              </w:rPr>
              <w:t>谈判响应文件</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lang w:val="en-US" w:eastAsia="zh-CN"/>
              </w:rPr>
              <w:t xml:space="preserve"> </w:t>
            </w:r>
          </w:p>
          <w:p w14:paraId="66C26932">
            <w:pPr>
              <w:keepNext w:val="0"/>
              <w:keepLines w:val="0"/>
              <w:numPr>
                <w:ilvl w:val="0"/>
                <w:numId w:val="0"/>
              </w:numPr>
              <w:suppressLineNumbers w:val="0"/>
              <w:shd w:val="clear" w:color="auto" w:fill="auto"/>
              <w:spacing w:before="0" w:beforeAutospacing="0" w:after="0" w:afterAutospacing="0" w:line="360" w:lineRule="auto"/>
              <w:ind w:left="0" w:right="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递交电子</w:t>
            </w:r>
            <w:r>
              <w:rPr>
                <w:rFonts w:hint="eastAsia" w:ascii="宋体" w:hAnsi="宋体" w:eastAsia="宋体" w:cs="宋体"/>
                <w:color w:val="auto"/>
                <w:sz w:val="24"/>
                <w:szCs w:val="22"/>
                <w:highlight w:val="none"/>
                <w:lang w:eastAsia="zh-CN"/>
              </w:rPr>
              <w:t>谈判响应文件</w:t>
            </w:r>
            <w:r>
              <w:rPr>
                <w:rFonts w:hint="eastAsia" w:ascii="宋体" w:hAnsi="宋体" w:eastAsia="宋体" w:cs="宋体"/>
                <w:color w:val="auto"/>
                <w:sz w:val="24"/>
                <w:szCs w:val="22"/>
                <w:highlight w:val="none"/>
              </w:rPr>
              <w:t>。登录陕西省公共资源交易中心平台（http://xxxq.sxggzyjy.cn/），选择“电子交易平台-陕西政府采购交易系统-陕西省公共资源交易平台-供应商”进行登录，登录后选择“交易乙方”身份进入，选择“上传</w:t>
            </w:r>
            <w:r>
              <w:rPr>
                <w:rFonts w:hint="eastAsia" w:ascii="宋体" w:hAnsi="宋体" w:eastAsia="宋体" w:cs="宋体"/>
                <w:color w:val="auto"/>
                <w:sz w:val="24"/>
                <w:szCs w:val="22"/>
                <w:highlight w:val="none"/>
                <w:lang w:eastAsia="zh-CN"/>
              </w:rPr>
              <w:t>谈判响应文件</w:t>
            </w:r>
            <w:r>
              <w:rPr>
                <w:rFonts w:hint="eastAsia" w:ascii="宋体" w:hAnsi="宋体" w:eastAsia="宋体" w:cs="宋体"/>
                <w:color w:val="auto"/>
                <w:sz w:val="24"/>
                <w:szCs w:val="22"/>
                <w:highlight w:val="none"/>
              </w:rPr>
              <w:t>”菜单页面，上传加密的电子化</w:t>
            </w:r>
            <w:r>
              <w:rPr>
                <w:rFonts w:hint="eastAsia" w:ascii="宋体" w:hAnsi="宋体" w:eastAsia="宋体" w:cs="宋体"/>
                <w:color w:val="auto"/>
                <w:sz w:val="24"/>
                <w:szCs w:val="22"/>
                <w:highlight w:val="none"/>
                <w:lang w:eastAsia="zh-CN"/>
              </w:rPr>
              <w:t>谈判响应文件</w:t>
            </w:r>
            <w:r>
              <w:rPr>
                <w:rFonts w:hint="eastAsia" w:ascii="宋体" w:hAnsi="宋体" w:eastAsia="宋体" w:cs="宋体"/>
                <w:color w:val="auto"/>
                <w:sz w:val="24"/>
                <w:szCs w:val="22"/>
                <w:highlight w:val="none"/>
              </w:rPr>
              <w:t>。上传成功后，电子化平台将予以记录。</w:t>
            </w:r>
          </w:p>
          <w:p w14:paraId="10385371">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2"/>
                <w:highlight w:val="none"/>
                <w:lang w:val="en-US" w:eastAsia="zh-CN"/>
              </w:rPr>
              <w:t>4、谈判响应文件中所有涉及签字、盖章的，各投标单位须将所有签字盖章完成后上传。 </w:t>
            </w:r>
          </w:p>
        </w:tc>
      </w:tr>
      <w:tr w14:paraId="2921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noWrap w:val="0"/>
            <w:vAlign w:val="center"/>
          </w:tcPr>
          <w:p w14:paraId="584A34EA">
            <w:pPr>
              <w:keepNext w:val="0"/>
              <w:keepLines w:val="0"/>
              <w:pageBreakBefore w:val="0"/>
              <w:widowControl w:val="0"/>
              <w:numPr>
                <w:ilvl w:val="0"/>
                <w:numId w:val="2"/>
              </w:numPr>
              <w:shd w:val="clear" w:color="auto" w:fill="auto"/>
              <w:kinsoku/>
              <w:wordWrap/>
              <w:overflowPunct/>
              <w:topLinePunct w:val="0"/>
              <w:autoSpaceDE/>
              <w:autoSpaceDN/>
              <w:bidi w:val="0"/>
              <w:adjustRightInd/>
              <w:snapToGrid/>
              <w:spacing w:line="360" w:lineRule="auto"/>
              <w:ind w:left="250" w:leftChars="0" w:hanging="25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8406" w:type="dxa"/>
            <w:noWrap w:val="0"/>
            <w:vAlign w:val="center"/>
          </w:tcPr>
          <w:p w14:paraId="1EF24388">
            <w:pPr>
              <w:keepNext w:val="0"/>
              <w:keepLines w:val="0"/>
              <w:widowControl/>
              <w:numPr>
                <w:ilvl w:val="0"/>
                <w:numId w:val="0"/>
              </w:numPr>
              <w:suppressLineNumbers w:val="0"/>
              <w:spacing w:before="0" w:beforeLines="0" w:beforeAutospacing="0" w:after="0" w:afterLines="0" w:afterAutospacing="0" w:line="360" w:lineRule="auto"/>
              <w:ind w:right="0" w:rightChars="0" w:firstLine="482" w:firstLineChars="200"/>
              <w:jc w:val="left"/>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不见面开标注意事项：</w:t>
            </w:r>
          </w:p>
          <w:p w14:paraId="3633C097">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该项目将采取“不见面”开标的形式，供应商无须到达开标现场，即可在网上直接参与开标活动。相关注意事项如下：</w:t>
            </w:r>
          </w:p>
          <w:p w14:paraId="3E452EF1">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1、开标当日，请各供应商在开标截止时间前至少提前半小时登录“不见面”开标系统登录方式有以下几种：</w:t>
            </w:r>
          </w:p>
          <w:p w14:paraId="715A4735">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1）IE浏览器输入网址：</w:t>
            </w:r>
          </w:p>
          <w:p w14:paraId="62DE0389">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fldChar w:fldCharType="begin"/>
            </w:r>
            <w:r>
              <w:rPr>
                <w:rFonts w:hint="eastAsia" w:ascii="宋体" w:hAnsi="宋体" w:eastAsia="宋体" w:cs="宋体"/>
                <w:kern w:val="0"/>
                <w:sz w:val="24"/>
                <w:szCs w:val="24"/>
                <w:lang w:val="en-US" w:eastAsia="zh-CN" w:bidi="ar-SA"/>
              </w:rPr>
              <w:instrText xml:space="preserve"> HYPERLINK "http://219.145.120.168:8082/BidOpeningHall/bidhall/default/login），" </w:instrText>
            </w:r>
            <w:r>
              <w:rPr>
                <w:rFonts w:hint="eastAsia" w:ascii="宋体" w:hAnsi="宋体" w:eastAsia="宋体" w:cs="宋体"/>
                <w:kern w:val="0"/>
                <w:sz w:val="24"/>
                <w:szCs w:val="24"/>
                <w:lang w:val="en-US" w:eastAsia="zh-CN" w:bidi="ar-SA"/>
              </w:rPr>
              <w:fldChar w:fldCharType="separate"/>
            </w:r>
            <w:r>
              <w:rPr>
                <w:rFonts w:hint="eastAsia" w:ascii="宋体" w:hAnsi="宋体" w:eastAsia="宋体" w:cs="宋体"/>
                <w:kern w:val="0"/>
                <w:sz w:val="24"/>
                <w:szCs w:val="24"/>
                <w:lang w:val="en-US" w:eastAsia="zh-CN" w:bidi="ar-SA"/>
              </w:rPr>
              <w:t>http://111.20.184.126:8081/BidOpeningHallCS/bidhall/default/login；</w:t>
            </w:r>
            <w:r>
              <w:rPr>
                <w:rFonts w:hint="eastAsia" w:ascii="宋体" w:hAnsi="宋体" w:eastAsia="宋体" w:cs="宋体"/>
                <w:kern w:val="0"/>
                <w:sz w:val="24"/>
                <w:szCs w:val="24"/>
                <w:lang w:val="en-US" w:eastAsia="zh-CN" w:bidi="ar-SA"/>
              </w:rPr>
              <w:fldChar w:fldCharType="end"/>
            </w:r>
          </w:p>
          <w:p w14:paraId="2B149C73">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2）在【全国公共资源交易平台（陕西省·榆林市）】网站首页点击不见面开标模块进入；</w:t>
            </w:r>
          </w:p>
          <w:p w14:paraId="498D595C">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3）在【全国公共资源交易平台（陕西省）】网站首页点击不见面开标模块选择榆林市进入。</w:t>
            </w:r>
          </w:p>
          <w:p w14:paraId="1D4743FF">
            <w:pPr>
              <w:keepNext w:val="0"/>
              <w:keepLines w:val="0"/>
              <w:widowControl/>
              <w:numPr>
                <w:ilvl w:val="0"/>
                <w:numId w:val="0"/>
              </w:numPr>
              <w:suppressLineNumbers w:val="0"/>
              <w:spacing w:before="0" w:beforeLines="0" w:beforeAutospacing="0" w:after="0" w:afterLines="0" w:afterAutospacing="0" w:line="360" w:lineRule="auto"/>
              <w:ind w:right="0" w:rightChars="0" w:firstLine="482" w:firstLineChars="200"/>
              <w:jc w:val="left"/>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注：登录不见面开标系统请选择IE11浏览器</w:t>
            </w:r>
          </w:p>
          <w:p w14:paraId="4E2A6E0A">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2、供应商应按要求及时签到（签到时间为投标截止时间前1小时内，如果未签到将视为放弃投标资格），评审过程中，谈判小组成员可能会就某些问题要求供应商进行在线澄清，请供应商保持在线直到评审结束；</w:t>
            </w:r>
          </w:p>
          <w:p w14:paraId="62FC7675">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开标过程中，供应商在收到工作人员“开始解密”指令后，请及时使用CA对电子竞争性谈判响应文件进行解密。解密时所用CA应与加密竞争性谈判响应文件时所用CA相同；注：解密时间为30分钟，在解密时间内供应商全部解密完成后，可提前进入开标下一阶段。</w:t>
            </w:r>
          </w:p>
          <w:p w14:paraId="76F3D76E">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4、相关技术问题，请咨询软件开发商：（1）技术支持热线：400-998-0000/400-928-0095</w:t>
            </w:r>
          </w:p>
          <w:p w14:paraId="152A23B1">
            <w:pPr>
              <w:keepNext w:val="0"/>
              <w:keepLines w:val="0"/>
              <w:widowControl/>
              <w:numPr>
                <w:ilvl w:val="0"/>
                <w:numId w:val="0"/>
              </w:numPr>
              <w:suppressLineNumbers w:val="0"/>
              <w:spacing w:before="0" w:beforeLines="0" w:beforeAutospacing="0" w:after="0" w:afterLines="0" w:afterAutospacing="0" w:line="360" w:lineRule="auto"/>
              <w:ind w:left="0" w:leftChars="0" w:right="0" w:rightChars="0"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5、榆林不见面开标系统操作手册下载方式：登录【全国公共资源交易平台（陕西省·榆林市）】网站首页选择【服务指南】-【下载专区】-点击【</w:t>
            </w:r>
            <w:r>
              <w:rPr>
                <w:rFonts w:hint="eastAsia" w:ascii="宋体" w:hAnsi="宋体" w:eastAsia="宋体" w:cs="宋体"/>
                <w:kern w:val="0"/>
                <w:sz w:val="24"/>
                <w:szCs w:val="24"/>
                <w:lang w:val="en-US" w:eastAsia="zh-CN" w:bidi="ar-SA"/>
              </w:rPr>
              <w:fldChar w:fldCharType="begin"/>
            </w:r>
            <w:r>
              <w:rPr>
                <w:rFonts w:hint="eastAsia" w:ascii="宋体" w:hAnsi="宋体" w:eastAsia="宋体" w:cs="宋体"/>
                <w:kern w:val="0"/>
                <w:sz w:val="24"/>
                <w:szCs w:val="24"/>
                <w:lang w:val="en-US" w:eastAsia="zh-CN" w:bidi="ar-SA"/>
              </w:rPr>
              <w:instrText xml:space="preserve"> HYPERLINK "http://yl.sxggzyjy.cn/BigFileUpLoadStorage/temp/2021-12-10/2583610f-1c5d-49b2-a314-0c1c4faeec6a/%E6%A6%86%E6%9E%97%E4%B8%8D%E8%A7%81%E9%9D%A2%E5%BC%80%E6%A0%87%E5%A4%A7%E5%8E%85%E6%93%8D%E4%BD%9C%E6%89%8B%E5%86%8C%EF%BC%88%E6%8A%95%E6%A0%87%E4%BA%BA%EF%BC%89.docx" \o "榆林不见面开标系统操作手册（投标人）" \t "http://yl.sxggzyjy.cn/fwzn/_blank" </w:instrText>
            </w:r>
            <w:r>
              <w:rPr>
                <w:rFonts w:hint="eastAsia" w:ascii="宋体" w:hAnsi="宋体" w:eastAsia="宋体" w:cs="宋体"/>
                <w:kern w:val="0"/>
                <w:sz w:val="24"/>
                <w:szCs w:val="24"/>
                <w:lang w:val="en-US" w:eastAsia="zh-CN" w:bidi="ar-SA"/>
              </w:rPr>
              <w:fldChar w:fldCharType="separate"/>
            </w:r>
            <w:r>
              <w:rPr>
                <w:rFonts w:hint="eastAsia" w:ascii="宋体" w:hAnsi="宋体" w:eastAsia="宋体" w:cs="宋体"/>
                <w:kern w:val="0"/>
                <w:sz w:val="24"/>
                <w:szCs w:val="24"/>
                <w:lang w:val="en-US" w:eastAsia="zh-CN" w:bidi="ar-SA"/>
              </w:rPr>
              <w:t>榆林不见面开标系统操作手册（供应商）</w:t>
            </w:r>
            <w:r>
              <w:rPr>
                <w:rFonts w:hint="eastAsia" w:ascii="宋体" w:hAnsi="宋体" w:eastAsia="宋体" w:cs="宋体"/>
                <w:kern w:val="0"/>
                <w:sz w:val="24"/>
                <w:szCs w:val="24"/>
                <w:lang w:val="en-US" w:eastAsia="zh-CN" w:bidi="ar-SA"/>
              </w:rPr>
              <w:fldChar w:fldCharType="end"/>
            </w:r>
            <w:r>
              <w:rPr>
                <w:rFonts w:hint="eastAsia" w:ascii="宋体" w:hAnsi="宋体" w:eastAsia="宋体" w:cs="宋体"/>
                <w:kern w:val="0"/>
                <w:sz w:val="24"/>
                <w:szCs w:val="24"/>
                <w:lang w:val="en-US" w:eastAsia="zh-CN" w:bidi="ar-SA"/>
              </w:rPr>
              <w:t>】进行下载。</w:t>
            </w:r>
          </w:p>
        </w:tc>
      </w:tr>
      <w:tr w14:paraId="1BA50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noWrap w:val="0"/>
            <w:vAlign w:val="center"/>
          </w:tcPr>
          <w:p w14:paraId="10FA50B6">
            <w:pPr>
              <w:keepNext w:val="0"/>
              <w:keepLines w:val="0"/>
              <w:pageBreakBefore w:val="0"/>
              <w:widowControl w:val="0"/>
              <w:numPr>
                <w:ilvl w:val="0"/>
                <w:numId w:val="2"/>
              </w:numPr>
              <w:shd w:val="clear" w:color="auto" w:fill="auto"/>
              <w:kinsoku/>
              <w:wordWrap/>
              <w:overflowPunct/>
              <w:topLinePunct w:val="0"/>
              <w:autoSpaceDE/>
              <w:autoSpaceDN/>
              <w:bidi w:val="0"/>
              <w:adjustRightInd/>
              <w:snapToGrid/>
              <w:spacing w:line="360" w:lineRule="auto"/>
              <w:ind w:left="250" w:leftChars="0" w:hanging="25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8406" w:type="dxa"/>
            <w:noWrap w:val="0"/>
            <w:vAlign w:val="center"/>
          </w:tcPr>
          <w:p w14:paraId="41074A94">
            <w:pPr>
              <w:keepNext w:val="0"/>
              <w:keepLines w:val="0"/>
              <w:widowControl/>
              <w:numPr>
                <w:ilvl w:val="0"/>
                <w:numId w:val="0"/>
              </w:numPr>
              <w:suppressLineNumbers w:val="0"/>
              <w:spacing w:before="0" w:beforeLines="0" w:beforeAutospacing="0" w:after="0" w:afterLines="0" w:afterAutospacing="0" w:line="360" w:lineRule="auto"/>
              <w:ind w:right="0" w:right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关于中小企业执行的优惠政策说明：</w:t>
            </w:r>
          </w:p>
          <w:p w14:paraId="1C3E87E5">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sym w:font="Wingdings" w:char="00FE"/>
            </w:r>
            <w:r>
              <w:rPr>
                <w:rFonts w:hint="eastAsia" w:ascii="宋体" w:hAnsi="宋体" w:eastAsia="宋体" w:cs="宋体"/>
                <w:kern w:val="0"/>
                <w:sz w:val="24"/>
                <w:szCs w:val="24"/>
                <w:lang w:val="en-US" w:eastAsia="zh-CN" w:bidi="ar-SA"/>
              </w:rPr>
              <w:t>专门面向中小企业采购项目</w:t>
            </w:r>
          </w:p>
          <w:p w14:paraId="2356A276">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供应商应为中型企业或小型、微型企业/监狱企业/残疾人福利性单位。供应商为中型、小型、微型企业的，提供《中小企业声明函》，且中小企业的划分标准所属行业为</w:t>
            </w:r>
            <w:r>
              <w:rPr>
                <w:rFonts w:hint="eastAsia" w:ascii="宋体" w:hAnsi="宋体" w:eastAsia="宋体" w:cs="宋体"/>
                <w:b w:val="0"/>
                <w:bCs w:val="0"/>
                <w:color w:val="auto"/>
                <w:sz w:val="24"/>
                <w:szCs w:val="24"/>
                <w:highlight w:val="none"/>
                <w:lang w:eastAsia="zh-CN"/>
              </w:rPr>
              <w:t>其他未列明行业</w:t>
            </w:r>
            <w:r>
              <w:rPr>
                <w:rFonts w:hint="eastAsia" w:ascii="宋体" w:hAnsi="宋体" w:eastAsia="宋体" w:cs="宋体"/>
                <w:kern w:val="0"/>
                <w:sz w:val="24"/>
                <w:szCs w:val="24"/>
                <w:lang w:val="en-US" w:eastAsia="zh-CN" w:bidi="ar-SA"/>
              </w:rPr>
              <w:t>；供应商为监狱企业的，应提供监狱企业的证明文件；供应商为残疾人福利性单位的，应提供《残疾人福利性单位声明函》。监狱企业/残疾人福利性单位均视同小型、微型企业。</w:t>
            </w:r>
          </w:p>
          <w:p w14:paraId="0C93BDF6">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sym w:font="Wingdings" w:char="00A8"/>
            </w:r>
            <w:r>
              <w:rPr>
                <w:rFonts w:hint="eastAsia" w:ascii="宋体" w:hAnsi="宋体" w:eastAsia="宋体" w:cs="宋体"/>
                <w:kern w:val="0"/>
                <w:sz w:val="24"/>
                <w:szCs w:val="24"/>
                <w:lang w:val="en-US" w:eastAsia="zh-CN" w:bidi="ar-SA"/>
              </w:rPr>
              <w:t>非专门面向中小企业采购项目</w:t>
            </w:r>
          </w:p>
          <w:p w14:paraId="702F3361">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供应商属于中型、小型、微型企业的应提供《中小企业声明函》，且中小企业的划分标准所属行业为其他未列明行业；供应商为监狱企业的，应提供监狱企业的证明文件；供应商为残疾人福利性单位的，应提供《残疾人福利性单位声明函》。监狱企业/残疾人福利性单位均视同小型、微型企业。对小型、微型企业的价格执行评审优惠如下：</w:t>
            </w:r>
          </w:p>
          <w:p w14:paraId="0D3B03C8">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1.对被认定为小型/微型企业供应商的投标报价给与20%的扣除，用扣除后的价格参与评审。</w:t>
            </w:r>
          </w:p>
          <w:p w14:paraId="5BE5C7C0">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2.若本项目接受联合体投标的，联合协议或者分包意向协议约定小微企业的合同份额占到合同总金额30%以上的，则投标报价按6%扣除，用扣除后的价格参与评审。</w:t>
            </w:r>
          </w:p>
        </w:tc>
      </w:tr>
      <w:tr w14:paraId="7838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954" w:type="dxa"/>
            <w:noWrap w:val="0"/>
            <w:vAlign w:val="center"/>
          </w:tcPr>
          <w:p w14:paraId="6A233DE8">
            <w:pPr>
              <w:keepNext w:val="0"/>
              <w:keepLines w:val="0"/>
              <w:pageBreakBefore w:val="0"/>
              <w:widowControl w:val="0"/>
              <w:numPr>
                <w:ilvl w:val="0"/>
                <w:numId w:val="2"/>
              </w:numPr>
              <w:shd w:val="clear" w:color="auto" w:fill="auto"/>
              <w:kinsoku/>
              <w:wordWrap/>
              <w:overflowPunct/>
              <w:topLinePunct w:val="0"/>
              <w:autoSpaceDE/>
              <w:autoSpaceDN/>
              <w:bidi w:val="0"/>
              <w:adjustRightInd/>
              <w:snapToGrid/>
              <w:spacing w:line="360" w:lineRule="auto"/>
              <w:ind w:left="250" w:leftChars="0" w:hanging="25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8406" w:type="dxa"/>
            <w:noWrap w:val="0"/>
            <w:vAlign w:val="center"/>
          </w:tcPr>
          <w:p w14:paraId="5337848C">
            <w:pPr>
              <w:keepNext w:val="0"/>
              <w:keepLines w:val="0"/>
              <w:widowControl/>
              <w:numPr>
                <w:ilvl w:val="0"/>
                <w:numId w:val="0"/>
              </w:numPr>
              <w:suppressLineNumbers w:val="0"/>
              <w:spacing w:before="0" w:beforeLines="0" w:beforeAutospacing="0" w:after="0" w:afterLines="0" w:afterAutospacing="0" w:line="360" w:lineRule="auto"/>
              <w:ind w:right="0" w:rightChars="0"/>
              <w:jc w:val="left"/>
              <w:rPr>
                <w:rFonts w:hint="eastAsia" w:ascii="宋体" w:hAnsi="宋体" w:eastAsia="宋体" w:cs="宋体"/>
                <w:sz w:val="21"/>
                <w:szCs w:val="21"/>
                <w:lang w:val="en-US" w:eastAsia="zh-CN"/>
              </w:rPr>
            </w:pPr>
            <w:r>
              <w:rPr>
                <w:rFonts w:hint="eastAsia" w:ascii="宋体" w:hAnsi="宋体" w:eastAsia="宋体" w:cs="宋体"/>
                <w:kern w:val="0"/>
                <w:sz w:val="24"/>
                <w:szCs w:val="24"/>
                <w:lang w:val="en-US" w:eastAsia="zh-CN" w:bidi="ar-SA"/>
              </w:rPr>
              <w:t>标的所属行业：其他未列明行业</w:t>
            </w:r>
          </w:p>
        </w:tc>
      </w:tr>
    </w:tbl>
    <w:p w14:paraId="7A9B3F8F">
      <w:pPr>
        <w:pStyle w:val="4"/>
      </w:pPr>
    </w:p>
    <w:p w14:paraId="5729995A">
      <w:pPr>
        <w:sectPr>
          <w:footerReference r:id="rId8" w:type="default"/>
          <w:pgSz w:w="11906" w:h="16839"/>
          <w:pgMar w:top="1431" w:right="1312" w:bottom="1152" w:left="1005" w:header="0" w:footer="987" w:gutter="0"/>
          <w:pgNumType w:fmt="decimal"/>
          <w:cols w:space="720" w:num="1"/>
        </w:sectPr>
      </w:pPr>
    </w:p>
    <w:p w14:paraId="39F99C7F">
      <w:pPr>
        <w:spacing w:before="139" w:line="224" w:lineRule="auto"/>
        <w:ind w:left="2823"/>
        <w:outlineLvl w:val="0"/>
        <w:rPr>
          <w:rFonts w:ascii="宋体" w:hAnsi="宋体" w:eastAsia="宋体" w:cs="宋体"/>
          <w:sz w:val="35"/>
          <w:szCs w:val="35"/>
        </w:rPr>
      </w:pPr>
      <w:bookmarkStart w:id="4" w:name="_Toc22462"/>
      <w:bookmarkStart w:id="5" w:name="_Toc7954"/>
      <w:bookmarkStart w:id="6" w:name="_Toc23608"/>
      <w:r>
        <w:rPr>
          <w:rFonts w:ascii="宋体" w:hAnsi="宋体" w:eastAsia="宋体" w:cs="宋体"/>
          <w:b/>
          <w:bCs/>
          <w:spacing w:val="5"/>
          <w:sz w:val="35"/>
          <w:szCs w:val="35"/>
        </w:rPr>
        <w:t>第三部分</w:t>
      </w:r>
      <w:r>
        <w:rPr>
          <w:rFonts w:ascii="宋体" w:hAnsi="宋体" w:eastAsia="宋体" w:cs="宋体"/>
          <w:spacing w:val="5"/>
          <w:sz w:val="35"/>
          <w:szCs w:val="35"/>
        </w:rPr>
        <w:t xml:space="preserve">  </w:t>
      </w:r>
      <w:r>
        <w:rPr>
          <w:rFonts w:ascii="宋体" w:hAnsi="宋体" w:eastAsia="宋体" w:cs="宋体"/>
          <w:b/>
          <w:bCs/>
          <w:spacing w:val="5"/>
          <w:sz w:val="35"/>
          <w:szCs w:val="35"/>
        </w:rPr>
        <w:t>供应商须知</w:t>
      </w:r>
      <w:bookmarkEnd w:id="4"/>
      <w:bookmarkEnd w:id="5"/>
      <w:bookmarkEnd w:id="6"/>
    </w:p>
    <w:p w14:paraId="4C3DB132">
      <w:pPr>
        <w:keepNext/>
        <w:keepLines/>
        <w:pageBreakBefore w:val="0"/>
        <w:widowControl w:val="0"/>
        <w:kinsoku/>
        <w:wordWrap/>
        <w:overflowPunct/>
        <w:topLinePunct w:val="0"/>
        <w:autoSpaceDE/>
        <w:autoSpaceDN/>
        <w:bidi w:val="0"/>
        <w:adjustRightInd w:val="0"/>
        <w:snapToGrid w:val="0"/>
        <w:spacing w:line="360" w:lineRule="auto"/>
        <w:ind w:firstLine="560" w:firstLineChars="200"/>
        <w:jc w:val="center"/>
        <w:textAlignment w:val="auto"/>
        <w:outlineLvl w:val="9"/>
        <w:rPr>
          <w:rFonts w:hint="eastAsia" w:ascii="宋体" w:hAnsi="宋体" w:eastAsia="宋体" w:cs="宋体"/>
          <w:sz w:val="28"/>
          <w:szCs w:val="28"/>
        </w:rPr>
      </w:pPr>
      <w:r>
        <w:rPr>
          <w:rFonts w:hint="eastAsia" w:ascii="宋体" w:hAnsi="宋体" w:eastAsia="宋体" w:cs="宋体"/>
          <w:sz w:val="28"/>
          <w:szCs w:val="28"/>
        </w:rPr>
        <w:t>一.总  则</w:t>
      </w:r>
    </w:p>
    <w:p w14:paraId="023A0EF5">
      <w:pPr>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1.资金来源</w:t>
      </w:r>
    </w:p>
    <w:p w14:paraId="35A24B8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1.1本次竞争性谈判采购所签合同使用财政性资金支付，资金已落实到位。</w:t>
      </w:r>
    </w:p>
    <w:p w14:paraId="6AC8519B">
      <w:pPr>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rPr>
        <w:t>2.谈判组织机构及合格的</w:t>
      </w:r>
      <w:r>
        <w:rPr>
          <w:rFonts w:hint="eastAsia" w:ascii="宋体" w:hAnsi="宋体" w:eastAsia="宋体" w:cs="宋体"/>
          <w:b/>
          <w:sz w:val="24"/>
          <w:szCs w:val="24"/>
          <w:lang w:eastAsia="zh-CN"/>
        </w:rPr>
        <w:t>供应商</w:t>
      </w:r>
    </w:p>
    <w:p w14:paraId="1D629DF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 谈判组织机构</w:t>
      </w:r>
    </w:p>
    <w:p w14:paraId="2A998B6E">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FF0000"/>
          <w:sz w:val="24"/>
          <w:szCs w:val="24"/>
        </w:rPr>
      </w:pPr>
      <w:r>
        <w:rPr>
          <w:rFonts w:hint="eastAsia" w:ascii="宋体" w:hAnsi="宋体" w:eastAsia="宋体" w:cs="宋体"/>
          <w:sz w:val="24"/>
          <w:szCs w:val="24"/>
        </w:rPr>
        <w:t>实施本次竞争性谈判的采购代理机构为</w:t>
      </w:r>
      <w:r>
        <w:rPr>
          <w:rFonts w:hint="eastAsia" w:ascii="宋体" w:hAnsi="宋体" w:eastAsia="宋体" w:cs="宋体"/>
          <w:sz w:val="24"/>
          <w:szCs w:val="24"/>
          <w:lang w:eastAsia="zh-CN"/>
        </w:rPr>
        <w:t>陕西盛誉恒正项目管理有限公司</w:t>
      </w:r>
      <w:r>
        <w:rPr>
          <w:rFonts w:hint="eastAsia" w:ascii="宋体" w:hAnsi="宋体" w:eastAsia="宋体" w:cs="宋体"/>
          <w:sz w:val="24"/>
          <w:szCs w:val="24"/>
        </w:rPr>
        <w:t>。</w:t>
      </w:r>
    </w:p>
    <w:p w14:paraId="1640E81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2.2合格的</w:t>
      </w:r>
      <w:r>
        <w:rPr>
          <w:rFonts w:hint="eastAsia" w:ascii="宋体" w:hAnsi="宋体" w:eastAsia="宋体" w:cs="宋体"/>
          <w:sz w:val="24"/>
          <w:szCs w:val="24"/>
          <w:lang w:eastAsia="zh-CN"/>
        </w:rPr>
        <w:t>供应商</w:t>
      </w:r>
      <w:r>
        <w:rPr>
          <w:rFonts w:hint="eastAsia" w:ascii="宋体" w:hAnsi="宋体" w:eastAsia="宋体" w:cs="宋体"/>
          <w:sz w:val="24"/>
          <w:szCs w:val="24"/>
        </w:rPr>
        <w:t>：</w:t>
      </w:r>
    </w:p>
    <w:p w14:paraId="3BD8075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rPr>
        <w:t>2.2.1</w:t>
      </w:r>
      <w:r>
        <w:rPr>
          <w:rFonts w:hint="eastAsia" w:ascii="宋体" w:hAnsi="宋体" w:eastAsia="宋体" w:cs="宋体"/>
          <w:i w:val="0"/>
          <w:iCs w:val="0"/>
          <w:caps w:val="0"/>
          <w:color w:val="auto"/>
          <w:spacing w:val="0"/>
          <w:kern w:val="0"/>
          <w:sz w:val="24"/>
          <w:szCs w:val="24"/>
          <w:shd w:val="clear" w:color="auto" w:fill="FFFFFF"/>
          <w:lang w:val="en-US" w:eastAsia="zh-CN" w:bidi="ar-SA"/>
        </w:rPr>
        <w:t>具备下列条件，方为合格的供应商</w:t>
      </w:r>
    </w:p>
    <w:p w14:paraId="098AD86F">
      <w:pPr>
        <w:numPr>
          <w:ilvl w:val="0"/>
          <w:numId w:val="3"/>
        </w:numPr>
        <w:spacing w:before="184" w:line="36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供应商为具有独立承担民事责任能力的法人、事业法人、 其他组织或自然人。企业法人应提供合法有效的标识有统一社会 信用代码的营业执照；事业法人应提供事业单位法人证书；其他组织应提供合法登记证明文件；自然人应提供身份证；</w:t>
      </w:r>
      <w:r>
        <w:rPr>
          <w:rFonts w:hint="eastAsia" w:ascii="宋体" w:hAnsi="宋体" w:eastAsia="宋体" w:cs="宋体"/>
          <w:spacing w:val="10"/>
          <w:sz w:val="24"/>
          <w:szCs w:val="24"/>
          <w:lang w:eastAsia="zh-CN"/>
        </w:rPr>
        <w:br w:type="textWrapping"/>
      </w:r>
      <w:r>
        <w:rPr>
          <w:rFonts w:hint="eastAsia" w:ascii="宋体" w:hAnsi="宋体" w:eastAsia="宋体" w:cs="宋体"/>
          <w:spacing w:val="10"/>
          <w:sz w:val="24"/>
          <w:szCs w:val="24"/>
          <w:lang w:eastAsia="zh-CN"/>
        </w:rPr>
        <w:t>（2）参加政府采购活动前 3 年内经营活动中没有重大违法记录声明书；投标时限内“信用中国”(www.creditchina.gov.cn)网站生成的带水印信用报告，供应商不得为“信用中国 ”网站 （www.creditchina.gov.cn）中列入重大税收违法失信主体、政府采购严重违法失信行为记录名单 ，不得为中国政府采购网 （www.ccgp.gov.cn）政府采购严重违法失信行为记录名单中被财政部门禁止参加政府采购活动的供应商（提供查询结果网页截 图并加盖供应商公章）；同时提供榆林市政府采购货物类项目供应商信用承诺书。</w:t>
      </w:r>
      <w:r>
        <w:rPr>
          <w:rFonts w:hint="eastAsia" w:ascii="宋体" w:hAnsi="宋体" w:eastAsia="宋体" w:cs="宋体"/>
          <w:spacing w:val="10"/>
          <w:sz w:val="24"/>
          <w:szCs w:val="24"/>
          <w:lang w:eastAsia="zh-CN"/>
        </w:rPr>
        <w:br w:type="textWrapping"/>
      </w:r>
      <w:r>
        <w:rPr>
          <w:rFonts w:hint="eastAsia" w:ascii="宋体" w:hAnsi="宋体" w:eastAsia="宋体" w:cs="宋体"/>
          <w:spacing w:val="10"/>
          <w:sz w:val="24"/>
          <w:szCs w:val="24"/>
          <w:lang w:eastAsia="zh-CN"/>
        </w:rPr>
        <w:t>（3）财务状况报告：经会计事务所或审计机构出具的 2025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r>
        <w:rPr>
          <w:rFonts w:hint="eastAsia" w:ascii="宋体" w:hAnsi="宋体" w:eastAsia="宋体" w:cs="宋体"/>
          <w:spacing w:val="10"/>
          <w:sz w:val="24"/>
          <w:szCs w:val="24"/>
          <w:lang w:eastAsia="zh-CN"/>
        </w:rPr>
        <w:br w:type="textWrapping"/>
      </w:r>
      <w:r>
        <w:rPr>
          <w:rFonts w:hint="eastAsia" w:ascii="宋体" w:hAnsi="宋体" w:eastAsia="宋体" w:cs="宋体"/>
          <w:spacing w:val="10"/>
          <w:sz w:val="24"/>
          <w:szCs w:val="24"/>
          <w:lang w:eastAsia="zh-CN"/>
        </w:rPr>
        <w:t>（4）税收缴纳证明：提供 2025 年 1 月 至投标截止时间止任意一个月完税证明，完税证明上应有税务机关的公章（加盖公章复印件）；依法免税的供应商应提供相关文件证明；</w:t>
      </w:r>
      <w:r>
        <w:rPr>
          <w:rFonts w:hint="eastAsia" w:ascii="宋体" w:hAnsi="宋体" w:eastAsia="宋体" w:cs="宋体"/>
          <w:spacing w:val="10"/>
          <w:sz w:val="24"/>
          <w:szCs w:val="24"/>
          <w:lang w:eastAsia="zh-CN"/>
        </w:rPr>
        <w:br w:type="textWrapping"/>
      </w:r>
      <w:r>
        <w:rPr>
          <w:rFonts w:hint="eastAsia" w:ascii="宋体" w:hAnsi="宋体" w:eastAsia="宋体" w:cs="宋体"/>
          <w:spacing w:val="10"/>
          <w:sz w:val="24"/>
          <w:szCs w:val="24"/>
          <w:lang w:eastAsia="zh-CN"/>
        </w:rPr>
        <w:t>（5）社会保障资金缴纳证明：提供 2025 年1 月至投标截止时间止任意一个月的社会保障资金缴存单据或社保机构开具的社会保险参保缴费情况证明；依法不需要缴纳社会保障资金的应提供相关文件证明；</w:t>
      </w:r>
      <w:r>
        <w:rPr>
          <w:rFonts w:hint="eastAsia" w:ascii="宋体" w:hAnsi="宋体" w:eastAsia="宋体" w:cs="宋体"/>
          <w:spacing w:val="10"/>
          <w:sz w:val="24"/>
          <w:szCs w:val="24"/>
          <w:lang w:eastAsia="zh-CN"/>
        </w:rPr>
        <w:br w:type="textWrapping"/>
      </w:r>
      <w:r>
        <w:rPr>
          <w:rFonts w:hint="eastAsia" w:ascii="宋体" w:hAnsi="宋体" w:eastAsia="宋体" w:cs="宋体"/>
          <w:spacing w:val="10"/>
          <w:sz w:val="24"/>
          <w:szCs w:val="24"/>
          <w:lang w:eastAsia="zh-CN"/>
        </w:rPr>
        <w:t>（6）提供具有履行合同所必需的设备和专业技术能力的证明资料或承诺书；</w:t>
      </w:r>
      <w:r>
        <w:rPr>
          <w:rFonts w:hint="eastAsia" w:ascii="宋体" w:hAnsi="宋体" w:eastAsia="宋体" w:cs="宋体"/>
          <w:spacing w:val="10"/>
          <w:sz w:val="24"/>
          <w:szCs w:val="24"/>
          <w:lang w:eastAsia="zh-CN"/>
        </w:rPr>
        <w:br w:type="textWrapping"/>
      </w:r>
      <w:r>
        <w:rPr>
          <w:rFonts w:hint="eastAsia" w:ascii="宋体" w:hAnsi="宋体" w:eastAsia="宋体" w:cs="宋体"/>
          <w:spacing w:val="10"/>
          <w:sz w:val="24"/>
          <w:szCs w:val="24"/>
          <w:lang w:eastAsia="zh-CN"/>
        </w:rPr>
        <w:t>（7）本项目以“投标信用承诺书 ”代替投标保证金；</w:t>
      </w:r>
      <w:r>
        <w:rPr>
          <w:rFonts w:hint="eastAsia" w:ascii="宋体" w:hAnsi="宋体" w:eastAsia="宋体" w:cs="宋体"/>
          <w:spacing w:val="10"/>
          <w:sz w:val="24"/>
          <w:szCs w:val="24"/>
          <w:lang w:eastAsia="zh-CN"/>
        </w:rPr>
        <w:br w:type="textWrapping"/>
      </w:r>
      <w:r>
        <w:rPr>
          <w:rFonts w:hint="eastAsia" w:ascii="宋体" w:hAnsi="宋体" w:eastAsia="宋体" w:cs="宋体"/>
          <w:spacing w:val="10"/>
          <w:sz w:val="24"/>
          <w:szCs w:val="24"/>
          <w:lang w:eastAsia="zh-CN"/>
        </w:rPr>
        <w:t>（8）本项目不接受联合体投标，单位负责人为同一人或者存在直接控股、管理关系的不同供应商，不得参加同一合同项下的政府采购活动；</w:t>
      </w:r>
      <w:r>
        <w:rPr>
          <w:rFonts w:hint="eastAsia" w:ascii="宋体" w:hAnsi="宋体" w:eastAsia="宋体" w:cs="宋体"/>
          <w:spacing w:val="10"/>
          <w:sz w:val="24"/>
          <w:szCs w:val="24"/>
          <w:lang w:eastAsia="zh-CN"/>
        </w:rPr>
        <w:br w:type="textWrapping"/>
      </w:r>
      <w:r>
        <w:rPr>
          <w:rFonts w:hint="eastAsia" w:ascii="宋体" w:hAnsi="宋体" w:eastAsia="宋体" w:cs="宋体"/>
          <w:spacing w:val="10"/>
          <w:sz w:val="24"/>
          <w:szCs w:val="24"/>
          <w:lang w:eastAsia="zh-CN"/>
        </w:rPr>
        <w:t>（9）本项目专门面向中小企业采购，供应商须提供货物类中小企业声明函。</w:t>
      </w:r>
    </w:p>
    <w:p w14:paraId="562778C3">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2.2.2 供应商应参照《中华人民共和国政府采购法》及其它有关的中国法律和法规。</w:t>
      </w:r>
    </w:p>
    <w:p w14:paraId="60E18F6F">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2.2.3</w:t>
      </w:r>
      <w:r>
        <w:rPr>
          <w:rFonts w:hint="eastAsia" w:ascii="宋体" w:hAnsi="宋体" w:eastAsia="宋体" w:cs="宋体"/>
          <w:bCs/>
          <w:color w:val="auto"/>
          <w:sz w:val="24"/>
          <w:szCs w:val="24"/>
          <w:lang w:bidi="ar"/>
        </w:rPr>
        <w:t xml:space="preserve"> 只有在法律上和财务上独立，合法运作，并独立于采购代理机构和采购人的供货人才能参加投标。</w:t>
      </w:r>
    </w:p>
    <w:p w14:paraId="3E8469E0">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2.2.4</w:t>
      </w:r>
      <w:r>
        <w:rPr>
          <w:rFonts w:hint="eastAsia" w:ascii="宋体" w:hAnsi="宋体" w:eastAsia="宋体" w:cs="宋体"/>
          <w:bCs/>
          <w:color w:val="auto"/>
          <w:sz w:val="24"/>
          <w:szCs w:val="24"/>
          <w:lang w:eastAsia="zh-CN" w:bidi="ar"/>
        </w:rPr>
        <w:t>供应商</w:t>
      </w:r>
      <w:r>
        <w:rPr>
          <w:rFonts w:hint="eastAsia" w:ascii="宋体" w:hAnsi="宋体" w:eastAsia="宋体" w:cs="宋体"/>
          <w:bCs/>
          <w:color w:val="auto"/>
          <w:sz w:val="24"/>
          <w:szCs w:val="24"/>
          <w:lang w:bidi="ar"/>
        </w:rPr>
        <w:t>之间如果存在下列情形之一的，不得同时参加本项目投标：</w:t>
      </w:r>
    </w:p>
    <w:p w14:paraId="30A0781F">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2.2.4.1</w:t>
      </w:r>
      <w:r>
        <w:rPr>
          <w:rFonts w:hint="eastAsia" w:ascii="宋体" w:hAnsi="宋体" w:eastAsia="宋体" w:cs="宋体"/>
          <w:bCs/>
          <w:color w:val="auto"/>
          <w:sz w:val="24"/>
          <w:szCs w:val="24"/>
          <w:lang w:bidi="ar"/>
        </w:rPr>
        <w:t xml:space="preserve"> 法定代表人为同一个人的两个及两个以上法人；</w:t>
      </w:r>
    </w:p>
    <w:p w14:paraId="0F7756B4">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2.2.4.</w:t>
      </w:r>
      <w:r>
        <w:rPr>
          <w:rFonts w:hint="eastAsia" w:ascii="宋体" w:hAnsi="宋体" w:eastAsia="宋体" w:cs="宋体"/>
          <w:bCs/>
          <w:color w:val="auto"/>
          <w:sz w:val="24"/>
          <w:szCs w:val="24"/>
          <w:lang w:bidi="ar"/>
        </w:rPr>
        <w:t>2 母公司、全资子公司及其控股公司；</w:t>
      </w:r>
    </w:p>
    <w:p w14:paraId="76BF8B65">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2.2.4.</w:t>
      </w:r>
      <w:r>
        <w:rPr>
          <w:rFonts w:hint="eastAsia" w:ascii="宋体" w:hAnsi="宋体" w:eastAsia="宋体" w:cs="宋体"/>
          <w:bCs/>
          <w:color w:val="auto"/>
          <w:sz w:val="24"/>
          <w:szCs w:val="24"/>
          <w:lang w:bidi="ar"/>
        </w:rPr>
        <w:t>3 参加投标的其他组织之间存在特殊的利害关系的；</w:t>
      </w:r>
    </w:p>
    <w:p w14:paraId="237E9DA6">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2.2.4.</w:t>
      </w:r>
      <w:r>
        <w:rPr>
          <w:rFonts w:hint="eastAsia" w:ascii="宋体" w:hAnsi="宋体" w:eastAsia="宋体" w:cs="宋体"/>
          <w:bCs/>
          <w:color w:val="auto"/>
          <w:sz w:val="24"/>
          <w:szCs w:val="24"/>
          <w:lang w:bidi="ar"/>
        </w:rPr>
        <w:t>4 法律和行政法规规定的其他情形。</w:t>
      </w:r>
    </w:p>
    <w:p w14:paraId="425D0350">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2.</w:t>
      </w:r>
      <w:r>
        <w:rPr>
          <w:rFonts w:hint="eastAsia" w:ascii="宋体" w:hAnsi="宋体" w:eastAsia="宋体" w:cs="宋体"/>
          <w:bCs/>
          <w:color w:val="auto"/>
          <w:sz w:val="24"/>
          <w:szCs w:val="24"/>
          <w:lang w:val="en-US" w:eastAsia="zh-CN" w:bidi="ar"/>
        </w:rPr>
        <w:t>3</w:t>
      </w:r>
      <w:r>
        <w:rPr>
          <w:rFonts w:hint="eastAsia" w:ascii="宋体" w:hAnsi="宋体" w:eastAsia="宋体" w:cs="宋体"/>
          <w:bCs/>
          <w:color w:val="auto"/>
          <w:sz w:val="24"/>
          <w:szCs w:val="24"/>
          <w:lang w:eastAsia="zh-CN" w:bidi="ar"/>
        </w:rPr>
        <w:t>供应商</w:t>
      </w:r>
      <w:r>
        <w:rPr>
          <w:rFonts w:hint="eastAsia" w:ascii="宋体" w:hAnsi="宋体" w:eastAsia="宋体" w:cs="宋体"/>
          <w:bCs/>
          <w:color w:val="auto"/>
          <w:sz w:val="24"/>
          <w:szCs w:val="24"/>
          <w:lang w:bidi="ar"/>
        </w:rPr>
        <w:t>不得直接或间接地与采购单位（包括</w:t>
      </w:r>
      <w:r>
        <w:rPr>
          <w:rFonts w:hint="eastAsia" w:ascii="宋体" w:hAnsi="宋体" w:eastAsia="宋体" w:cs="宋体"/>
          <w:bCs/>
          <w:color w:val="auto"/>
          <w:sz w:val="24"/>
          <w:szCs w:val="24"/>
          <w:lang w:eastAsia="zh-CN" w:bidi="ar"/>
        </w:rPr>
        <w:t>陕西盛誉恒正项目管理有限公司</w:t>
      </w:r>
      <w:r>
        <w:rPr>
          <w:rFonts w:hint="eastAsia" w:ascii="宋体" w:hAnsi="宋体" w:eastAsia="宋体" w:cs="宋体"/>
          <w:bCs/>
          <w:color w:val="auto"/>
          <w:sz w:val="24"/>
          <w:szCs w:val="24"/>
          <w:lang w:bidi="ar"/>
        </w:rPr>
        <w:t>及采购人）有任何关联，亦不得是采购单位的附属机构。如果</w:t>
      </w:r>
      <w:r>
        <w:rPr>
          <w:rFonts w:hint="eastAsia" w:ascii="宋体" w:hAnsi="宋体" w:eastAsia="宋体" w:cs="宋体"/>
          <w:bCs/>
          <w:color w:val="auto"/>
          <w:sz w:val="24"/>
          <w:szCs w:val="24"/>
          <w:lang w:eastAsia="zh-CN" w:bidi="ar"/>
        </w:rPr>
        <w:t>供应商</w:t>
      </w:r>
      <w:r>
        <w:rPr>
          <w:rFonts w:hint="eastAsia" w:ascii="宋体" w:hAnsi="宋体" w:eastAsia="宋体" w:cs="宋体"/>
          <w:bCs/>
          <w:color w:val="auto"/>
          <w:sz w:val="24"/>
          <w:szCs w:val="24"/>
          <w:lang w:bidi="ar"/>
        </w:rPr>
        <w:t>在投标中隐瞒了上述关系，一经证实，则该投标无效。</w:t>
      </w:r>
    </w:p>
    <w:p w14:paraId="2F720C47">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2.4</w:t>
      </w:r>
      <w:r>
        <w:rPr>
          <w:rFonts w:hint="eastAsia" w:ascii="宋体" w:hAnsi="宋体" w:eastAsia="宋体" w:cs="宋体"/>
          <w:bCs/>
          <w:color w:val="auto"/>
          <w:sz w:val="24"/>
          <w:szCs w:val="24"/>
          <w:lang w:eastAsia="zh-CN" w:bidi="ar"/>
        </w:rPr>
        <w:t>供应商</w:t>
      </w:r>
      <w:r>
        <w:rPr>
          <w:rFonts w:hint="eastAsia" w:ascii="宋体" w:hAnsi="宋体" w:eastAsia="宋体" w:cs="宋体"/>
          <w:bCs/>
          <w:color w:val="auto"/>
          <w:sz w:val="24"/>
          <w:szCs w:val="24"/>
          <w:lang w:bidi="ar"/>
        </w:rPr>
        <w:t>必须在</w:t>
      </w:r>
      <w:r>
        <w:rPr>
          <w:rFonts w:hint="eastAsia" w:ascii="宋体" w:hAnsi="宋体" w:eastAsia="宋体" w:cs="宋体"/>
          <w:bCs/>
          <w:color w:val="auto"/>
          <w:sz w:val="24"/>
          <w:szCs w:val="24"/>
          <w:lang w:eastAsia="zh-CN" w:bidi="ar"/>
        </w:rPr>
        <w:t>陕西省公共资源交易平台</w:t>
      </w:r>
      <w:r>
        <w:rPr>
          <w:rFonts w:hint="eastAsia" w:ascii="宋体" w:hAnsi="宋体" w:eastAsia="宋体" w:cs="宋体"/>
          <w:bCs/>
          <w:color w:val="auto"/>
          <w:sz w:val="24"/>
          <w:szCs w:val="24"/>
          <w:lang w:bidi="ar"/>
        </w:rPr>
        <w:t>获取</w:t>
      </w:r>
      <w:r>
        <w:rPr>
          <w:rFonts w:hint="eastAsia" w:ascii="宋体" w:hAnsi="宋体" w:eastAsia="宋体" w:cs="宋体"/>
          <w:bCs/>
          <w:color w:val="auto"/>
          <w:sz w:val="24"/>
          <w:szCs w:val="24"/>
          <w:lang w:val="en-US" w:eastAsia="zh-CN" w:bidi="ar"/>
        </w:rPr>
        <w:t>采购</w:t>
      </w:r>
      <w:r>
        <w:rPr>
          <w:rFonts w:hint="eastAsia" w:ascii="宋体" w:hAnsi="宋体" w:eastAsia="宋体" w:cs="宋体"/>
          <w:bCs/>
          <w:color w:val="auto"/>
          <w:sz w:val="24"/>
          <w:szCs w:val="24"/>
          <w:lang w:bidi="ar"/>
        </w:rPr>
        <w:t>文件，方可参加投标。</w:t>
      </w:r>
    </w:p>
    <w:p w14:paraId="2882F76E">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2.5投标费用自理。不论投标的结果如何，</w:t>
      </w:r>
      <w:r>
        <w:rPr>
          <w:rFonts w:hint="eastAsia" w:ascii="宋体" w:hAnsi="宋体" w:eastAsia="宋体" w:cs="宋体"/>
          <w:bCs/>
          <w:color w:val="auto"/>
          <w:sz w:val="24"/>
          <w:szCs w:val="24"/>
          <w:lang w:eastAsia="zh-CN" w:bidi="ar"/>
        </w:rPr>
        <w:t>供应商</w:t>
      </w:r>
      <w:r>
        <w:rPr>
          <w:rFonts w:hint="eastAsia" w:ascii="宋体" w:hAnsi="宋体" w:eastAsia="宋体" w:cs="宋体"/>
          <w:bCs/>
          <w:color w:val="auto"/>
          <w:sz w:val="24"/>
          <w:szCs w:val="24"/>
          <w:lang w:bidi="ar"/>
        </w:rPr>
        <w:t>均应自行承担所有与参加投标有关的费用。</w:t>
      </w:r>
    </w:p>
    <w:p w14:paraId="75F8C019">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3.谈判</w:t>
      </w:r>
      <w:r>
        <w:rPr>
          <w:rFonts w:hint="eastAsia" w:ascii="宋体" w:hAnsi="宋体" w:eastAsia="宋体" w:cs="宋体"/>
          <w:b/>
          <w:color w:val="auto"/>
          <w:sz w:val="24"/>
          <w:szCs w:val="24"/>
          <w:highlight w:val="none"/>
          <w:lang w:eastAsia="zh-CN"/>
        </w:rPr>
        <w:t>服务</w:t>
      </w:r>
      <w:r>
        <w:rPr>
          <w:rFonts w:hint="eastAsia" w:ascii="宋体" w:hAnsi="宋体" w:eastAsia="宋体" w:cs="宋体"/>
          <w:b/>
          <w:color w:val="auto"/>
          <w:sz w:val="24"/>
          <w:szCs w:val="24"/>
          <w:highlight w:val="none"/>
        </w:rPr>
        <w:t>的合格性和合法性</w:t>
      </w:r>
    </w:p>
    <w:p w14:paraId="1A1A28F3">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3.1谈判的</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质量应满足竞争性谈判文件的要求并应符合国家法律法规、行业管理部门要求的其他强制性标准</w:t>
      </w:r>
      <w:r>
        <w:rPr>
          <w:rFonts w:hint="eastAsia" w:ascii="宋体" w:hAnsi="宋体" w:eastAsia="宋体" w:cs="宋体"/>
          <w:sz w:val="24"/>
          <w:szCs w:val="24"/>
        </w:rPr>
        <w:t>。</w:t>
      </w:r>
    </w:p>
    <w:p w14:paraId="49FCC8F3">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4.竞争性谈判响应文件内容的真实性</w:t>
      </w:r>
    </w:p>
    <w:p w14:paraId="393ED197">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4.1供应商应保证其竞争性谈判响应文件中所提供的所有有关谈判的资料、信息是真实的。因竞争性谈判响应文件中所提供的有关谈判的资料、信息不真实、或者其来源不合法而导致的所有法律责任，由供应商自行承担。</w:t>
      </w:r>
    </w:p>
    <w:p w14:paraId="6F442B22">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5.竞争性谈判过程的监督和管理</w:t>
      </w:r>
    </w:p>
    <w:p w14:paraId="28F4D6C5">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5.1同级人民政府财政部门及有关部门依法履行对竞争性谈判过程的监督管理职责。   </w:t>
      </w:r>
    </w:p>
    <w:p w14:paraId="2B6AE386">
      <w:pPr>
        <w:keepNext/>
        <w:keepLines/>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sz w:val="28"/>
          <w:szCs w:val="28"/>
        </w:rPr>
      </w:pPr>
      <w:bookmarkStart w:id="7" w:name="_Toc1408"/>
      <w:bookmarkStart w:id="8" w:name="_Toc1503"/>
      <w:bookmarkStart w:id="9" w:name="_Toc6504"/>
      <w:bookmarkStart w:id="10" w:name="_Toc9335"/>
      <w:bookmarkStart w:id="11" w:name="_Toc26120"/>
      <w:bookmarkStart w:id="12" w:name="_Toc24705"/>
      <w:bookmarkStart w:id="13" w:name="_Toc28244"/>
      <w:bookmarkStart w:id="14" w:name="_Toc10714"/>
      <w:bookmarkStart w:id="15" w:name="_Toc29332"/>
      <w:bookmarkStart w:id="16" w:name="_Toc20044"/>
      <w:r>
        <w:rPr>
          <w:rFonts w:hint="eastAsia" w:ascii="宋体" w:hAnsi="宋体" w:eastAsia="宋体" w:cs="宋体"/>
          <w:sz w:val="28"/>
          <w:szCs w:val="28"/>
        </w:rPr>
        <w:t>二.竞争性谈判文件</w:t>
      </w:r>
      <w:bookmarkEnd w:id="7"/>
      <w:bookmarkEnd w:id="8"/>
      <w:bookmarkEnd w:id="9"/>
      <w:bookmarkEnd w:id="10"/>
      <w:bookmarkEnd w:id="11"/>
      <w:bookmarkEnd w:id="12"/>
      <w:bookmarkEnd w:id="13"/>
      <w:bookmarkEnd w:id="14"/>
      <w:bookmarkEnd w:id="15"/>
      <w:bookmarkEnd w:id="16"/>
    </w:p>
    <w:p w14:paraId="7BE48B3E">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6.竞争性谈判文件构成　　</w:t>
      </w:r>
    </w:p>
    <w:p w14:paraId="7217C276">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6.1 竞争性谈判文件规定了要求提供服务</w:t>
      </w:r>
      <w:r>
        <w:rPr>
          <w:rFonts w:hint="eastAsia" w:ascii="宋体" w:hAnsi="宋体" w:eastAsia="宋体" w:cs="宋体"/>
          <w:sz w:val="24"/>
          <w:szCs w:val="24"/>
          <w:lang w:eastAsia="zh-CN"/>
        </w:rPr>
        <w:t>内容</w:t>
      </w:r>
      <w:r>
        <w:rPr>
          <w:rFonts w:hint="eastAsia" w:ascii="宋体" w:hAnsi="宋体" w:eastAsia="宋体" w:cs="宋体"/>
          <w:sz w:val="24"/>
          <w:szCs w:val="24"/>
        </w:rPr>
        <w:t>，竞争性谈判程序和合同条件在竞争性谈</w:t>
      </w:r>
      <w:r>
        <w:rPr>
          <w:rFonts w:hint="eastAsia" w:ascii="宋体" w:hAnsi="宋体" w:eastAsia="宋体" w:cs="宋体"/>
          <w:color w:val="auto"/>
          <w:sz w:val="24"/>
          <w:szCs w:val="24"/>
        </w:rPr>
        <w:t>判文件中均有说明。竞争性谈判文件共</w:t>
      </w:r>
      <w:r>
        <w:rPr>
          <w:rFonts w:hint="eastAsia" w:ascii="宋体" w:hAnsi="宋体" w:eastAsia="宋体" w:cs="宋体"/>
          <w:color w:val="auto"/>
          <w:sz w:val="24"/>
          <w:szCs w:val="24"/>
          <w:lang w:eastAsia="zh-CN"/>
        </w:rPr>
        <w:t>七</w:t>
      </w:r>
      <w:r>
        <w:rPr>
          <w:rFonts w:hint="eastAsia" w:ascii="宋体" w:hAnsi="宋体" w:eastAsia="宋体" w:cs="宋体"/>
          <w:color w:val="auto"/>
          <w:sz w:val="24"/>
          <w:szCs w:val="24"/>
        </w:rPr>
        <w:t xml:space="preserve">章。内容如下： </w:t>
      </w:r>
    </w:p>
    <w:p w14:paraId="4C0381EC">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第一章 竞争性谈判公告</w:t>
      </w:r>
      <w:r>
        <w:rPr>
          <w:rFonts w:hint="eastAsia" w:ascii="宋体" w:hAnsi="宋体" w:eastAsia="宋体" w:cs="宋体"/>
          <w:color w:val="auto"/>
          <w:sz w:val="24"/>
          <w:szCs w:val="24"/>
        </w:rPr>
        <w:tab/>
      </w:r>
    </w:p>
    <w:p w14:paraId="429A68A9">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须知</w:t>
      </w:r>
      <w:r>
        <w:rPr>
          <w:rFonts w:hint="eastAsia" w:ascii="宋体" w:hAnsi="宋体" w:eastAsia="宋体" w:cs="宋体"/>
          <w:color w:val="auto"/>
          <w:sz w:val="24"/>
          <w:szCs w:val="24"/>
          <w:lang w:val="en-US" w:eastAsia="zh-CN"/>
        </w:rPr>
        <w:t>前附表</w:t>
      </w:r>
      <w:r>
        <w:rPr>
          <w:rFonts w:hint="eastAsia" w:ascii="宋体" w:hAnsi="宋体" w:eastAsia="宋体" w:cs="宋体"/>
          <w:color w:val="auto"/>
          <w:sz w:val="24"/>
          <w:szCs w:val="24"/>
        </w:rPr>
        <w:tab/>
      </w:r>
    </w:p>
    <w:p w14:paraId="4B19602C">
      <w:pPr>
        <w:pageBreakBefore w:val="0"/>
        <w:numPr>
          <w:ilvl w:val="0"/>
          <w:numId w:val="0"/>
        </w:numPr>
        <w:kinsoku/>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 xml:space="preserve">第三章 </w:t>
      </w:r>
      <w:r>
        <w:rPr>
          <w:rFonts w:hint="eastAsia" w:ascii="宋体" w:hAnsi="宋体" w:eastAsia="宋体" w:cs="宋体"/>
          <w:color w:val="auto"/>
          <w:sz w:val="24"/>
          <w:szCs w:val="24"/>
          <w:lang w:val="en-US" w:eastAsia="zh-CN"/>
        </w:rPr>
        <w:t>供应商须知</w:t>
      </w:r>
    </w:p>
    <w:p w14:paraId="67E21C77">
      <w:pPr>
        <w:pageBreakBefore w:val="0"/>
        <w:numPr>
          <w:ilvl w:val="0"/>
          <w:numId w:val="0"/>
        </w:numPr>
        <w:kinsoku/>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 xml:space="preserve">第四章 </w:t>
      </w:r>
      <w:r>
        <w:rPr>
          <w:rFonts w:hint="eastAsia" w:ascii="宋体" w:hAnsi="宋体" w:eastAsia="宋体" w:cs="宋体"/>
          <w:color w:val="auto"/>
          <w:sz w:val="24"/>
          <w:szCs w:val="24"/>
          <w:lang w:val="en-US" w:eastAsia="zh-CN"/>
        </w:rPr>
        <w:t>商务要求</w:t>
      </w:r>
    </w:p>
    <w:p w14:paraId="35E5FA33">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eastAsia="zh-CN"/>
        </w:rPr>
        <w:t>五</w:t>
      </w:r>
      <w:r>
        <w:rPr>
          <w:rFonts w:hint="eastAsia" w:ascii="宋体" w:hAnsi="宋体" w:eastAsia="宋体" w:cs="宋体"/>
          <w:color w:val="auto"/>
          <w:sz w:val="24"/>
          <w:szCs w:val="24"/>
        </w:rPr>
        <w:t xml:space="preserve">章 </w:t>
      </w:r>
      <w:r>
        <w:rPr>
          <w:rFonts w:hint="eastAsia" w:ascii="宋体" w:hAnsi="宋体" w:eastAsia="宋体" w:cs="宋体"/>
          <w:color w:val="auto"/>
          <w:sz w:val="24"/>
          <w:szCs w:val="24"/>
          <w:lang w:val="en-US" w:eastAsia="zh-CN"/>
        </w:rPr>
        <w:t>政府采购合同</w:t>
      </w:r>
      <w:r>
        <w:rPr>
          <w:rFonts w:hint="eastAsia" w:ascii="宋体" w:hAnsi="宋体" w:eastAsia="宋体" w:cs="宋体"/>
          <w:color w:val="auto"/>
          <w:sz w:val="24"/>
          <w:szCs w:val="24"/>
        </w:rPr>
        <w:tab/>
      </w:r>
    </w:p>
    <w:p w14:paraId="436E63DE">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第</w:t>
      </w:r>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 xml:space="preserve">章 </w:t>
      </w:r>
      <w:r>
        <w:rPr>
          <w:rFonts w:hint="eastAsia" w:ascii="宋体" w:hAnsi="宋体" w:eastAsia="宋体" w:cs="宋体"/>
          <w:color w:val="auto"/>
          <w:sz w:val="24"/>
          <w:szCs w:val="24"/>
          <w:lang w:val="en-US" w:eastAsia="zh-CN"/>
        </w:rPr>
        <w:t>采购内容及技术要求</w:t>
      </w:r>
    </w:p>
    <w:p w14:paraId="3A089153">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第七章 评审办法</w:t>
      </w:r>
      <w:r>
        <w:rPr>
          <w:rFonts w:hint="eastAsia" w:ascii="宋体" w:hAnsi="宋体" w:eastAsia="宋体" w:cs="宋体"/>
          <w:color w:val="auto"/>
          <w:sz w:val="24"/>
          <w:szCs w:val="24"/>
        </w:rPr>
        <w:tab/>
      </w:r>
    </w:p>
    <w:p w14:paraId="4744B6FC">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八</w:t>
      </w:r>
      <w:r>
        <w:rPr>
          <w:rFonts w:hint="eastAsia" w:ascii="宋体" w:hAnsi="宋体" w:eastAsia="宋体" w:cs="宋体"/>
          <w:color w:val="auto"/>
          <w:sz w:val="24"/>
          <w:szCs w:val="24"/>
        </w:rPr>
        <w:t>章 竞争性谈判响应文件格式及构成</w:t>
      </w:r>
    </w:p>
    <w:p w14:paraId="555634B5">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6.2</w:t>
      </w:r>
      <w:r>
        <w:rPr>
          <w:rFonts w:hint="eastAsia" w:ascii="宋体" w:hAnsi="宋体" w:eastAsia="宋体" w:cs="宋体"/>
          <w:sz w:val="24"/>
          <w:szCs w:val="24"/>
          <w:lang w:eastAsia="zh-CN"/>
        </w:rPr>
        <w:t>供应商</w:t>
      </w:r>
      <w:r>
        <w:rPr>
          <w:rFonts w:hint="eastAsia" w:ascii="宋体" w:hAnsi="宋体" w:eastAsia="宋体" w:cs="宋体"/>
          <w:sz w:val="24"/>
          <w:szCs w:val="24"/>
        </w:rPr>
        <w:t>应认真阅读竞争性谈判文件中所有的事项、格式、条款和规范等要求。如果</w:t>
      </w:r>
      <w:r>
        <w:rPr>
          <w:rFonts w:hint="eastAsia" w:ascii="宋体" w:hAnsi="宋体" w:eastAsia="宋体" w:cs="宋体"/>
          <w:sz w:val="24"/>
          <w:szCs w:val="24"/>
          <w:lang w:eastAsia="zh-CN"/>
        </w:rPr>
        <w:t>供应商</w:t>
      </w:r>
      <w:r>
        <w:rPr>
          <w:rFonts w:hint="eastAsia" w:ascii="宋体" w:hAnsi="宋体" w:eastAsia="宋体" w:cs="宋体"/>
          <w:sz w:val="24"/>
          <w:szCs w:val="24"/>
        </w:rPr>
        <w:t>没有按照竞争性谈判文件要求提交全部资料，或者竞争性谈判响应文件没有对竞争性谈判文件在各方面都做出实质性响应，由此带来的不利于</w:t>
      </w:r>
      <w:r>
        <w:rPr>
          <w:rFonts w:hint="eastAsia" w:ascii="宋体" w:hAnsi="宋体" w:eastAsia="宋体" w:cs="宋体"/>
          <w:sz w:val="24"/>
          <w:szCs w:val="24"/>
          <w:lang w:eastAsia="zh-CN"/>
        </w:rPr>
        <w:t>供应商</w:t>
      </w:r>
      <w:r>
        <w:rPr>
          <w:rFonts w:hint="eastAsia" w:ascii="宋体" w:hAnsi="宋体" w:eastAsia="宋体" w:cs="宋体"/>
          <w:sz w:val="24"/>
          <w:szCs w:val="24"/>
        </w:rPr>
        <w:t>的谈判结果，其风险由</w:t>
      </w:r>
      <w:r>
        <w:rPr>
          <w:rFonts w:hint="eastAsia" w:ascii="宋体" w:hAnsi="宋体" w:eastAsia="宋体" w:cs="宋体"/>
          <w:sz w:val="24"/>
          <w:szCs w:val="24"/>
          <w:lang w:eastAsia="zh-CN"/>
        </w:rPr>
        <w:t>供应商</w:t>
      </w:r>
      <w:r>
        <w:rPr>
          <w:rFonts w:hint="eastAsia" w:ascii="宋体" w:hAnsi="宋体" w:eastAsia="宋体" w:cs="宋体"/>
          <w:sz w:val="24"/>
          <w:szCs w:val="24"/>
        </w:rPr>
        <w:t>承担。</w:t>
      </w:r>
    </w:p>
    <w:p w14:paraId="500116B1">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6.3本竞争性谈判文件的解释权归</w:t>
      </w:r>
      <w:r>
        <w:rPr>
          <w:rFonts w:hint="eastAsia" w:ascii="宋体" w:hAnsi="宋体" w:eastAsia="宋体" w:cs="宋体"/>
          <w:sz w:val="24"/>
          <w:szCs w:val="24"/>
          <w:lang w:eastAsia="zh-CN"/>
        </w:rPr>
        <w:t>陕西盛誉恒正项目管理有限公司</w:t>
      </w:r>
      <w:r>
        <w:rPr>
          <w:rFonts w:hint="eastAsia" w:ascii="宋体" w:hAnsi="宋体" w:eastAsia="宋体" w:cs="宋体"/>
          <w:sz w:val="24"/>
          <w:szCs w:val="24"/>
        </w:rPr>
        <w:t>。</w:t>
      </w:r>
    </w:p>
    <w:p w14:paraId="0F655DD5">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7.竞争性谈判文件的修改和澄清</w:t>
      </w:r>
    </w:p>
    <w:p w14:paraId="798960B8">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7.1在谈判截止时间前，采购代理机构可以视采购具体情况，延长竞争性谈判响应文件递交截止时间和谈判时间并在财政部门指定的媒体上发布变更公告，同时将变更时间书面通知所有</w:t>
      </w:r>
      <w:r>
        <w:rPr>
          <w:rFonts w:hint="eastAsia" w:ascii="宋体" w:hAnsi="宋体" w:eastAsia="宋体" w:cs="宋体"/>
          <w:sz w:val="24"/>
          <w:szCs w:val="24"/>
          <w:lang w:val="en-US" w:eastAsia="zh-CN"/>
        </w:rPr>
        <w:t>获取</w:t>
      </w:r>
      <w:r>
        <w:rPr>
          <w:rFonts w:hint="eastAsia" w:ascii="宋体" w:hAnsi="宋体" w:eastAsia="宋体" w:cs="宋体"/>
          <w:sz w:val="24"/>
          <w:szCs w:val="24"/>
        </w:rPr>
        <w:t>竞争性谈判文件的谈判申请人。</w:t>
      </w:r>
    </w:p>
    <w:p w14:paraId="2C9B9A18">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7.2竞争性谈判采购单位如果对已发出的竞争性谈判文件进行修改，将在竞争性谈判文件要求提交竞争性谈判响应文件截止时间3个工作日前，以书面形式通知所有</w:t>
      </w:r>
      <w:r>
        <w:rPr>
          <w:rFonts w:hint="eastAsia" w:ascii="宋体" w:hAnsi="宋体" w:eastAsia="宋体" w:cs="宋体"/>
          <w:sz w:val="24"/>
          <w:szCs w:val="24"/>
          <w:lang w:val="en-US" w:eastAsia="zh-CN"/>
        </w:rPr>
        <w:t>获取</w:t>
      </w:r>
      <w:r>
        <w:rPr>
          <w:rFonts w:hint="eastAsia" w:ascii="宋体" w:hAnsi="宋体" w:eastAsia="宋体" w:cs="宋体"/>
          <w:sz w:val="24"/>
          <w:szCs w:val="24"/>
        </w:rPr>
        <w:t>竞争性谈判文件的谈判申请人。该澄清或者修改的内容为竞争性谈判文件的组成部分。对文件中有关表述不准确或难以理解或有疑义的内容，各</w:t>
      </w:r>
      <w:r>
        <w:rPr>
          <w:rFonts w:hint="eastAsia" w:ascii="宋体" w:hAnsi="宋体" w:eastAsia="宋体" w:cs="宋体"/>
          <w:sz w:val="24"/>
          <w:szCs w:val="24"/>
          <w:lang w:eastAsia="zh-CN"/>
        </w:rPr>
        <w:t>供应商</w:t>
      </w:r>
      <w:r>
        <w:rPr>
          <w:rFonts w:hint="eastAsia" w:ascii="宋体" w:hAnsi="宋体" w:eastAsia="宋体" w:cs="宋体"/>
          <w:sz w:val="24"/>
          <w:szCs w:val="24"/>
        </w:rPr>
        <w:t>应及时与有关部门人员联系；否则，因此带来的一切不利后果由各</w:t>
      </w:r>
      <w:r>
        <w:rPr>
          <w:rFonts w:hint="eastAsia" w:ascii="宋体" w:hAnsi="宋体" w:eastAsia="宋体" w:cs="宋体"/>
          <w:sz w:val="24"/>
          <w:szCs w:val="24"/>
          <w:lang w:eastAsia="zh-CN"/>
        </w:rPr>
        <w:t>供应商</w:t>
      </w:r>
      <w:r>
        <w:rPr>
          <w:rFonts w:hint="eastAsia" w:ascii="宋体" w:hAnsi="宋体" w:eastAsia="宋体" w:cs="宋体"/>
          <w:sz w:val="24"/>
          <w:szCs w:val="24"/>
        </w:rPr>
        <w:t xml:space="preserve">自负。 </w:t>
      </w:r>
    </w:p>
    <w:p w14:paraId="5E81AE42">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7.3 已经</w:t>
      </w:r>
      <w:r>
        <w:rPr>
          <w:rFonts w:hint="eastAsia" w:ascii="宋体" w:hAnsi="宋体" w:eastAsia="宋体" w:cs="宋体"/>
          <w:sz w:val="24"/>
          <w:szCs w:val="24"/>
          <w:lang w:val="en-US" w:eastAsia="zh-CN"/>
        </w:rPr>
        <w:t>获取</w:t>
      </w:r>
      <w:r>
        <w:rPr>
          <w:rFonts w:hint="eastAsia" w:ascii="宋体" w:hAnsi="宋体" w:eastAsia="宋体" w:cs="宋体"/>
          <w:sz w:val="24"/>
          <w:szCs w:val="24"/>
        </w:rPr>
        <w:t>竞争性谈判文件的</w:t>
      </w:r>
      <w:r>
        <w:rPr>
          <w:rFonts w:hint="eastAsia" w:ascii="宋体" w:hAnsi="宋体" w:eastAsia="宋体" w:cs="宋体"/>
          <w:sz w:val="24"/>
          <w:szCs w:val="24"/>
          <w:lang w:eastAsia="zh-CN"/>
        </w:rPr>
        <w:t>供应商</w:t>
      </w:r>
      <w:r>
        <w:rPr>
          <w:rFonts w:hint="eastAsia" w:ascii="宋体" w:hAnsi="宋体" w:eastAsia="宋体" w:cs="宋体"/>
          <w:sz w:val="24"/>
          <w:szCs w:val="24"/>
        </w:rPr>
        <w:t>对竞争性谈判文件有疑问的，均应在谈判截止日期2日前以书面形式向采购代理机构提出。采购代理机构视情况必要时将书面答复传送给每个</w:t>
      </w:r>
      <w:r>
        <w:rPr>
          <w:rFonts w:hint="eastAsia" w:ascii="宋体" w:hAnsi="宋体" w:eastAsia="宋体" w:cs="宋体"/>
          <w:sz w:val="24"/>
          <w:szCs w:val="24"/>
          <w:lang w:val="en-US" w:eastAsia="zh-CN"/>
        </w:rPr>
        <w:t>获取</w:t>
      </w:r>
      <w:r>
        <w:rPr>
          <w:rFonts w:hint="eastAsia" w:ascii="宋体" w:hAnsi="宋体" w:eastAsia="宋体" w:cs="宋体"/>
          <w:sz w:val="24"/>
          <w:szCs w:val="24"/>
        </w:rPr>
        <w:t>竞争性谈判文件的</w:t>
      </w:r>
      <w:r>
        <w:rPr>
          <w:rFonts w:hint="eastAsia" w:ascii="宋体" w:hAnsi="宋体" w:eastAsia="宋体" w:cs="宋体"/>
          <w:sz w:val="24"/>
          <w:szCs w:val="24"/>
          <w:lang w:eastAsia="zh-CN"/>
        </w:rPr>
        <w:t>供应商</w:t>
      </w:r>
      <w:r>
        <w:rPr>
          <w:rFonts w:hint="eastAsia" w:ascii="宋体" w:hAnsi="宋体" w:eastAsia="宋体" w:cs="宋体"/>
          <w:sz w:val="24"/>
          <w:szCs w:val="24"/>
        </w:rPr>
        <w:t>。对文件中有关表述不准确或难以理解或有疑义的内容，各</w:t>
      </w:r>
      <w:r>
        <w:rPr>
          <w:rFonts w:hint="eastAsia" w:ascii="宋体" w:hAnsi="宋体" w:eastAsia="宋体" w:cs="宋体"/>
          <w:sz w:val="24"/>
          <w:szCs w:val="24"/>
          <w:lang w:eastAsia="zh-CN"/>
        </w:rPr>
        <w:t>供应商</w:t>
      </w:r>
      <w:r>
        <w:rPr>
          <w:rFonts w:hint="eastAsia" w:ascii="宋体" w:hAnsi="宋体" w:eastAsia="宋体" w:cs="宋体"/>
          <w:sz w:val="24"/>
          <w:szCs w:val="24"/>
        </w:rPr>
        <w:t>应及时与有关部门人员联系；否则，因此带来的一切不利后果由各</w:t>
      </w:r>
      <w:r>
        <w:rPr>
          <w:rFonts w:hint="eastAsia" w:ascii="宋体" w:hAnsi="宋体" w:eastAsia="宋体" w:cs="宋体"/>
          <w:sz w:val="24"/>
          <w:szCs w:val="24"/>
          <w:lang w:eastAsia="zh-CN"/>
        </w:rPr>
        <w:t>供应商</w:t>
      </w:r>
      <w:r>
        <w:rPr>
          <w:rFonts w:hint="eastAsia" w:ascii="宋体" w:hAnsi="宋体" w:eastAsia="宋体" w:cs="宋体"/>
          <w:sz w:val="24"/>
          <w:szCs w:val="24"/>
        </w:rPr>
        <w:t>自负。</w:t>
      </w:r>
    </w:p>
    <w:p w14:paraId="6AB9C677">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sz w:val="24"/>
          <w:szCs w:val="24"/>
        </w:rPr>
      </w:pPr>
      <w:r>
        <w:rPr>
          <w:rFonts w:hint="eastAsia" w:ascii="宋体" w:hAnsi="宋体" w:eastAsia="宋体" w:cs="宋体"/>
          <w:sz w:val="24"/>
          <w:szCs w:val="24"/>
        </w:rPr>
        <w:t>7.4</w:t>
      </w:r>
      <w:r>
        <w:rPr>
          <w:rFonts w:hint="eastAsia" w:ascii="宋体" w:hAnsi="宋体" w:eastAsia="宋体" w:cs="宋体"/>
          <w:sz w:val="24"/>
          <w:szCs w:val="24"/>
          <w:lang w:eastAsia="zh-CN"/>
        </w:rPr>
        <w:t>供应商</w:t>
      </w:r>
      <w:r>
        <w:rPr>
          <w:rFonts w:hint="eastAsia" w:ascii="宋体" w:hAnsi="宋体" w:eastAsia="宋体" w:cs="宋体"/>
          <w:sz w:val="24"/>
          <w:szCs w:val="24"/>
        </w:rPr>
        <w:t>在收到上述通知后，应立即向竞争性谈判代理机构回函确认。</w:t>
      </w:r>
    </w:p>
    <w:p w14:paraId="08D9E0DC">
      <w:pPr>
        <w:keepNext/>
        <w:keepLines/>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sz w:val="28"/>
          <w:szCs w:val="28"/>
        </w:rPr>
      </w:pPr>
      <w:bookmarkStart w:id="17" w:name="_Toc6930"/>
      <w:bookmarkStart w:id="18" w:name="_Toc25006"/>
      <w:bookmarkStart w:id="19" w:name="_Toc2911"/>
      <w:bookmarkStart w:id="20" w:name="_Toc18399"/>
      <w:bookmarkStart w:id="21" w:name="_Toc6713"/>
      <w:bookmarkStart w:id="22" w:name="_Toc13671"/>
      <w:bookmarkStart w:id="23" w:name="_Toc7197"/>
      <w:bookmarkStart w:id="24" w:name="_Toc27781"/>
      <w:bookmarkStart w:id="25" w:name="_Toc18533"/>
      <w:bookmarkStart w:id="26" w:name="_Toc20012"/>
      <w:bookmarkStart w:id="27" w:name="_Toc18016"/>
      <w:r>
        <w:rPr>
          <w:rFonts w:hint="eastAsia" w:ascii="宋体" w:hAnsi="宋体" w:eastAsia="宋体" w:cs="宋体"/>
          <w:sz w:val="28"/>
          <w:szCs w:val="28"/>
        </w:rPr>
        <w:t>三.竞争性谈判响应文件的编制</w:t>
      </w:r>
      <w:bookmarkEnd w:id="17"/>
      <w:bookmarkEnd w:id="18"/>
      <w:bookmarkEnd w:id="19"/>
      <w:bookmarkEnd w:id="20"/>
      <w:bookmarkEnd w:id="21"/>
      <w:bookmarkEnd w:id="22"/>
      <w:bookmarkEnd w:id="23"/>
      <w:bookmarkEnd w:id="24"/>
      <w:bookmarkEnd w:id="25"/>
      <w:bookmarkEnd w:id="26"/>
      <w:bookmarkEnd w:id="27"/>
    </w:p>
    <w:p w14:paraId="62A279E5">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8. 谈判语言和谈判货币</w:t>
      </w:r>
    </w:p>
    <w:p w14:paraId="0731308C">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sz w:val="24"/>
          <w:szCs w:val="24"/>
        </w:rPr>
      </w:pPr>
      <w:r>
        <w:rPr>
          <w:rFonts w:hint="eastAsia" w:ascii="宋体" w:hAnsi="宋体" w:eastAsia="宋体" w:cs="宋体"/>
          <w:sz w:val="24"/>
          <w:szCs w:val="24"/>
        </w:rPr>
        <w:t>8.1</w:t>
      </w:r>
      <w:r>
        <w:rPr>
          <w:rFonts w:hint="eastAsia" w:ascii="宋体" w:hAnsi="宋体" w:eastAsia="宋体" w:cs="宋体"/>
          <w:sz w:val="24"/>
          <w:szCs w:val="24"/>
          <w:lang w:eastAsia="zh-CN"/>
        </w:rPr>
        <w:t>供应商</w:t>
      </w:r>
      <w:r>
        <w:rPr>
          <w:rFonts w:hint="eastAsia" w:ascii="宋体" w:hAnsi="宋体" w:eastAsia="宋体" w:cs="宋体"/>
          <w:sz w:val="24"/>
          <w:szCs w:val="24"/>
        </w:rPr>
        <w:t>提交的竞争性谈判响应文件以及</w:t>
      </w:r>
      <w:r>
        <w:rPr>
          <w:rFonts w:hint="eastAsia" w:ascii="宋体" w:hAnsi="宋体" w:eastAsia="宋体" w:cs="宋体"/>
          <w:sz w:val="24"/>
          <w:szCs w:val="24"/>
          <w:lang w:eastAsia="zh-CN"/>
        </w:rPr>
        <w:t>供应商</w:t>
      </w:r>
      <w:r>
        <w:rPr>
          <w:rFonts w:hint="eastAsia" w:ascii="宋体" w:hAnsi="宋体" w:eastAsia="宋体" w:cs="宋体"/>
          <w:sz w:val="24"/>
          <w:szCs w:val="24"/>
        </w:rPr>
        <w:t>与采购代理机构就有关谈判的所有来往函电均应使用中文。</w:t>
      </w:r>
    </w:p>
    <w:p w14:paraId="24888470">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8.2谈判应以人民币报价。任何包含非人民币报价的谈判将被作投标无效处理。</w:t>
      </w:r>
    </w:p>
    <w:p w14:paraId="105DFFFF">
      <w:pPr>
        <w:pageBreakBefore w:val="0"/>
        <w:numPr>
          <w:ilvl w:val="0"/>
          <w:numId w:val="4"/>
        </w:numPr>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竞争性谈判响应文件的构成</w:t>
      </w:r>
    </w:p>
    <w:p w14:paraId="1E7A7B53">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9.1 供应商提交的竞争性谈判响应文件应包括下列部分的内容：</w:t>
      </w:r>
    </w:p>
    <w:p w14:paraId="43857C67">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9.1.1 按照供应商须知的要求和竞争性谈判响应文件规定格式填写的竞争性谈判函、谈判报价表、法定代表人授权书、谈判</w:t>
      </w:r>
      <w:r>
        <w:rPr>
          <w:rFonts w:hint="eastAsia" w:ascii="宋体" w:hAnsi="宋体" w:eastAsia="宋体" w:cs="宋体"/>
          <w:sz w:val="24"/>
          <w:szCs w:val="24"/>
          <w:lang w:eastAsia="zh-CN"/>
        </w:rPr>
        <w:t>服务方案</w:t>
      </w:r>
      <w:r>
        <w:rPr>
          <w:rFonts w:hint="eastAsia" w:ascii="宋体" w:hAnsi="宋体" w:eastAsia="宋体" w:cs="宋体"/>
          <w:sz w:val="24"/>
          <w:szCs w:val="24"/>
        </w:rPr>
        <w:t>的详细描述及其他；</w:t>
      </w:r>
    </w:p>
    <w:p w14:paraId="31AFE0CB">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9.1.2 按照竞争性谈判文件的要求编制的服务方案；</w:t>
      </w:r>
    </w:p>
    <w:p w14:paraId="41C514D5">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9.1.3 按照竞争性谈判文件须知前附表的要求提交的资格证明文件；</w:t>
      </w:r>
    </w:p>
    <w:p w14:paraId="3CE63877">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9.1.4 竞争性谈判文件中要求的其他证明文件。</w:t>
      </w:r>
    </w:p>
    <w:p w14:paraId="3B162F87">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9.2 如果在竞争性谈判文件中没有允许提供备选方案，则每个供应商只允许提交一个谈判方案，否则，其谈判将被作投标无效处理。</w:t>
      </w:r>
    </w:p>
    <w:p w14:paraId="1CD7CCA9">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10.竞争性谈判响应文件格式</w:t>
      </w:r>
    </w:p>
    <w:p w14:paraId="4F78672C">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10.1 </w:t>
      </w:r>
      <w:r>
        <w:rPr>
          <w:rFonts w:hint="eastAsia" w:ascii="宋体" w:hAnsi="宋体" w:eastAsia="宋体" w:cs="宋体"/>
          <w:sz w:val="24"/>
          <w:szCs w:val="24"/>
          <w:lang w:eastAsia="zh-CN"/>
        </w:rPr>
        <w:t>供应商</w:t>
      </w:r>
      <w:r>
        <w:rPr>
          <w:rFonts w:hint="eastAsia" w:ascii="宋体" w:hAnsi="宋体" w:eastAsia="宋体" w:cs="宋体"/>
          <w:sz w:val="24"/>
          <w:szCs w:val="24"/>
        </w:rPr>
        <w:t>应按照竞争性谈判文件中“竞争性谈判响应文件格式及构成”所提供的格式和要求制作竞争性谈判响应文件，明确表达谈判意愿，详细说明谈判方案、承诺及价格。</w:t>
      </w:r>
    </w:p>
    <w:p w14:paraId="0B19C55A">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10.2 按竞争性谈判文件第</w:t>
      </w:r>
      <w:r>
        <w:rPr>
          <w:rFonts w:hint="eastAsia" w:ascii="宋体" w:hAnsi="宋体" w:eastAsia="宋体" w:cs="宋体"/>
          <w:sz w:val="24"/>
          <w:szCs w:val="24"/>
          <w:lang w:eastAsia="zh-CN"/>
        </w:rPr>
        <w:t>五章</w:t>
      </w:r>
      <w:r>
        <w:rPr>
          <w:rFonts w:hint="eastAsia" w:ascii="宋体" w:hAnsi="宋体" w:eastAsia="宋体" w:cs="宋体"/>
          <w:sz w:val="24"/>
          <w:szCs w:val="24"/>
        </w:rPr>
        <w:t>的</w:t>
      </w:r>
      <w:r>
        <w:rPr>
          <w:rFonts w:hint="eastAsia" w:ascii="宋体" w:hAnsi="宋体" w:eastAsia="宋体" w:cs="宋体"/>
          <w:sz w:val="24"/>
          <w:szCs w:val="24"/>
          <w:lang w:eastAsia="zh-CN"/>
        </w:rPr>
        <w:t>招标</w:t>
      </w:r>
      <w:r>
        <w:rPr>
          <w:rFonts w:hint="eastAsia" w:ascii="宋体" w:hAnsi="宋体" w:eastAsia="宋体" w:cs="宋体"/>
          <w:sz w:val="24"/>
          <w:szCs w:val="24"/>
        </w:rPr>
        <w:t>内容</w:t>
      </w:r>
      <w:r>
        <w:rPr>
          <w:rFonts w:hint="eastAsia" w:ascii="宋体" w:hAnsi="宋体" w:eastAsia="宋体" w:cs="宋体"/>
          <w:sz w:val="24"/>
          <w:szCs w:val="24"/>
          <w:lang w:eastAsia="zh-CN"/>
        </w:rPr>
        <w:t>及</w:t>
      </w:r>
      <w:r>
        <w:rPr>
          <w:rFonts w:hint="eastAsia" w:ascii="宋体" w:hAnsi="宋体" w:eastAsia="宋体" w:cs="宋体"/>
          <w:sz w:val="24"/>
          <w:szCs w:val="24"/>
        </w:rPr>
        <w:t>要求和第</w:t>
      </w:r>
      <w:r>
        <w:rPr>
          <w:rFonts w:hint="eastAsia" w:ascii="宋体" w:hAnsi="宋体" w:eastAsia="宋体" w:cs="宋体"/>
          <w:sz w:val="24"/>
          <w:szCs w:val="24"/>
          <w:lang w:eastAsia="zh-CN"/>
        </w:rPr>
        <w:t>七</w:t>
      </w:r>
      <w:r>
        <w:rPr>
          <w:rFonts w:hint="eastAsia" w:ascii="宋体" w:hAnsi="宋体" w:eastAsia="宋体" w:cs="宋体"/>
          <w:sz w:val="24"/>
          <w:szCs w:val="24"/>
        </w:rPr>
        <w:t>章提供的格式编写其竞争性谈判响应文件，</w:t>
      </w:r>
      <w:r>
        <w:rPr>
          <w:rFonts w:hint="eastAsia" w:ascii="宋体" w:hAnsi="宋体" w:eastAsia="宋体" w:cs="宋体"/>
          <w:sz w:val="24"/>
          <w:szCs w:val="24"/>
          <w:lang w:eastAsia="zh-CN"/>
        </w:rPr>
        <w:t>供应商</w:t>
      </w:r>
      <w:r>
        <w:rPr>
          <w:rFonts w:hint="eastAsia" w:ascii="宋体" w:hAnsi="宋体" w:eastAsia="宋体" w:cs="宋体"/>
          <w:sz w:val="24"/>
          <w:szCs w:val="24"/>
        </w:rPr>
        <w:t>不得缺少或留空任何竞争性谈判文件要求填写的表格或提交的资料。</w:t>
      </w:r>
    </w:p>
    <w:p w14:paraId="408646F7">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11.谈判报价</w:t>
      </w:r>
    </w:p>
    <w:p w14:paraId="1DF2AD65">
      <w:pPr>
        <w:pageBreakBefore w:val="0"/>
        <w:widowControl/>
        <w:kinsoku/>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lang w:eastAsia="zh-CN"/>
        </w:rPr>
      </w:pPr>
      <w:r>
        <w:rPr>
          <w:rFonts w:hint="eastAsia" w:ascii="宋体" w:hAnsi="宋体" w:eastAsia="宋体" w:cs="宋体"/>
          <w:sz w:val="24"/>
          <w:szCs w:val="24"/>
          <w:lang w:val="en-US" w:eastAsia="zh-CN"/>
        </w:rPr>
        <w:t>11.1</w:t>
      </w:r>
      <w:r>
        <w:rPr>
          <w:rFonts w:hint="eastAsia" w:ascii="宋体" w:hAnsi="宋体" w:eastAsia="宋体" w:cs="宋体"/>
          <w:sz w:val="24"/>
          <w:szCs w:val="24"/>
          <w:lang w:eastAsia="zh-CN"/>
        </w:rPr>
        <w:t>谈判</w:t>
      </w:r>
      <w:r>
        <w:rPr>
          <w:rFonts w:hint="eastAsia" w:ascii="宋体" w:hAnsi="宋体" w:eastAsia="宋体" w:cs="宋体"/>
          <w:sz w:val="24"/>
          <w:szCs w:val="24"/>
        </w:rPr>
        <w:t>报价：</w:t>
      </w:r>
      <w:r>
        <w:rPr>
          <w:rFonts w:hint="eastAsia" w:ascii="宋体" w:hAnsi="宋体" w:eastAsia="宋体" w:cs="宋体"/>
          <w:sz w:val="24"/>
          <w:szCs w:val="24"/>
          <w:lang w:eastAsia="zh-CN"/>
        </w:rPr>
        <w:t>供应商</w:t>
      </w:r>
      <w:r>
        <w:rPr>
          <w:rFonts w:hint="eastAsia" w:ascii="宋体" w:hAnsi="宋体" w:eastAsia="宋体" w:cs="宋体"/>
          <w:sz w:val="24"/>
          <w:szCs w:val="24"/>
        </w:rPr>
        <w:t>应在</w:t>
      </w:r>
      <w:r>
        <w:rPr>
          <w:rFonts w:hint="eastAsia" w:ascii="宋体" w:hAnsi="宋体" w:eastAsia="宋体" w:cs="宋体"/>
          <w:sz w:val="24"/>
          <w:szCs w:val="24"/>
          <w:lang w:eastAsia="zh-CN"/>
        </w:rPr>
        <w:t>谈判</w:t>
      </w:r>
      <w:r>
        <w:rPr>
          <w:rFonts w:hint="eastAsia" w:ascii="宋体" w:hAnsi="宋体" w:eastAsia="宋体" w:cs="宋体"/>
          <w:sz w:val="24"/>
          <w:szCs w:val="24"/>
        </w:rPr>
        <w:t>报价表中标明完成</w:t>
      </w:r>
      <w:r>
        <w:rPr>
          <w:rFonts w:hint="eastAsia" w:ascii="宋体" w:hAnsi="宋体" w:eastAsia="宋体" w:cs="宋体"/>
          <w:sz w:val="24"/>
          <w:szCs w:val="24"/>
          <w:lang w:eastAsia="zh-CN"/>
        </w:rPr>
        <w:t>本</w:t>
      </w:r>
      <w:r>
        <w:rPr>
          <w:rFonts w:hint="eastAsia" w:ascii="宋体" w:hAnsi="宋体" w:eastAsia="宋体" w:cs="宋体"/>
          <w:sz w:val="24"/>
          <w:szCs w:val="24"/>
        </w:rPr>
        <w:t>次</w:t>
      </w:r>
      <w:r>
        <w:rPr>
          <w:rFonts w:hint="eastAsia" w:ascii="宋体" w:hAnsi="宋体" w:eastAsia="宋体" w:cs="宋体"/>
          <w:sz w:val="24"/>
          <w:szCs w:val="24"/>
          <w:lang w:eastAsia="zh-CN"/>
        </w:rPr>
        <w:t>采购所要求的服务且</w:t>
      </w:r>
      <w:r>
        <w:rPr>
          <w:rFonts w:hint="eastAsia" w:ascii="宋体" w:hAnsi="宋体" w:eastAsia="宋体" w:cs="宋体"/>
          <w:sz w:val="24"/>
          <w:szCs w:val="24"/>
        </w:rPr>
        <w:t>验收合格的所有</w:t>
      </w:r>
      <w:r>
        <w:rPr>
          <w:rFonts w:hint="eastAsia" w:ascii="宋体" w:hAnsi="宋体" w:eastAsia="宋体" w:cs="宋体"/>
          <w:sz w:val="24"/>
          <w:szCs w:val="24"/>
          <w:lang w:eastAsia="zh-CN"/>
        </w:rPr>
        <w:t>费用</w:t>
      </w:r>
      <w:r>
        <w:rPr>
          <w:rFonts w:hint="eastAsia" w:ascii="宋体" w:hAnsi="宋体" w:eastAsia="宋体" w:cs="宋体"/>
          <w:sz w:val="24"/>
          <w:szCs w:val="24"/>
        </w:rPr>
        <w:t>，</w:t>
      </w:r>
      <w:r>
        <w:rPr>
          <w:rFonts w:hint="eastAsia" w:ascii="宋体" w:hAnsi="宋体" w:eastAsia="宋体" w:cs="宋体"/>
          <w:sz w:val="24"/>
          <w:szCs w:val="24"/>
          <w:lang w:eastAsia="zh-CN"/>
        </w:rPr>
        <w:t>包括食宿费、拓展培训费、交通费、服装费、餐补费等其他一切相关费用</w:t>
      </w:r>
      <w:r>
        <w:rPr>
          <w:rFonts w:hint="eastAsia" w:ascii="宋体" w:hAnsi="宋体" w:eastAsia="宋体" w:cs="宋体"/>
          <w:sz w:val="24"/>
          <w:szCs w:val="24"/>
        </w:rPr>
        <w:t>。</w:t>
      </w:r>
      <w:r>
        <w:rPr>
          <w:rFonts w:hint="eastAsia" w:ascii="宋体" w:hAnsi="宋体" w:eastAsia="宋体" w:cs="宋体"/>
          <w:sz w:val="24"/>
          <w:szCs w:val="24"/>
          <w:lang w:eastAsia="zh-CN"/>
        </w:rPr>
        <w:t>谈判报价表标明本次服务的所有单项价格和总价，任何有选择的报价将不予接受，按无效投标处理</w:t>
      </w:r>
      <w:r>
        <w:rPr>
          <w:rFonts w:hint="eastAsia" w:ascii="宋体" w:hAnsi="宋体" w:eastAsia="宋体" w:cs="宋体"/>
          <w:sz w:val="24"/>
          <w:szCs w:val="24"/>
        </w:rPr>
        <w:t>。</w:t>
      </w:r>
    </w:p>
    <w:p w14:paraId="795B39D1">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11.2谈判报价表</w:t>
      </w:r>
      <w:r>
        <w:rPr>
          <w:rFonts w:hint="eastAsia" w:ascii="宋体" w:hAnsi="宋体" w:eastAsia="宋体" w:cs="宋体"/>
          <w:sz w:val="24"/>
          <w:szCs w:val="24"/>
          <w:lang w:eastAsia="zh-CN"/>
        </w:rPr>
        <w:t>标</w:t>
      </w:r>
      <w:r>
        <w:rPr>
          <w:rFonts w:hint="eastAsia" w:ascii="宋体" w:hAnsi="宋体" w:eastAsia="宋体" w:cs="宋体"/>
          <w:sz w:val="24"/>
          <w:szCs w:val="24"/>
        </w:rPr>
        <w:t>明的价格应为履行合同的固定价格，不得以任何理由予以变更。以可调整的价格提交的竞争性谈判响应文件将被废标。</w:t>
      </w:r>
    </w:p>
    <w:p w14:paraId="69F261F6">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11.3谈判报价：总包交钥匙价（精确到小数点后二位）</w:t>
      </w:r>
      <w:r>
        <w:rPr>
          <w:rFonts w:hint="eastAsia" w:ascii="宋体" w:hAnsi="宋体" w:eastAsia="宋体" w:cs="宋体"/>
          <w:sz w:val="24"/>
          <w:szCs w:val="24"/>
          <w:lang w:eastAsia="zh-CN"/>
        </w:rPr>
        <w:t>。</w:t>
      </w:r>
    </w:p>
    <w:p w14:paraId="7B2CD0BD">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sz w:val="24"/>
          <w:szCs w:val="24"/>
          <w:lang w:val="en-US" w:eastAsia="zh-CN"/>
        </w:rPr>
        <w:t>11.4</w:t>
      </w:r>
      <w:r>
        <w:rPr>
          <w:rFonts w:hint="eastAsia" w:ascii="宋体" w:hAnsi="宋体" w:eastAsia="宋体" w:cs="宋体"/>
          <w:sz w:val="24"/>
          <w:szCs w:val="24"/>
          <w:lang w:eastAsia="zh-CN"/>
        </w:rPr>
        <w:t>谈判小组认为谈判人的报价明显低于其他通过符合性审查谈判人的报价，有可能影响产品质量或者不能诚信履约的，应当要求其在评标现场合理的时间内提供书面说明，必要时提交相关证明材料；谈判人不能证明其报价合理性的，谈判小组应当将其作为无效投标处理。</w:t>
      </w:r>
    </w:p>
    <w:p w14:paraId="7112A3DE">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12.证明谈判人合格和资格的文件</w:t>
      </w:r>
    </w:p>
    <w:p w14:paraId="09AF3115">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12.1谈判人应按照竞争性谈判文件须知前附表的要求，在竞争性谈判响应文件中提交合格的资格证明文件。如果资格证明文件不全或不合格的，其谈判将被作投标无效处理。</w:t>
      </w:r>
    </w:p>
    <w:p w14:paraId="514682F0">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13.证明的合格性和符合竞争性谈判文件规定的文件</w:t>
      </w:r>
    </w:p>
    <w:p w14:paraId="7E321D7A">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13.1供应商应在竞争性谈判响应文件中提交的服务满足竞争性谈判文件要求并符合国家法律法规、行业管理部门要求的其他强制性标准的证明文件。缺少证明文件或证明文件不合格的谈判，与竞争性谈判文件要求有重大偏离的谈判，不符合国家法律法规、行业管理部门要求的其他强制性标准的谈判将被废标。</w:t>
      </w:r>
    </w:p>
    <w:p w14:paraId="62D178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13.2上述证明文件可以是文字资料、图纸、图片和数量，它包括：</w:t>
      </w:r>
    </w:p>
    <w:p w14:paraId="5F131A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13.2.1 完整的服务方案；</w:t>
      </w:r>
    </w:p>
    <w:p w14:paraId="01C02C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13.2.2 逐条对竞争性谈判文件提出的技术要求和商务要求进行应答，说明所提供的服务对竞争性谈判的技术和商务要求是否做出了实质性响应并提供支持文件；</w:t>
      </w:r>
    </w:p>
    <w:p w14:paraId="3A6360B0">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13.2.3 服务范围和内容的详细说明。</w:t>
      </w:r>
    </w:p>
    <w:p w14:paraId="6C0CD494">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14.谈判保证金</w:t>
      </w:r>
    </w:p>
    <w:p w14:paraId="7DAAFD03">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14.1</w:t>
      </w:r>
      <w:r>
        <w:rPr>
          <w:rFonts w:hint="eastAsia" w:ascii="宋体" w:hAnsi="宋体" w:eastAsia="宋体" w:cs="宋体"/>
          <w:sz w:val="24"/>
          <w:szCs w:val="24"/>
          <w:lang w:eastAsia="zh-CN"/>
        </w:rPr>
        <w:t>供应商</w:t>
      </w:r>
      <w:r>
        <w:rPr>
          <w:rFonts w:hint="eastAsia" w:ascii="宋体" w:hAnsi="宋体" w:eastAsia="宋体" w:cs="宋体"/>
          <w:sz w:val="24"/>
          <w:szCs w:val="24"/>
        </w:rPr>
        <w:t>在谈判时应向</w:t>
      </w:r>
      <w:r>
        <w:rPr>
          <w:rFonts w:hint="eastAsia" w:ascii="宋体" w:hAnsi="宋体" w:eastAsia="宋体" w:cs="宋体"/>
          <w:sz w:val="24"/>
          <w:szCs w:val="24"/>
          <w:lang w:eastAsia="zh-CN"/>
        </w:rPr>
        <w:t>陕西盛誉恒正项目管理有限公司</w:t>
      </w:r>
      <w:r>
        <w:rPr>
          <w:rFonts w:hint="eastAsia" w:ascii="宋体" w:hAnsi="宋体" w:eastAsia="宋体" w:cs="宋体"/>
          <w:sz w:val="24"/>
          <w:szCs w:val="24"/>
        </w:rPr>
        <w:t>提交“须知前附表”规定数额的谈判保证金,并作为其谈判的一部分。</w:t>
      </w:r>
    </w:p>
    <w:p w14:paraId="337332CC">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14.2谈判保证金是为了保护竞争性谈判采购单位（包括</w:t>
      </w:r>
      <w:r>
        <w:rPr>
          <w:rFonts w:hint="eastAsia" w:ascii="宋体" w:hAnsi="宋体" w:eastAsia="宋体" w:cs="宋体"/>
          <w:sz w:val="24"/>
          <w:szCs w:val="24"/>
          <w:lang w:eastAsia="zh-CN"/>
        </w:rPr>
        <w:t>陕西盛誉恒正项目管理有限公司</w:t>
      </w:r>
      <w:r>
        <w:rPr>
          <w:rFonts w:hint="eastAsia" w:ascii="宋体" w:hAnsi="宋体" w:eastAsia="宋体" w:cs="宋体"/>
          <w:sz w:val="24"/>
          <w:szCs w:val="24"/>
        </w:rPr>
        <w:t>及采购人）免遭因</w:t>
      </w:r>
      <w:r>
        <w:rPr>
          <w:rFonts w:hint="eastAsia" w:ascii="宋体" w:hAnsi="宋体" w:eastAsia="宋体" w:cs="宋体"/>
          <w:sz w:val="24"/>
          <w:szCs w:val="24"/>
          <w:lang w:eastAsia="zh-CN"/>
        </w:rPr>
        <w:t>供应商</w:t>
      </w:r>
      <w:r>
        <w:rPr>
          <w:rFonts w:hint="eastAsia" w:ascii="宋体" w:hAnsi="宋体" w:eastAsia="宋体" w:cs="宋体"/>
          <w:sz w:val="24"/>
          <w:szCs w:val="24"/>
        </w:rPr>
        <w:t>的行为而蒙受损失。竞争性谈判采购单位在因</w:t>
      </w:r>
      <w:r>
        <w:rPr>
          <w:rFonts w:hint="eastAsia" w:ascii="宋体" w:hAnsi="宋体" w:eastAsia="宋体" w:cs="宋体"/>
          <w:sz w:val="24"/>
          <w:szCs w:val="24"/>
          <w:lang w:eastAsia="zh-CN"/>
        </w:rPr>
        <w:t>供应商</w:t>
      </w:r>
      <w:r>
        <w:rPr>
          <w:rFonts w:hint="eastAsia" w:ascii="宋体" w:hAnsi="宋体" w:eastAsia="宋体" w:cs="宋体"/>
          <w:sz w:val="24"/>
          <w:szCs w:val="24"/>
        </w:rPr>
        <w:t>的行为受到损害时可根据本须知的规定没收</w:t>
      </w:r>
      <w:r>
        <w:rPr>
          <w:rFonts w:hint="eastAsia" w:ascii="宋体" w:hAnsi="宋体" w:eastAsia="宋体" w:cs="宋体"/>
          <w:sz w:val="24"/>
          <w:szCs w:val="24"/>
          <w:lang w:eastAsia="zh-CN"/>
        </w:rPr>
        <w:t>供应商</w:t>
      </w:r>
      <w:r>
        <w:rPr>
          <w:rFonts w:hint="eastAsia" w:ascii="宋体" w:hAnsi="宋体" w:eastAsia="宋体" w:cs="宋体"/>
          <w:sz w:val="24"/>
          <w:szCs w:val="24"/>
        </w:rPr>
        <w:t>的谈判保证金。</w:t>
      </w:r>
    </w:p>
    <w:p w14:paraId="61322845">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14.3谈判保证金可采取转账或电汇的非现金形式缴纳（具体要求见须知前附表）。</w:t>
      </w:r>
    </w:p>
    <w:p w14:paraId="005C067D">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14.4谈判保证金必须按照谈判文件“</w:t>
      </w:r>
      <w:r>
        <w:rPr>
          <w:rFonts w:hint="eastAsia" w:ascii="宋体" w:hAnsi="宋体" w:eastAsia="宋体" w:cs="宋体"/>
          <w:sz w:val="24"/>
          <w:szCs w:val="24"/>
          <w:lang w:eastAsia="zh-CN"/>
        </w:rPr>
        <w:t>供应商</w:t>
      </w:r>
      <w:r>
        <w:rPr>
          <w:rFonts w:hint="eastAsia" w:ascii="宋体" w:hAnsi="宋体" w:eastAsia="宋体" w:cs="宋体"/>
          <w:sz w:val="24"/>
          <w:szCs w:val="24"/>
        </w:rPr>
        <w:t>须知前附表”中规定的缴纳金额及方式办理。</w:t>
      </w:r>
    </w:p>
    <w:p w14:paraId="572EB9B3">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14.5谈判后经审查，未提交谈判保证金</w:t>
      </w:r>
      <w:r>
        <w:rPr>
          <w:rFonts w:hint="eastAsia" w:ascii="宋体" w:hAnsi="宋体" w:eastAsia="宋体" w:cs="宋体"/>
          <w:sz w:val="24"/>
          <w:szCs w:val="24"/>
          <w:lang w:eastAsia="zh-CN"/>
        </w:rPr>
        <w:t>信用承诺</w:t>
      </w:r>
      <w:r>
        <w:rPr>
          <w:rFonts w:hint="eastAsia" w:ascii="宋体" w:hAnsi="宋体" w:eastAsia="宋体" w:cs="宋体"/>
          <w:sz w:val="24"/>
          <w:szCs w:val="24"/>
        </w:rPr>
        <w:t>、按规定时间提交谈判保证金</w:t>
      </w:r>
      <w:r>
        <w:rPr>
          <w:rFonts w:hint="eastAsia" w:ascii="宋体" w:hAnsi="宋体" w:eastAsia="宋体" w:cs="宋体"/>
          <w:sz w:val="24"/>
          <w:szCs w:val="24"/>
          <w:lang w:eastAsia="zh-CN"/>
        </w:rPr>
        <w:t>信用承诺</w:t>
      </w:r>
      <w:r>
        <w:rPr>
          <w:rFonts w:hint="eastAsia" w:ascii="宋体" w:hAnsi="宋体" w:eastAsia="宋体" w:cs="宋体"/>
          <w:sz w:val="24"/>
          <w:szCs w:val="24"/>
        </w:rPr>
        <w:t>、谈判保证金</w:t>
      </w:r>
      <w:r>
        <w:rPr>
          <w:rFonts w:hint="eastAsia" w:ascii="宋体" w:hAnsi="宋体" w:eastAsia="宋体" w:cs="宋体"/>
          <w:sz w:val="24"/>
          <w:szCs w:val="24"/>
          <w:lang w:eastAsia="zh-CN"/>
        </w:rPr>
        <w:t>信用承诺</w:t>
      </w:r>
      <w:r>
        <w:rPr>
          <w:rFonts w:hint="eastAsia" w:ascii="宋体" w:hAnsi="宋体" w:eastAsia="宋体" w:cs="宋体"/>
          <w:sz w:val="24"/>
          <w:szCs w:val="24"/>
        </w:rPr>
        <w:t>未附在谈判响应文件内的谈判将按无效谈判处理。</w:t>
      </w:r>
    </w:p>
    <w:p w14:paraId="6E137146">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15.谈判有效期</w:t>
      </w:r>
    </w:p>
    <w:p w14:paraId="642A6842">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15.1谈判应在“须知前附表”中规定的期限内保持有效。谈判有效期不满足规定有效期的谈判将被视为非响应性谈判而予以拒绝。</w:t>
      </w:r>
    </w:p>
    <w:p w14:paraId="4B903CAA">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15.2在特殊情况下，在原谈判有效期期满之前，采购代理机构可向</w:t>
      </w:r>
      <w:r>
        <w:rPr>
          <w:rFonts w:hint="eastAsia" w:ascii="宋体" w:hAnsi="宋体" w:eastAsia="宋体" w:cs="宋体"/>
          <w:sz w:val="24"/>
          <w:szCs w:val="24"/>
          <w:lang w:eastAsia="zh-CN"/>
        </w:rPr>
        <w:t>供应商</w:t>
      </w:r>
      <w:r>
        <w:rPr>
          <w:rFonts w:hint="eastAsia" w:ascii="宋体" w:hAnsi="宋体" w:eastAsia="宋体" w:cs="宋体"/>
          <w:sz w:val="24"/>
          <w:szCs w:val="24"/>
        </w:rPr>
        <w:t>提出延长谈判有效期的要求。这种要求与答复均应以书面的形式。</w:t>
      </w:r>
      <w:r>
        <w:rPr>
          <w:rFonts w:hint="eastAsia" w:ascii="宋体" w:hAnsi="宋体" w:eastAsia="宋体" w:cs="宋体"/>
          <w:sz w:val="24"/>
          <w:szCs w:val="24"/>
          <w:lang w:eastAsia="zh-CN"/>
        </w:rPr>
        <w:t>供应商</w:t>
      </w:r>
      <w:r>
        <w:rPr>
          <w:rFonts w:hint="eastAsia" w:ascii="宋体" w:hAnsi="宋体" w:eastAsia="宋体" w:cs="宋体"/>
          <w:sz w:val="24"/>
          <w:szCs w:val="24"/>
        </w:rPr>
        <w:t>可以拒绝采购代理机构的这种要求,其谈判保证金也不被没收。同意延长的</w:t>
      </w:r>
      <w:r>
        <w:rPr>
          <w:rFonts w:hint="eastAsia" w:ascii="宋体" w:hAnsi="宋体" w:eastAsia="宋体" w:cs="宋体"/>
          <w:sz w:val="24"/>
          <w:szCs w:val="24"/>
          <w:lang w:eastAsia="zh-CN"/>
        </w:rPr>
        <w:t>供应商</w:t>
      </w:r>
      <w:r>
        <w:rPr>
          <w:rFonts w:hint="eastAsia" w:ascii="宋体" w:hAnsi="宋体" w:eastAsia="宋体" w:cs="宋体"/>
          <w:sz w:val="24"/>
          <w:szCs w:val="24"/>
        </w:rPr>
        <w:t>既不能要求也不允许修改其竞争性谈判响应文件，但要相应延长其谈判保证金的有效期。在这种情况下，本须知第14条有关谈判保证金的退还和没收的规定将在延长了的有效期内继续有效。</w:t>
      </w:r>
    </w:p>
    <w:p w14:paraId="17CBFC13">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spacing w:val="4"/>
          <w:sz w:val="24"/>
          <w:szCs w:val="24"/>
        </w:rPr>
      </w:pPr>
      <w:r>
        <w:rPr>
          <w:rFonts w:hint="eastAsia" w:ascii="宋体" w:hAnsi="宋体" w:eastAsia="宋体" w:cs="宋体"/>
          <w:b/>
          <w:sz w:val="24"/>
          <w:szCs w:val="24"/>
        </w:rPr>
        <w:t>16.竞</w:t>
      </w:r>
      <w:r>
        <w:rPr>
          <w:rFonts w:hint="eastAsia" w:ascii="宋体" w:hAnsi="宋体" w:eastAsia="宋体" w:cs="宋体"/>
          <w:b/>
          <w:bCs/>
          <w:spacing w:val="4"/>
          <w:sz w:val="24"/>
          <w:szCs w:val="24"/>
        </w:rPr>
        <w:t>争性谈判响应文件的式样和签署</w:t>
      </w:r>
    </w:p>
    <w:p w14:paraId="676E9EC8">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16</w:t>
      </w:r>
      <w:r>
        <w:rPr>
          <w:rFonts w:hint="eastAsia" w:ascii="宋体" w:hAnsi="宋体" w:eastAsia="宋体" w:cs="宋体"/>
          <w:sz w:val="24"/>
          <w:szCs w:val="24"/>
        </w:rPr>
        <w:t>.1 本项目采用电子化评审系统，其纸质谈判响应文件应从政府采购项目谈判响应文件制作软件中导出，以电子谈判响应文件为准。</w:t>
      </w:r>
    </w:p>
    <w:p w14:paraId="5F7C7562">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16.</w:t>
      </w:r>
      <w:r>
        <w:rPr>
          <w:rFonts w:hint="eastAsia" w:ascii="宋体" w:hAnsi="宋体" w:eastAsia="宋体" w:cs="宋体"/>
          <w:sz w:val="24"/>
          <w:szCs w:val="24"/>
        </w:rPr>
        <w:t>2 供应商应按照“第</w:t>
      </w:r>
      <w:r>
        <w:rPr>
          <w:rFonts w:hint="eastAsia" w:ascii="宋体" w:hAnsi="宋体" w:eastAsia="宋体" w:cs="宋体"/>
          <w:sz w:val="24"/>
          <w:szCs w:val="24"/>
          <w:lang w:eastAsia="zh-CN"/>
        </w:rPr>
        <w:t>七</w:t>
      </w:r>
      <w:r>
        <w:rPr>
          <w:rFonts w:hint="eastAsia" w:ascii="宋体" w:hAnsi="宋体" w:eastAsia="宋体" w:cs="宋体"/>
          <w:sz w:val="24"/>
          <w:szCs w:val="24"/>
        </w:rPr>
        <w:t>章 谈判响应文件构成及格式”提供的格式编写，不得缺少竞争性谈判文件要求填写的表格或提交的资料。</w:t>
      </w:r>
    </w:p>
    <w:p w14:paraId="5F28E008">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16.3任何行间插字、涂改和增删，必须由</w:t>
      </w:r>
      <w:r>
        <w:rPr>
          <w:rFonts w:hint="eastAsia" w:ascii="宋体" w:hAnsi="宋体" w:eastAsia="宋体" w:cs="宋体"/>
          <w:sz w:val="24"/>
          <w:szCs w:val="24"/>
          <w:lang w:eastAsia="zh-CN"/>
        </w:rPr>
        <w:t>供应商</w:t>
      </w:r>
      <w:r>
        <w:rPr>
          <w:rFonts w:hint="eastAsia" w:ascii="宋体" w:hAnsi="宋体" w:eastAsia="宋体" w:cs="宋体"/>
          <w:sz w:val="24"/>
          <w:szCs w:val="24"/>
        </w:rPr>
        <w:t>的法定代表人或其授权代表在旁边签字才有效。</w:t>
      </w:r>
    </w:p>
    <w:p w14:paraId="60FD0BAB">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16.4</w:t>
      </w:r>
      <w:r>
        <w:rPr>
          <w:rFonts w:hint="eastAsia" w:ascii="宋体" w:hAnsi="宋体" w:eastAsia="宋体" w:cs="宋体"/>
          <w:sz w:val="24"/>
          <w:szCs w:val="24"/>
          <w:lang w:eastAsia="zh-CN"/>
        </w:rPr>
        <w:t>供应商</w:t>
      </w:r>
      <w:r>
        <w:rPr>
          <w:rFonts w:hint="eastAsia" w:ascii="宋体" w:hAnsi="宋体" w:eastAsia="宋体" w:cs="宋体"/>
          <w:sz w:val="24"/>
          <w:szCs w:val="24"/>
        </w:rPr>
        <w:t>名称应填写全称。</w:t>
      </w:r>
    </w:p>
    <w:p w14:paraId="17E11C6C">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16.5因字迹潦草、表述不清或不按竞争性谈判文件格式编制的竞争性谈判响应文件，所引起的对</w:t>
      </w:r>
      <w:r>
        <w:rPr>
          <w:rFonts w:hint="eastAsia" w:ascii="宋体" w:hAnsi="宋体" w:eastAsia="宋体" w:cs="宋体"/>
          <w:sz w:val="24"/>
          <w:szCs w:val="24"/>
          <w:lang w:eastAsia="zh-CN"/>
        </w:rPr>
        <w:t>供应商</w:t>
      </w:r>
      <w:r>
        <w:rPr>
          <w:rFonts w:hint="eastAsia" w:ascii="宋体" w:hAnsi="宋体" w:eastAsia="宋体" w:cs="宋体"/>
          <w:sz w:val="24"/>
          <w:szCs w:val="24"/>
        </w:rPr>
        <w:t>不利的后果，由</w:t>
      </w:r>
      <w:r>
        <w:rPr>
          <w:rFonts w:hint="eastAsia" w:ascii="宋体" w:hAnsi="宋体" w:eastAsia="宋体" w:cs="宋体"/>
          <w:sz w:val="24"/>
          <w:szCs w:val="24"/>
          <w:lang w:eastAsia="zh-CN"/>
        </w:rPr>
        <w:t>供应商</w:t>
      </w:r>
      <w:r>
        <w:rPr>
          <w:rFonts w:hint="eastAsia" w:ascii="宋体" w:hAnsi="宋体" w:eastAsia="宋体" w:cs="宋体"/>
          <w:sz w:val="24"/>
          <w:szCs w:val="24"/>
        </w:rPr>
        <w:t>自行负责。</w:t>
      </w:r>
    </w:p>
    <w:p w14:paraId="1B2B93AB">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sz w:val="24"/>
          <w:szCs w:val="24"/>
        </w:rPr>
      </w:pP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lang w:val="en-US" w:eastAsia="zh-CN"/>
        </w:rPr>
        <w:t>6本项目采用电子化招投标。供应商须使用数字认证证书对电子化谈判响应文件进行签章、加密、递交及开标时解密等相关招投标事宜</w:t>
      </w:r>
      <w:r>
        <w:rPr>
          <w:rFonts w:hint="eastAsia" w:ascii="宋体" w:hAnsi="宋体" w:eastAsia="宋体" w:cs="宋体"/>
          <w:b/>
          <w:sz w:val="24"/>
          <w:szCs w:val="24"/>
        </w:rPr>
        <w:t>。</w:t>
      </w:r>
    </w:p>
    <w:p w14:paraId="332A2D7A">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16.6.1电子谈判文件下载。供应商登录全国公共资源交易平台（陕西省） 网站〖首页·〉电子交易平台·〉企业端〗后，在〖谈判公告/出让公告〗 模块中选择项目点击“我要投标”，参与投标活动。然后即可在〖我的项目〗中点击“项目流程&gt;交易文件下载”下载电子谈判文件。 </w:t>
      </w:r>
    </w:p>
    <w:p w14:paraId="046B7485">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16.6.2电子谈判文件需要使用专用软件打开、浏览。供应商可在全国公共 资源交易平台（陕西省）网站〖首页·〉服务指南·〉下载专区〗免费下载“陕西省公共资源交易平台政府采购电子标书制作工具(V8.0.0.36)”，并升级至最新版本，使用该客户端可以打开电子谈判文件。软件操作手册详见全国公共资源交易平台（陕西省）网站〖首页·〉服务指南·〉下载专区〗中的《陕西省公共资源交易（政府采购类）响应文件制作软件操作手册》。</w:t>
      </w:r>
    </w:p>
    <w:p w14:paraId="2AE9EE07">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16.6.3制作电子响应文件。电子响应文件同样需要使用上述软件进行编制。在编制过程中，如有技术性问题，请先翻阅操作手册，或致电软件开发商。 </w:t>
      </w:r>
    </w:p>
    <w:p w14:paraId="372F1CCB">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技术支持热线：4009280095、4009980000 </w:t>
      </w:r>
    </w:p>
    <w:p w14:paraId="06A2FE6A">
      <w:pPr>
        <w:pageBreakBefore w:val="0"/>
        <w:shd w:val="clear" w:color="auto" w:fill="auto"/>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CA锁购买：榆林市市民大厦四楼窗口,电话：0912-3515031</w:t>
      </w:r>
    </w:p>
    <w:p w14:paraId="1AA0D8BD">
      <w:pPr>
        <w:keepNext/>
        <w:keepLines/>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sz w:val="24"/>
          <w:szCs w:val="24"/>
        </w:rPr>
      </w:pPr>
      <w:bookmarkStart w:id="28" w:name="_Toc3004"/>
      <w:bookmarkStart w:id="29" w:name="_Toc16783"/>
      <w:bookmarkStart w:id="30" w:name="_Toc14533"/>
      <w:bookmarkStart w:id="31" w:name="_Toc11415"/>
      <w:bookmarkStart w:id="32" w:name="_Toc25365"/>
      <w:bookmarkStart w:id="33" w:name="_Toc15854"/>
      <w:bookmarkStart w:id="34" w:name="_Toc24599"/>
      <w:bookmarkStart w:id="35" w:name="_Toc25094"/>
      <w:bookmarkStart w:id="36" w:name="_Toc29632"/>
      <w:bookmarkStart w:id="37" w:name="_Toc7706"/>
      <w:bookmarkStart w:id="38" w:name="_Toc13823"/>
      <w:r>
        <w:rPr>
          <w:rFonts w:hint="eastAsia" w:ascii="宋体" w:hAnsi="宋体" w:eastAsia="宋体" w:cs="宋体"/>
          <w:sz w:val="28"/>
          <w:szCs w:val="28"/>
        </w:rPr>
        <w:t>四.竞争性谈判响应文件的递交</w:t>
      </w:r>
      <w:bookmarkEnd w:id="28"/>
      <w:bookmarkEnd w:id="29"/>
      <w:bookmarkEnd w:id="30"/>
      <w:bookmarkEnd w:id="31"/>
      <w:bookmarkEnd w:id="32"/>
      <w:bookmarkEnd w:id="33"/>
      <w:bookmarkEnd w:id="34"/>
      <w:bookmarkEnd w:id="35"/>
      <w:bookmarkEnd w:id="36"/>
      <w:bookmarkEnd w:id="37"/>
      <w:bookmarkEnd w:id="38"/>
    </w:p>
    <w:p w14:paraId="4EE9C650">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rPr>
        <w:t>17.竞争性谈判响应文件</w:t>
      </w:r>
      <w:r>
        <w:rPr>
          <w:rFonts w:hint="eastAsia" w:ascii="宋体" w:hAnsi="宋体" w:eastAsia="宋体" w:cs="宋体"/>
          <w:b/>
          <w:sz w:val="24"/>
          <w:szCs w:val="24"/>
          <w:lang w:eastAsia="zh-CN"/>
        </w:rPr>
        <w:t>下载与制作</w:t>
      </w:r>
    </w:p>
    <w:p w14:paraId="2EDBEF1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（一）响应文件的式样</w:t>
      </w:r>
    </w:p>
    <w:p w14:paraId="74D20C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本项目采用电子响应文件的形式。编制电子响应文件时，应使用最新发布的电子竞争性谈判文件及专用制作工具进行编制。并使用数字认证证书（CA 锁）对电子响应文件进行签章、加密、递交及开标时解密等相关招投标事宜。</w:t>
      </w:r>
    </w:p>
    <w:p w14:paraId="1BFD65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1、电子竞争性谈判文件下载。供应商登录全国公共资源交易平台（陕西省） 网站〖首页·〉电子交易平台·〉企业端〗后，在〖竞争性谈判公告/出让公告〗 模块中选择项目点击“我要投标”，参与投标活动。然后即可在〖我的项目〗中点击“项目流程&gt;交易文件下载”下载电子竞争性谈判文件。 </w:t>
      </w:r>
    </w:p>
    <w:p w14:paraId="3C4250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2、电子竞争性谈判文件需要使用专用软件打开、浏览。供应商可在全国公共 资源交易平台（陕西省）网站〖首页·〉服务指南·〉下载专区〗免费下载“陕西省公共资源交易平台政府采购电子标书制作工具”，并 升级至最新版本，使用该客户端可以打开电子竞争性谈判文件。软件操作手册详见全国公共资源交易平台（陕西省）网站〖首页·〉服务指南·〉下载专区〗中的《陕西省公共资源交易（政府采购类）响应文件制作软件操作手册》。</w:t>
      </w:r>
    </w:p>
    <w:p w14:paraId="2C3235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3、制作电子响应文件。电子响应文件同样需要使用上述软件进行编制。 在编制过程中，如有技术性问题，请先翻阅操作手册，或致电软件开发商。 </w:t>
      </w:r>
    </w:p>
    <w:p w14:paraId="3BC09EB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技术支持热线：4009280095、4009980000 </w:t>
      </w:r>
    </w:p>
    <w:p w14:paraId="7AEE03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 xml:space="preserve"> CA锁购买：榆林市市民大厦四楼窗口,电话：0912-351503</w:t>
      </w:r>
      <w:r>
        <w:rPr>
          <w:rFonts w:hint="eastAsia" w:ascii="宋体" w:hAnsi="宋体" w:eastAsia="宋体" w:cs="宋体"/>
          <w:sz w:val="24"/>
          <w:szCs w:val="24"/>
        </w:rPr>
        <w:t>1</w:t>
      </w:r>
    </w:p>
    <w:p w14:paraId="3D40F9A6">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18．竞争性谈判响应文件的递交</w:t>
      </w:r>
    </w:p>
    <w:p w14:paraId="0C57A33C">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kern w:val="2"/>
          <w:sz w:val="24"/>
          <w:szCs w:val="24"/>
          <w:lang w:val="en-US" w:eastAsia="zh-CN"/>
        </w:rPr>
      </w:pPr>
      <w:r>
        <w:rPr>
          <w:rFonts w:hint="eastAsia" w:ascii="宋体" w:hAnsi="宋体" w:eastAsia="宋体" w:cs="宋体"/>
          <w:b w:val="0"/>
          <w:bCs/>
          <w:color w:val="auto"/>
          <w:kern w:val="2"/>
          <w:sz w:val="24"/>
          <w:szCs w:val="24"/>
        </w:rPr>
        <w:t>本项目采用</w:t>
      </w:r>
      <w:r>
        <w:rPr>
          <w:rFonts w:hint="eastAsia" w:ascii="宋体" w:hAnsi="宋体" w:eastAsia="宋体" w:cs="宋体"/>
          <w:b w:val="0"/>
          <w:bCs/>
          <w:color w:val="auto"/>
          <w:kern w:val="2"/>
          <w:sz w:val="24"/>
          <w:szCs w:val="24"/>
          <w:lang w:eastAsia="zh-CN"/>
        </w:rPr>
        <w:t>电子</w:t>
      </w:r>
      <w:r>
        <w:rPr>
          <w:rFonts w:hint="eastAsia" w:ascii="宋体" w:hAnsi="宋体" w:eastAsia="宋体" w:cs="宋体"/>
          <w:b w:val="0"/>
          <w:bCs/>
          <w:sz w:val="24"/>
          <w:szCs w:val="24"/>
        </w:rPr>
        <w:t>谈判响应</w:t>
      </w:r>
      <w:r>
        <w:rPr>
          <w:rFonts w:hint="eastAsia" w:ascii="宋体" w:hAnsi="宋体" w:eastAsia="宋体" w:cs="宋体"/>
          <w:b w:val="0"/>
          <w:bCs/>
          <w:color w:val="auto"/>
          <w:kern w:val="2"/>
          <w:sz w:val="24"/>
          <w:szCs w:val="24"/>
          <w:lang w:eastAsia="zh-CN"/>
        </w:rPr>
        <w:t>文件递交。</w:t>
      </w:r>
    </w:p>
    <w:p w14:paraId="0B8761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18.1 电子</w:t>
      </w:r>
      <w:r>
        <w:rPr>
          <w:rFonts w:hint="eastAsia" w:ascii="宋体" w:hAnsi="宋体" w:eastAsia="宋体" w:cs="宋体"/>
          <w:b w:val="0"/>
          <w:bCs/>
          <w:sz w:val="24"/>
          <w:szCs w:val="24"/>
        </w:rPr>
        <w:t>谈判响应</w:t>
      </w:r>
      <w:r>
        <w:rPr>
          <w:rFonts w:hint="eastAsia" w:ascii="宋体" w:hAnsi="宋体" w:eastAsia="宋体" w:cs="宋体"/>
          <w:b w:val="0"/>
          <w:bCs/>
          <w:sz w:val="24"/>
          <w:szCs w:val="24"/>
          <w:lang w:val="en-US" w:eastAsia="zh-CN"/>
        </w:rPr>
        <w:t xml:space="preserve">文件的递交： </w:t>
      </w:r>
    </w:p>
    <w:p w14:paraId="782F8D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电子</w:t>
      </w:r>
      <w:r>
        <w:rPr>
          <w:rFonts w:hint="eastAsia" w:ascii="宋体" w:hAnsi="宋体" w:eastAsia="宋体" w:cs="宋体"/>
          <w:b w:val="0"/>
          <w:bCs/>
          <w:sz w:val="24"/>
          <w:szCs w:val="24"/>
        </w:rPr>
        <w:t>谈判响应</w:t>
      </w:r>
      <w:r>
        <w:rPr>
          <w:rFonts w:hint="eastAsia" w:ascii="宋体" w:hAnsi="宋体" w:eastAsia="宋体" w:cs="宋体"/>
          <w:b w:val="0"/>
          <w:bCs/>
          <w:sz w:val="24"/>
          <w:szCs w:val="24"/>
          <w:lang w:val="en-US" w:eastAsia="zh-CN"/>
        </w:rPr>
        <w:t>文件可于提交投标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w:t>
      </w:r>
      <w:r>
        <w:rPr>
          <w:rFonts w:hint="eastAsia" w:ascii="宋体" w:hAnsi="宋体" w:eastAsia="宋体" w:cs="宋体"/>
          <w:b w:val="0"/>
          <w:bCs/>
          <w:sz w:val="24"/>
          <w:szCs w:val="24"/>
        </w:rPr>
        <w:t>谈判响应</w:t>
      </w:r>
      <w:r>
        <w:rPr>
          <w:rFonts w:hint="eastAsia" w:ascii="宋体" w:hAnsi="宋体" w:eastAsia="宋体" w:cs="宋体"/>
          <w:b w:val="0"/>
          <w:bCs/>
          <w:sz w:val="24"/>
          <w:szCs w:val="24"/>
          <w:lang w:val="en-US" w:eastAsia="zh-CN"/>
        </w:rPr>
        <w:t>文件”，上传加密的电子</w:t>
      </w:r>
      <w:r>
        <w:rPr>
          <w:rFonts w:hint="eastAsia" w:ascii="宋体" w:hAnsi="宋体" w:eastAsia="宋体" w:cs="宋体"/>
          <w:b w:val="0"/>
          <w:bCs/>
          <w:sz w:val="24"/>
          <w:szCs w:val="24"/>
        </w:rPr>
        <w:t>谈判响应</w:t>
      </w:r>
      <w:r>
        <w:rPr>
          <w:rFonts w:hint="eastAsia" w:ascii="宋体" w:hAnsi="宋体" w:eastAsia="宋体" w:cs="宋体"/>
          <w:b w:val="0"/>
          <w:bCs/>
          <w:sz w:val="24"/>
          <w:szCs w:val="24"/>
          <w:lang w:val="en-US" w:eastAsia="zh-CN"/>
        </w:rPr>
        <w:t xml:space="preserve">文件。上传成功后，电子化平台将予以记录。 </w:t>
      </w:r>
    </w:p>
    <w:p w14:paraId="15015E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right="0" w:firstLine="482" w:firstLineChars="200"/>
        <w:jc w:val="both"/>
        <w:textAlignment w:val="auto"/>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18.2 纸质版递交 </w:t>
      </w:r>
    </w:p>
    <w:p w14:paraId="0A65DC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right="0" w:firstLine="482" w:firstLineChars="200"/>
        <w:jc w:val="both"/>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供应商在成交结果公示后将成交供应商的标书（一正四副）邮寄代理机构，备案用（邮寄地址：陕西省榆林市绿洲阳光小区1号楼1单元1901，联系人：王浩南 联系电话：18717696566 ）。</w:t>
      </w:r>
    </w:p>
    <w:p w14:paraId="7AE69B4D">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19．迟交的竞争性谈判响应文件</w:t>
      </w:r>
    </w:p>
    <w:p w14:paraId="4D99793A">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19.1按照</w:t>
      </w:r>
      <w:r>
        <w:rPr>
          <w:rFonts w:hint="eastAsia" w:ascii="宋体" w:hAnsi="宋体" w:eastAsia="宋体" w:cs="宋体"/>
          <w:sz w:val="24"/>
          <w:szCs w:val="24"/>
          <w:lang w:eastAsia="zh-CN"/>
        </w:rPr>
        <w:t>供应商</w:t>
      </w:r>
      <w:r>
        <w:rPr>
          <w:rFonts w:hint="eastAsia" w:ascii="宋体" w:hAnsi="宋体" w:eastAsia="宋体" w:cs="宋体"/>
          <w:sz w:val="24"/>
          <w:szCs w:val="24"/>
        </w:rPr>
        <w:t>须知的规定，采购代理机构将拒绝接受在规定的谈判截止时间后递交的任何竞争性谈判响应文件。</w:t>
      </w:r>
    </w:p>
    <w:p w14:paraId="1A484E49">
      <w:pPr>
        <w:pageBreakBefore w:val="0"/>
        <w:kinsoku/>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20．谈判的修改与撤回</w:t>
      </w:r>
      <w:bookmarkStart w:id="39" w:name="_Toc4304"/>
      <w:bookmarkStart w:id="40" w:name="_Toc529"/>
      <w:bookmarkStart w:id="41" w:name="_Toc31334"/>
      <w:bookmarkStart w:id="42" w:name="_Toc13187"/>
      <w:bookmarkStart w:id="43" w:name="_Toc254"/>
      <w:bookmarkStart w:id="44" w:name="_Toc19638"/>
      <w:bookmarkStart w:id="45" w:name="_Toc1027"/>
      <w:bookmarkStart w:id="46" w:name="_Toc24373"/>
      <w:bookmarkStart w:id="47" w:name="_Toc28446"/>
      <w:bookmarkStart w:id="48" w:name="_Toc20540"/>
      <w:bookmarkStart w:id="49" w:name="_Toc5977"/>
    </w:p>
    <w:p w14:paraId="7F44B35B">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20.1供应商在递交响应文件后，且在提交响应文件截止时间前，可以对所提交的响应文件进行补充、修改或撤回。</w:t>
      </w:r>
    </w:p>
    <w:p w14:paraId="0A80B07B">
      <w:pPr>
        <w:pageBreakBefore w:val="0"/>
        <w:kinsoku/>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 xml:space="preserve">20.2对电子响应文件进行补充、修改的，应先从电子交易平台上撤回旧 版，再重新提交新版。 </w:t>
      </w:r>
    </w:p>
    <w:p w14:paraId="4F4ED40B">
      <w:pPr>
        <w:keepNext/>
        <w:keepLines/>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20.3响应文件提交截止时间后，供应商不得对其响应文件做任何修改。</w:t>
      </w:r>
    </w:p>
    <w:p w14:paraId="27AD1E7F">
      <w:pPr>
        <w:keepNext/>
        <w:keepLines/>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20.4供应商在提交响应文件截止时间后撤回响应文件的，投标保证金不予退还。</w:t>
      </w:r>
    </w:p>
    <w:p w14:paraId="6B204885">
      <w:pPr>
        <w:keepNext/>
        <w:keepLines/>
        <w:pageBreakBefore w:val="0"/>
        <w:widowControl w:val="0"/>
        <w:kinsoku/>
        <w:wordWrap/>
        <w:overflowPunct/>
        <w:topLinePunct w:val="0"/>
        <w:autoSpaceDE/>
        <w:autoSpaceDN/>
        <w:bidi w:val="0"/>
        <w:adjustRightInd w:val="0"/>
        <w:snapToGrid w:val="0"/>
        <w:spacing w:before="0" w:line="360" w:lineRule="auto"/>
        <w:ind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五.谈判与评审</w:t>
      </w:r>
      <w:bookmarkEnd w:id="39"/>
      <w:bookmarkEnd w:id="40"/>
      <w:bookmarkEnd w:id="41"/>
      <w:bookmarkEnd w:id="42"/>
      <w:bookmarkEnd w:id="43"/>
      <w:bookmarkEnd w:id="44"/>
      <w:bookmarkEnd w:id="45"/>
      <w:bookmarkEnd w:id="46"/>
      <w:bookmarkEnd w:id="47"/>
      <w:bookmarkEnd w:id="48"/>
      <w:bookmarkEnd w:id="49"/>
    </w:p>
    <w:p w14:paraId="4D473809">
      <w:pPr>
        <w:pageBreakBefore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21.谈判</w:t>
      </w:r>
    </w:p>
    <w:p w14:paraId="6157AC11">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sz w:val="24"/>
          <w:szCs w:val="24"/>
        </w:rPr>
        <w:t>21.1 采购代理机构在规定的时间和地点组织谈判。谈判时所有</w:t>
      </w:r>
      <w:r>
        <w:rPr>
          <w:rFonts w:hint="eastAsia" w:ascii="宋体" w:hAnsi="宋体" w:eastAsia="宋体" w:cs="宋体"/>
          <w:sz w:val="24"/>
          <w:szCs w:val="24"/>
          <w:lang w:eastAsia="zh-CN"/>
        </w:rPr>
        <w:t>供应商</w:t>
      </w:r>
      <w:r>
        <w:rPr>
          <w:rFonts w:hint="eastAsia" w:ascii="宋体" w:hAnsi="宋体" w:eastAsia="宋体" w:cs="宋体"/>
          <w:sz w:val="24"/>
          <w:szCs w:val="24"/>
        </w:rPr>
        <w:t>代表自愿参加</w:t>
      </w:r>
      <w:r>
        <w:rPr>
          <w:rFonts w:hint="eastAsia" w:ascii="宋体" w:hAnsi="宋体" w:eastAsia="宋体" w:cs="宋体"/>
          <w:color w:val="auto"/>
          <w:kern w:val="2"/>
          <w:sz w:val="24"/>
          <w:szCs w:val="24"/>
          <w:highlight w:val="none"/>
          <w:lang w:val="en-US" w:eastAsia="zh-CN" w:bidi="ar"/>
        </w:rPr>
        <w:t>不参加的视为认同开标结果，</w:t>
      </w:r>
      <w:r>
        <w:rPr>
          <w:rFonts w:hint="eastAsia" w:ascii="宋体" w:hAnsi="宋体" w:eastAsia="宋体" w:cs="宋体"/>
          <w:sz w:val="24"/>
          <w:szCs w:val="24"/>
        </w:rPr>
        <w:t>参加谈判的代表应签到</w:t>
      </w:r>
      <w:r>
        <w:rPr>
          <w:rFonts w:hint="eastAsia" w:ascii="宋体" w:hAnsi="宋体" w:eastAsia="宋体" w:cs="宋体"/>
          <w:color w:val="000000"/>
          <w:sz w:val="24"/>
          <w:szCs w:val="24"/>
        </w:rPr>
        <w:t>证明其出席。</w:t>
      </w:r>
    </w:p>
    <w:p w14:paraId="08B49B0C">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21.2开标时，</w:t>
      </w:r>
      <w:r>
        <w:rPr>
          <w:rFonts w:hint="eastAsia" w:ascii="宋体" w:hAnsi="宋体" w:eastAsia="宋体" w:cs="宋体"/>
          <w:color w:val="auto"/>
          <w:kern w:val="2"/>
          <w:sz w:val="24"/>
          <w:szCs w:val="24"/>
          <w:highlight w:val="none"/>
          <w:lang w:val="en-US" w:eastAsia="zh-CN" w:bidi="ar"/>
        </w:rPr>
        <w:t>由供应商将电子投标文件解密后，由</w:t>
      </w:r>
      <w:r>
        <w:rPr>
          <w:rFonts w:hint="eastAsia" w:ascii="宋体" w:hAnsi="宋体" w:eastAsia="宋体" w:cs="宋体"/>
          <w:sz w:val="24"/>
          <w:szCs w:val="24"/>
        </w:rPr>
        <w:t>采购代理机构</w:t>
      </w:r>
      <w:r>
        <w:rPr>
          <w:rFonts w:hint="eastAsia" w:ascii="宋体" w:hAnsi="宋体" w:eastAsia="宋体" w:cs="宋体"/>
          <w:sz w:val="24"/>
          <w:szCs w:val="24"/>
          <w:lang w:eastAsia="zh-CN"/>
        </w:rPr>
        <w:t>记录</w:t>
      </w:r>
      <w:r>
        <w:rPr>
          <w:rFonts w:hint="eastAsia" w:ascii="宋体" w:hAnsi="宋体" w:eastAsia="宋体" w:cs="宋体"/>
          <w:sz w:val="24"/>
          <w:szCs w:val="24"/>
        </w:rPr>
        <w:t>项目名称、项目编号、</w:t>
      </w:r>
      <w:r>
        <w:rPr>
          <w:rFonts w:hint="eastAsia" w:ascii="宋体" w:hAnsi="宋体" w:eastAsia="宋体" w:cs="宋体"/>
          <w:sz w:val="24"/>
          <w:szCs w:val="24"/>
          <w:lang w:eastAsia="zh-CN"/>
        </w:rPr>
        <w:t>供应商</w:t>
      </w:r>
      <w:r>
        <w:rPr>
          <w:rFonts w:hint="eastAsia" w:ascii="宋体" w:hAnsi="宋体" w:eastAsia="宋体" w:cs="宋体"/>
          <w:sz w:val="24"/>
          <w:szCs w:val="24"/>
        </w:rPr>
        <w:t>名称、文件份数等内容，以及采购代理机构认为合适的其他内容，各</w:t>
      </w:r>
      <w:r>
        <w:rPr>
          <w:rFonts w:hint="eastAsia" w:ascii="宋体" w:hAnsi="宋体" w:eastAsia="宋体" w:cs="宋体"/>
          <w:sz w:val="24"/>
          <w:szCs w:val="24"/>
          <w:lang w:eastAsia="zh-CN"/>
        </w:rPr>
        <w:t>供应商</w:t>
      </w:r>
      <w:r>
        <w:rPr>
          <w:rFonts w:hint="eastAsia" w:ascii="宋体" w:hAnsi="宋体" w:eastAsia="宋体" w:cs="宋体"/>
          <w:sz w:val="24"/>
          <w:szCs w:val="24"/>
        </w:rPr>
        <w:t>的每轮谈判报价不予公布。</w:t>
      </w:r>
    </w:p>
    <w:p w14:paraId="29E82821">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21.4 采购代理机构将对开标过程做记录，由</w:t>
      </w:r>
      <w:r>
        <w:rPr>
          <w:rFonts w:hint="eastAsia" w:ascii="宋体" w:hAnsi="宋体" w:eastAsia="宋体" w:cs="宋体"/>
          <w:sz w:val="24"/>
          <w:szCs w:val="24"/>
          <w:lang w:eastAsia="zh-CN"/>
        </w:rPr>
        <w:t>供应商</w:t>
      </w:r>
      <w:r>
        <w:rPr>
          <w:rFonts w:hint="eastAsia" w:ascii="宋体" w:hAnsi="宋体" w:eastAsia="宋体" w:cs="宋体"/>
          <w:sz w:val="24"/>
          <w:szCs w:val="24"/>
        </w:rPr>
        <w:t>授权代表签字确认。</w:t>
      </w:r>
    </w:p>
    <w:p w14:paraId="0113C8F3">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21.5谈判有效</w:t>
      </w:r>
      <w:r>
        <w:rPr>
          <w:rFonts w:hint="eastAsia" w:ascii="宋体" w:hAnsi="宋体" w:eastAsia="宋体" w:cs="宋体"/>
          <w:sz w:val="24"/>
          <w:szCs w:val="24"/>
          <w:lang w:eastAsia="zh-CN"/>
        </w:rPr>
        <w:t>供应商</w:t>
      </w:r>
      <w:r>
        <w:rPr>
          <w:rFonts w:hint="eastAsia" w:ascii="宋体" w:hAnsi="宋体" w:eastAsia="宋体" w:cs="宋体"/>
          <w:sz w:val="24"/>
          <w:szCs w:val="24"/>
        </w:rPr>
        <w:t>不足三家的，按照国家相关法律及规定执行。</w:t>
      </w:r>
    </w:p>
    <w:p w14:paraId="35CF8E69">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21.6 采购代理机构将做开标记录，存档备查。</w:t>
      </w:r>
    </w:p>
    <w:p w14:paraId="3FFCCB9D">
      <w:pPr>
        <w:pageBreakBefore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22．对</w:t>
      </w:r>
      <w:r>
        <w:rPr>
          <w:rFonts w:hint="eastAsia" w:ascii="宋体" w:hAnsi="宋体" w:eastAsia="宋体" w:cs="宋体"/>
          <w:b/>
          <w:sz w:val="24"/>
          <w:szCs w:val="24"/>
          <w:lang w:eastAsia="zh-CN"/>
        </w:rPr>
        <w:t>供应商</w:t>
      </w:r>
      <w:r>
        <w:rPr>
          <w:rFonts w:hint="eastAsia" w:ascii="宋体" w:hAnsi="宋体" w:eastAsia="宋体" w:cs="宋体"/>
          <w:b/>
          <w:sz w:val="24"/>
          <w:szCs w:val="24"/>
        </w:rPr>
        <w:t>资格的审查</w:t>
      </w:r>
    </w:p>
    <w:p w14:paraId="6BB5FD4A">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22.1</w:t>
      </w:r>
      <w:r>
        <w:rPr>
          <w:rFonts w:hint="eastAsia" w:ascii="宋体" w:hAnsi="宋体" w:eastAsia="宋体" w:cs="宋体"/>
          <w:sz w:val="24"/>
          <w:szCs w:val="24"/>
          <w:lang w:eastAsia="zh-CN"/>
        </w:rPr>
        <w:t>供应商讲提供</w:t>
      </w:r>
      <w:r>
        <w:rPr>
          <w:rFonts w:hint="eastAsia" w:ascii="宋体" w:hAnsi="宋体" w:eastAsia="宋体" w:cs="宋体"/>
          <w:sz w:val="24"/>
          <w:szCs w:val="24"/>
        </w:rPr>
        <w:t>谈判公告及文件中的相应资格证明文件</w:t>
      </w:r>
      <w:r>
        <w:rPr>
          <w:rFonts w:hint="eastAsia" w:ascii="宋体" w:hAnsi="宋体" w:eastAsia="宋体" w:cs="宋体"/>
          <w:sz w:val="24"/>
          <w:szCs w:val="24"/>
          <w:lang w:eastAsia="zh-CN"/>
        </w:rPr>
        <w:t>材料。</w:t>
      </w:r>
    </w:p>
    <w:p w14:paraId="32D8C10B">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22.2对</w:t>
      </w:r>
      <w:r>
        <w:rPr>
          <w:rFonts w:hint="eastAsia" w:ascii="宋体" w:hAnsi="宋体" w:eastAsia="宋体" w:cs="宋体"/>
          <w:sz w:val="24"/>
          <w:szCs w:val="24"/>
          <w:lang w:eastAsia="zh-CN"/>
        </w:rPr>
        <w:t>供应商</w:t>
      </w:r>
      <w:r>
        <w:rPr>
          <w:rFonts w:hint="eastAsia" w:ascii="宋体" w:hAnsi="宋体" w:eastAsia="宋体" w:cs="宋体"/>
          <w:sz w:val="24"/>
          <w:szCs w:val="24"/>
        </w:rPr>
        <w:t>资格性审查在谈判时进行，资格性审查不合格者不进入下一步评审。</w:t>
      </w:r>
    </w:p>
    <w:p w14:paraId="211D70DA">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22.3 对谈判响应文件含义不明确、同类问题表述不一致或者有明显文字和计算错误的内容，谈判小组可以要求</w:t>
      </w:r>
      <w:r>
        <w:rPr>
          <w:rFonts w:hint="eastAsia" w:ascii="宋体" w:hAnsi="宋体" w:eastAsia="宋体" w:cs="宋体"/>
          <w:sz w:val="24"/>
          <w:szCs w:val="24"/>
          <w:lang w:eastAsia="zh-CN"/>
        </w:rPr>
        <w:t>供应商</w:t>
      </w:r>
      <w:r>
        <w:rPr>
          <w:rFonts w:hint="eastAsia" w:ascii="宋体" w:hAnsi="宋体" w:eastAsia="宋体" w:cs="宋体"/>
          <w:sz w:val="24"/>
          <w:szCs w:val="24"/>
        </w:rPr>
        <w:t>在规定的时间内做出必要的澄清、说明或者纠正。</w:t>
      </w:r>
      <w:r>
        <w:rPr>
          <w:rFonts w:hint="eastAsia" w:ascii="宋体" w:hAnsi="宋体" w:eastAsia="宋体" w:cs="宋体"/>
          <w:sz w:val="24"/>
          <w:szCs w:val="24"/>
          <w:lang w:eastAsia="zh-CN"/>
        </w:rPr>
        <w:t>供应商</w:t>
      </w:r>
      <w:r>
        <w:rPr>
          <w:rFonts w:hint="eastAsia" w:ascii="宋体" w:hAnsi="宋体" w:eastAsia="宋体" w:cs="宋体"/>
          <w:sz w:val="24"/>
          <w:szCs w:val="24"/>
        </w:rPr>
        <w:t>的澄清、说明或者补正应当采用书面形式，有其授权的代表签字，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并不得超出谈判响应文件的范围或者改变谈判响应文件的实质性内容。</w:t>
      </w:r>
    </w:p>
    <w:p w14:paraId="37C34B8D">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22.4 澄清文件将作为谈判响应文件的一部分。</w:t>
      </w:r>
    </w:p>
    <w:p w14:paraId="7E3F993E">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22.5 算术错误将按以下方法更正：</w:t>
      </w:r>
    </w:p>
    <w:p w14:paraId="564640FE">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22.5.1 谈判响应文件的大写金额和小写金额不一致的，以大写金额为准；</w:t>
      </w:r>
    </w:p>
    <w:p w14:paraId="0E39E880">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22.5.2 总价金额与按单价汇总金额不一致的，以单价金额计算结果为准；</w:t>
      </w:r>
    </w:p>
    <w:p w14:paraId="5F930F23">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22.5.3 单价金额小数点有明显错位的，应当以总价为准，并修改单价；</w:t>
      </w:r>
    </w:p>
    <w:p w14:paraId="091F6970">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22.5.4 对不同文字文本谈判响应文件的解释发生异议的，以中文文本为准；</w:t>
      </w:r>
    </w:p>
    <w:p w14:paraId="6EBB55B3">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22.5.5 对于</w:t>
      </w:r>
      <w:r>
        <w:rPr>
          <w:rFonts w:hint="eastAsia" w:ascii="宋体" w:hAnsi="宋体" w:eastAsia="宋体" w:cs="宋体"/>
          <w:sz w:val="24"/>
          <w:szCs w:val="24"/>
          <w:lang w:eastAsia="zh-CN"/>
        </w:rPr>
        <w:t>供应商</w:t>
      </w:r>
      <w:r>
        <w:rPr>
          <w:rFonts w:hint="eastAsia" w:ascii="宋体" w:hAnsi="宋体" w:eastAsia="宋体" w:cs="宋体"/>
          <w:sz w:val="24"/>
          <w:szCs w:val="24"/>
        </w:rPr>
        <w:t>不接受对其错误的更改，其谈判属于无效谈判情形</w:t>
      </w:r>
      <w:r>
        <w:rPr>
          <w:rFonts w:hint="eastAsia" w:ascii="宋体" w:hAnsi="宋体" w:eastAsia="宋体" w:cs="宋体"/>
          <w:sz w:val="24"/>
          <w:szCs w:val="24"/>
          <w:lang w:eastAsia="zh-CN"/>
        </w:rPr>
        <w:t>；</w:t>
      </w:r>
    </w:p>
    <w:p w14:paraId="5C733BD4">
      <w:pPr>
        <w:pageBreakBefore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23.</w:t>
      </w:r>
      <w:r>
        <w:rPr>
          <w:rFonts w:hint="eastAsia" w:ascii="宋体" w:hAnsi="宋体" w:eastAsia="宋体" w:cs="宋体"/>
          <w:b/>
          <w:sz w:val="24"/>
          <w:szCs w:val="24"/>
        </w:rPr>
        <w:t>评审组织及评审原则</w:t>
      </w:r>
    </w:p>
    <w:p w14:paraId="3F042480">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1按照中华人民共和国财政部令第74号--《政府采购非招标采购方式管理办法》的规定，依法组建谈判小组。谈判小组由采购人代表和有关技术、经济等方面的专家组成，谈判小组按照竞争性谈判文件规定的评审方法独立进行评审工作。</w:t>
      </w:r>
    </w:p>
    <w:p w14:paraId="46559DCC">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.2竞争性谈判文件和竞争性谈判响应文件是评审的依据。在评审中，不得改变竞争性谈判文件中规定的评审标准、方法和成交条件。</w:t>
      </w:r>
    </w:p>
    <w:p w14:paraId="5EC42533">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.3在评审期间，对竞争性谈判响应文件中含义不明确、同类问题表述不一致或者有明显文字和计算错误的内容，谈判小组可以书面形式（由谈判小组专家签字）要求</w:t>
      </w:r>
      <w:r>
        <w:rPr>
          <w:rFonts w:hint="eastAsia" w:ascii="宋体" w:hAnsi="宋体" w:eastAsia="宋体" w:cs="宋体"/>
          <w:sz w:val="24"/>
          <w:szCs w:val="24"/>
          <w:lang w:eastAsia="zh-CN"/>
        </w:rPr>
        <w:t>供应商</w:t>
      </w:r>
      <w:r>
        <w:rPr>
          <w:rFonts w:hint="eastAsia" w:ascii="宋体" w:hAnsi="宋体" w:eastAsia="宋体" w:cs="宋体"/>
          <w:sz w:val="24"/>
          <w:szCs w:val="24"/>
        </w:rPr>
        <w:t>做出必要的澄清、说明或者纠正。</w:t>
      </w:r>
      <w:r>
        <w:rPr>
          <w:rFonts w:hint="eastAsia" w:ascii="宋体" w:hAnsi="宋体" w:eastAsia="宋体" w:cs="宋体"/>
          <w:sz w:val="24"/>
          <w:szCs w:val="24"/>
          <w:lang w:eastAsia="zh-CN"/>
        </w:rPr>
        <w:t>供应商</w:t>
      </w:r>
      <w:r>
        <w:rPr>
          <w:rFonts w:hint="eastAsia" w:ascii="宋体" w:hAnsi="宋体" w:eastAsia="宋体" w:cs="宋体"/>
          <w:sz w:val="24"/>
          <w:szCs w:val="24"/>
        </w:rPr>
        <w:t>的澄清、说明或者补正应当采用书面形式，由其授权的代表签字，并不得超出竞争性谈判响应文件的范围或者改变竞争性谈判响应文件的实质性内容</w:t>
      </w:r>
      <w:r>
        <w:rPr>
          <w:rFonts w:hint="eastAsia" w:ascii="宋体" w:hAnsi="宋体" w:eastAsia="宋体" w:cs="宋体"/>
          <w:sz w:val="24"/>
          <w:szCs w:val="24"/>
          <w:lang w:eastAsia="zh-CN"/>
        </w:rPr>
        <w:t>。</w:t>
      </w:r>
    </w:p>
    <w:p w14:paraId="5B8FCE08">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.4如果</w:t>
      </w:r>
      <w:r>
        <w:rPr>
          <w:rFonts w:hint="eastAsia" w:ascii="宋体" w:hAnsi="宋体" w:eastAsia="宋体" w:cs="宋体"/>
          <w:sz w:val="24"/>
          <w:szCs w:val="24"/>
          <w:lang w:eastAsia="zh-CN"/>
        </w:rPr>
        <w:t>供应商</w:t>
      </w:r>
      <w:r>
        <w:rPr>
          <w:rFonts w:hint="eastAsia" w:ascii="宋体" w:hAnsi="宋体" w:eastAsia="宋体" w:cs="宋体"/>
          <w:sz w:val="24"/>
          <w:szCs w:val="24"/>
        </w:rPr>
        <w:t>在澄清规定期限内，未能答复或拒绝答复谈判小组提出的澄清要求，将由谈判小组根据其竞争性谈判响应文件按最大风险进行评审。</w:t>
      </w:r>
    </w:p>
    <w:p w14:paraId="5DB3922C">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.5谈判过程中的实质性变动：</w:t>
      </w:r>
    </w:p>
    <w:p w14:paraId="6EE9AADB">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5.1在谈判过程中，谈判小组可以根据谈判文件和谈判情况在最终报价之前实质性变动采购需求中的技术、服务要求以及合同草案条款，但不得变动竞争性谈判文件中的其他内同。实质性变动的内容，须经采购人代表确认。</w:t>
      </w:r>
    </w:p>
    <w:p w14:paraId="78EE822B">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.5.2对竞争性谈判文件做出的实质性变动是谈判文件的有效组成部分，谈判小组应当及时以书面形式通知所有参加谈判的</w:t>
      </w:r>
      <w:r>
        <w:rPr>
          <w:rFonts w:hint="eastAsia" w:ascii="宋体" w:hAnsi="宋体" w:eastAsia="宋体" w:cs="宋体"/>
          <w:sz w:val="24"/>
          <w:szCs w:val="24"/>
          <w:lang w:eastAsia="zh-CN"/>
        </w:rPr>
        <w:t>供应商</w:t>
      </w:r>
      <w:r>
        <w:rPr>
          <w:rFonts w:hint="eastAsia" w:ascii="宋体" w:hAnsi="宋体" w:eastAsia="宋体" w:cs="宋体"/>
          <w:sz w:val="24"/>
          <w:szCs w:val="24"/>
        </w:rPr>
        <w:t>。</w:t>
      </w:r>
    </w:p>
    <w:p w14:paraId="252D88FF">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.6竞争性谈判响应文件的初审（含资格性检查和符合性检查）</w:t>
      </w:r>
    </w:p>
    <w:p w14:paraId="6242314C">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.6.1谈判小组将审查竞争性谈判响应文件是否完整、资格证明文件是否齐全，谈判保证金是否合格、有无计算上的错误等。</w:t>
      </w:r>
    </w:p>
    <w:p w14:paraId="22513806">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.6.2计算错误将按以下方法更正：若单价计算的结果与总价不一致，以单价为准修改总价；若用文字表示的数值与用数字表示的数值不一致，以文字表示的数值为准。如果</w:t>
      </w:r>
      <w:r>
        <w:rPr>
          <w:rFonts w:hint="eastAsia" w:ascii="宋体" w:hAnsi="宋体" w:eastAsia="宋体" w:cs="宋体"/>
          <w:sz w:val="24"/>
          <w:szCs w:val="24"/>
          <w:lang w:eastAsia="zh-CN"/>
        </w:rPr>
        <w:t>供应商</w:t>
      </w:r>
      <w:r>
        <w:rPr>
          <w:rFonts w:hint="eastAsia" w:ascii="宋体" w:hAnsi="宋体" w:eastAsia="宋体" w:cs="宋体"/>
          <w:sz w:val="24"/>
          <w:szCs w:val="24"/>
        </w:rPr>
        <w:t>不接受对其错误的更正，其谈判将被拒绝。</w:t>
      </w:r>
    </w:p>
    <w:p w14:paraId="5D514188">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.6.3对于竞争性谈判响应文件中明显的标点符号错误或不构成实质性偏差的不正规、不一致或不规则，招标方可以接受。</w:t>
      </w:r>
    </w:p>
    <w:p w14:paraId="76CB2931">
      <w:pPr>
        <w:pageBreakBefore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.6.4在详细评审之前，根据</w:t>
      </w:r>
      <w:r>
        <w:rPr>
          <w:rFonts w:hint="eastAsia" w:ascii="宋体" w:hAnsi="宋体" w:eastAsia="宋体" w:cs="宋体"/>
          <w:sz w:val="24"/>
          <w:szCs w:val="24"/>
          <w:lang w:eastAsia="zh-CN"/>
        </w:rPr>
        <w:t>评标办法第</w:t>
      </w:r>
      <w:r>
        <w:rPr>
          <w:rFonts w:hint="eastAsia" w:ascii="宋体" w:hAnsi="宋体" w:eastAsia="宋体" w:cs="宋体"/>
          <w:sz w:val="24"/>
          <w:szCs w:val="24"/>
          <w:lang w:val="en-US" w:eastAsia="zh-CN"/>
        </w:rPr>
        <w:t>1条</w:t>
      </w:r>
      <w:r>
        <w:rPr>
          <w:rFonts w:hint="eastAsia" w:ascii="宋体" w:hAnsi="宋体" w:eastAsia="宋体" w:cs="宋体"/>
          <w:sz w:val="24"/>
          <w:szCs w:val="24"/>
        </w:rPr>
        <w:t>的规定，谈判小组要审查每份竞争性谈判响应文件是否实质上响应了竞争性谈判文件的要求。实质上响应的谈判应该是与竞争性谈判文件要求的全部条款、条件和规格参数相符，没有重大偏离的谈判。对关键条文的偏离、保留或反对将被认为是实质上的偏离。谈判小组决定谈判的响应性只根据谈判响应文件本身的内容，而不寻求外部的证据。</w:t>
      </w:r>
      <w:r>
        <w:rPr>
          <w:rFonts w:hint="eastAsia" w:ascii="宋体" w:hAnsi="宋体" w:eastAsia="宋体" w:cs="宋体"/>
          <w:sz w:val="24"/>
          <w:szCs w:val="24"/>
          <w:lang w:val="en-US" w:eastAsia="zh-CN"/>
        </w:rPr>
        <w:t xml:space="preserve">谈判小组对供应商提供的响应服务、人员配置、售后服务承诺，能满足采购人要求的，则可进行二次报价。 </w:t>
      </w:r>
    </w:p>
    <w:p w14:paraId="1E88A0A7">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.6.5实质上没有响应竞争性谈判文件要求的谈判将被拒绝。</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不得通过修正或撤销不合要求的偏离从而使其谈判成为实质性响应的谈判。如发现下列情况之一的，其谈判将构成非实质性响应，按无效投标处理：</w:t>
      </w:r>
    </w:p>
    <w:p w14:paraId="3D538AA3">
      <w:pPr>
        <w:pageBreakBefore w:val="0"/>
        <w:tabs>
          <w:tab w:val="left" w:pos="1260"/>
        </w:tabs>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1）没有按照竞争性谈判文件要求</w:t>
      </w:r>
      <w:r>
        <w:rPr>
          <w:rFonts w:hint="eastAsia" w:ascii="宋体" w:hAnsi="宋体" w:eastAsia="宋体" w:cs="宋体"/>
          <w:sz w:val="24"/>
          <w:szCs w:val="24"/>
          <w:lang w:eastAsia="zh-CN"/>
        </w:rPr>
        <w:t>提供</w:t>
      </w:r>
      <w:r>
        <w:rPr>
          <w:rFonts w:hint="eastAsia" w:ascii="宋体" w:hAnsi="宋体" w:eastAsia="宋体" w:cs="宋体"/>
          <w:sz w:val="24"/>
          <w:szCs w:val="24"/>
        </w:rPr>
        <w:t>谈判响应文件；</w:t>
      </w:r>
    </w:p>
    <w:p w14:paraId="24C7E228">
      <w:pPr>
        <w:pageBreakBefore w:val="0"/>
        <w:kinsoku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pacing w:val="-6"/>
          <w:sz w:val="24"/>
        </w:rPr>
      </w:pPr>
      <w:r>
        <w:rPr>
          <w:rFonts w:hint="eastAsia" w:ascii="宋体" w:hAnsi="宋体" w:eastAsia="宋体" w:cs="宋体"/>
          <w:sz w:val="24"/>
        </w:rPr>
        <w:t>2）谈判响应文件</w:t>
      </w:r>
      <w:r>
        <w:rPr>
          <w:rFonts w:hint="eastAsia" w:ascii="宋体" w:hAnsi="宋体" w:eastAsia="宋体" w:cs="宋体"/>
          <w:color w:val="000000"/>
          <w:sz w:val="24"/>
        </w:rPr>
        <w:t>未按竞争性谈判文件要求签署、盖章的；</w:t>
      </w:r>
    </w:p>
    <w:p w14:paraId="53B32AF2">
      <w:pPr>
        <w:pageBreakBefore w:val="0"/>
        <w:tabs>
          <w:tab w:val="left" w:pos="1260"/>
        </w:tabs>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3）供应商未按竞争性谈判文件要求提交</w:t>
      </w:r>
      <w:r>
        <w:rPr>
          <w:rFonts w:hint="eastAsia" w:ascii="宋体" w:hAnsi="宋体" w:eastAsia="宋体" w:cs="宋体"/>
          <w:sz w:val="24"/>
          <w:szCs w:val="24"/>
          <w:lang w:eastAsia="zh-CN"/>
        </w:rPr>
        <w:t>投标信用承诺的</w:t>
      </w:r>
      <w:r>
        <w:rPr>
          <w:rFonts w:hint="eastAsia" w:ascii="宋体" w:hAnsi="宋体" w:eastAsia="宋体" w:cs="宋体"/>
          <w:sz w:val="24"/>
          <w:szCs w:val="24"/>
        </w:rPr>
        <w:t>；</w:t>
      </w:r>
    </w:p>
    <w:p w14:paraId="02E315BF">
      <w:pPr>
        <w:pageBreakBefore w:val="0"/>
        <w:tabs>
          <w:tab w:val="left" w:pos="1260"/>
        </w:tabs>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4）未达到本项目资格要求或不满足谈判文件要求投标的；</w:t>
      </w:r>
    </w:p>
    <w:p w14:paraId="6D4AC8E0">
      <w:pPr>
        <w:pageBreakBefore w:val="0"/>
        <w:tabs>
          <w:tab w:val="left" w:pos="1260"/>
        </w:tabs>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5）投标书无供应商</w:t>
      </w:r>
      <w:r>
        <w:rPr>
          <w:rFonts w:hint="eastAsia" w:ascii="宋体" w:hAnsi="宋体" w:eastAsia="宋体" w:cs="宋体"/>
          <w:sz w:val="24"/>
          <w:szCs w:val="24"/>
          <w:lang w:eastAsia="zh-CN"/>
        </w:rPr>
        <w:t>电子签章</w:t>
      </w:r>
      <w:r>
        <w:rPr>
          <w:rFonts w:hint="eastAsia" w:ascii="宋体" w:hAnsi="宋体" w:eastAsia="宋体" w:cs="宋体"/>
          <w:sz w:val="24"/>
          <w:szCs w:val="24"/>
        </w:rPr>
        <w:t>、无法定代表人或授权人签章或签章人无法定代表人有效委托书的；</w:t>
      </w:r>
    </w:p>
    <w:p w14:paraId="65030193">
      <w:pPr>
        <w:pageBreakBefore w:val="0"/>
        <w:tabs>
          <w:tab w:val="left" w:pos="1260"/>
        </w:tabs>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pacing w:val="-6"/>
          <w:sz w:val="24"/>
        </w:rPr>
        <w:t>无投标有效期或有效期达不到竞争性谈判文件要求的</w:t>
      </w:r>
      <w:r>
        <w:rPr>
          <w:rFonts w:hint="eastAsia" w:ascii="宋体" w:hAnsi="宋体" w:eastAsia="宋体" w:cs="宋体"/>
          <w:sz w:val="24"/>
          <w:szCs w:val="24"/>
        </w:rPr>
        <w:t>；</w:t>
      </w:r>
    </w:p>
    <w:p w14:paraId="475A6EE6">
      <w:pPr>
        <w:pageBreakBefore w:val="0"/>
        <w:tabs>
          <w:tab w:val="left" w:pos="1260"/>
        </w:tabs>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7）供应商在同一份谈判响应文件中，有两个或多个报价的；</w:t>
      </w:r>
    </w:p>
    <w:p w14:paraId="438D525E">
      <w:pPr>
        <w:pageBreakBefore w:val="0"/>
        <w:tabs>
          <w:tab w:val="left" w:pos="1260"/>
        </w:tabs>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8）供应商有串通投标、以他人名义投标、弄虚作假、行贿等违法行为的；</w:t>
      </w:r>
    </w:p>
    <w:p w14:paraId="57E1DCE9">
      <w:pPr>
        <w:pageBreakBefore w:val="0"/>
        <w:widowControl/>
        <w:wordWrap w:val="0"/>
        <w:overflowPunct/>
        <w:topLinePunct w:val="0"/>
        <w:autoSpaceDE/>
        <w:autoSpaceDN/>
        <w:bidi w:val="0"/>
        <w:adjustRightInd w:val="0"/>
        <w:snapToGrid w:val="0"/>
        <w:spacing w:before="0" w:beforeAutospacing="0" w:afterAutospacing="0" w:line="360" w:lineRule="auto"/>
        <w:ind w:firstLine="480" w:firstLineChars="200"/>
        <w:jc w:val="left"/>
        <w:textAlignment w:val="auto"/>
        <w:rPr>
          <w:rFonts w:hint="eastAsia" w:ascii="宋体" w:hAnsi="宋体" w:eastAsia="宋体" w:cs="宋体"/>
          <w:kern w:val="2"/>
          <w:sz w:val="24"/>
          <w:lang w:val="en-US" w:eastAsia="zh-CN" w:bidi="ar-SA"/>
        </w:rPr>
      </w:pPr>
      <w:r>
        <w:rPr>
          <w:rFonts w:hint="eastAsia" w:ascii="宋体" w:hAnsi="宋体" w:eastAsia="宋体" w:cs="宋体"/>
          <w:color w:val="auto"/>
          <w:kern w:val="0"/>
          <w:sz w:val="24"/>
          <w:szCs w:val="24"/>
          <w:lang w:val="en-US" w:eastAsia="zh-CN" w:bidi="ar-SA"/>
        </w:rPr>
        <w:t>9）</w:t>
      </w:r>
      <w:r>
        <w:rPr>
          <w:rFonts w:hint="eastAsia" w:ascii="宋体" w:hAnsi="宋体" w:eastAsia="宋体" w:cs="宋体"/>
          <w:kern w:val="2"/>
          <w:sz w:val="24"/>
          <w:lang w:val="en-US" w:eastAsia="zh-CN" w:bidi="ar-SA"/>
        </w:rPr>
        <w:t>谈判响应文件含有采购人不能接受的附加条件的；</w:t>
      </w:r>
    </w:p>
    <w:p w14:paraId="544BD875">
      <w:pPr>
        <w:pageBreakBefore w:val="0"/>
        <w:widowControl/>
        <w:wordWrap w:val="0"/>
        <w:overflowPunct/>
        <w:topLinePunct w:val="0"/>
        <w:autoSpaceDE/>
        <w:autoSpaceDN/>
        <w:bidi w:val="0"/>
        <w:adjustRightInd w:val="0"/>
        <w:snapToGrid w:val="0"/>
        <w:spacing w:before="0" w:beforeAutospacing="0" w:afterAutospacing="0" w:line="360" w:lineRule="auto"/>
        <w:ind w:firstLine="480" w:firstLineChars="200"/>
        <w:jc w:val="left"/>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10）不满足第五章采购内容及要求的；</w:t>
      </w:r>
    </w:p>
    <w:p w14:paraId="00667751">
      <w:pPr>
        <w:pageBreakBefore w:val="0"/>
        <w:widowControl/>
        <w:wordWrap w:val="0"/>
        <w:overflowPunct/>
        <w:topLinePunct w:val="0"/>
        <w:autoSpaceDE/>
        <w:autoSpaceDN/>
        <w:bidi w:val="0"/>
        <w:adjustRightInd w:val="0"/>
        <w:snapToGrid w:val="0"/>
        <w:spacing w:before="0" w:beforeAutospacing="0" w:afterAutospacing="0" w:line="360" w:lineRule="auto"/>
        <w:ind w:firstLine="480" w:firstLineChars="200"/>
        <w:jc w:val="left"/>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11）逾期提交电子响应文件；</w:t>
      </w:r>
    </w:p>
    <w:p w14:paraId="74D89774">
      <w:pPr>
        <w:pageBreakBefore w:val="0"/>
        <w:widowControl/>
        <w:wordWrap w:val="0"/>
        <w:overflowPunct/>
        <w:topLinePunct w:val="0"/>
        <w:autoSpaceDE/>
        <w:autoSpaceDN/>
        <w:bidi w:val="0"/>
        <w:adjustRightInd w:val="0"/>
        <w:snapToGrid w:val="0"/>
        <w:spacing w:before="0" w:beforeAutospacing="0" w:afterAutospacing="0" w:line="360" w:lineRule="auto"/>
        <w:ind w:firstLine="480" w:firstLineChars="200"/>
        <w:jc w:val="left"/>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12）提交的响应文件与本项目不相符；</w:t>
      </w:r>
    </w:p>
    <w:p w14:paraId="4B93F52C">
      <w:pPr>
        <w:pageBreakBefore w:val="0"/>
        <w:widowControl/>
        <w:wordWrap w:val="0"/>
        <w:overflowPunct/>
        <w:topLinePunct w:val="0"/>
        <w:autoSpaceDE/>
        <w:autoSpaceDN/>
        <w:bidi w:val="0"/>
        <w:adjustRightInd w:val="0"/>
        <w:snapToGrid w:val="0"/>
        <w:spacing w:before="0" w:beforeAutospacing="0" w:afterAutospacing="0" w:line="360" w:lineRule="auto"/>
        <w:ind w:firstLine="480" w:firstLineChars="200"/>
        <w:jc w:val="left"/>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13）供应商拒绝对电子响应文件进行解密；</w:t>
      </w:r>
    </w:p>
    <w:p w14:paraId="3FA45533">
      <w:pPr>
        <w:pageBreakBefore w:val="0"/>
        <w:widowControl/>
        <w:wordWrap w:val="0"/>
        <w:overflowPunct/>
        <w:topLinePunct w:val="0"/>
        <w:autoSpaceDE/>
        <w:autoSpaceDN/>
        <w:bidi w:val="0"/>
        <w:adjustRightInd w:val="0"/>
        <w:snapToGrid w:val="0"/>
        <w:spacing w:before="0" w:beforeAutospacing="0" w:afterAutospacing="0" w:line="360" w:lineRule="auto"/>
        <w:ind w:firstLine="480" w:firstLineChars="200"/>
        <w:jc w:val="left"/>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14）因供应商自身原因（如未带CA锁、或所带CA锁与制作电子响应文件使用的CA锁不一致、或沿用旧版谈判文件编制响应文件等情形），导致在规定时间内无法解密响应文件；</w:t>
      </w:r>
    </w:p>
    <w:p w14:paraId="0CEA9621">
      <w:pPr>
        <w:pageBreakBefore w:val="0"/>
        <w:widowControl/>
        <w:wordWrap w:val="0"/>
        <w:overflowPunct/>
        <w:topLinePunct w:val="0"/>
        <w:autoSpaceDE/>
        <w:autoSpaceDN/>
        <w:bidi w:val="0"/>
        <w:adjustRightInd w:val="0"/>
        <w:snapToGrid w:val="0"/>
        <w:spacing w:before="0" w:beforeAutospacing="0" w:afterAutospacing="0" w:line="360" w:lineRule="auto"/>
        <w:ind w:firstLine="480" w:firstLineChars="200"/>
        <w:jc w:val="left"/>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15）上传的电子响应文件无法打开；</w:t>
      </w:r>
    </w:p>
    <w:p w14:paraId="4F8BA65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16）谈判文件规定的其他要求；</w:t>
      </w:r>
    </w:p>
    <w:p w14:paraId="7C1D02DD">
      <w:pPr>
        <w:pageBreakBefore w:val="0"/>
        <w:widowControl/>
        <w:wordWrap w:val="0"/>
        <w:overflowPunct/>
        <w:topLinePunct w:val="0"/>
        <w:autoSpaceDE/>
        <w:autoSpaceDN/>
        <w:bidi w:val="0"/>
        <w:adjustRightInd w:val="0"/>
        <w:snapToGrid w:val="0"/>
        <w:spacing w:before="0" w:beforeAutospacing="0" w:afterAutospacing="0" w:line="360" w:lineRule="auto"/>
        <w:ind w:firstLine="480" w:firstLineChars="200"/>
        <w:jc w:val="left"/>
        <w:textAlignment w:val="auto"/>
        <w:rPr>
          <w:rFonts w:hint="default" w:ascii="宋体" w:hAnsi="宋体" w:eastAsia="宋体" w:cs="宋体"/>
          <w:kern w:val="2"/>
          <w:sz w:val="24"/>
          <w:lang w:val="en-US" w:eastAsia="zh-CN" w:bidi="ar-SA"/>
        </w:rPr>
      </w:pPr>
      <w:r>
        <w:rPr>
          <w:rFonts w:hint="eastAsia" w:ascii="宋体" w:hAnsi="宋体" w:eastAsia="宋体" w:cs="宋体"/>
          <w:kern w:val="2"/>
          <w:sz w:val="24"/>
          <w:lang w:val="en-US" w:eastAsia="zh-CN" w:bidi="ar-SA"/>
        </w:rPr>
        <w:t>17）投标人须有经法定代表或授权委托人签字并盖章的针对本项目的售后服务承诺</w:t>
      </w:r>
      <w:r>
        <w:rPr>
          <w:rFonts w:hint="default" w:ascii="宋体" w:hAnsi="宋体" w:eastAsia="宋体" w:cs="宋体"/>
          <w:kern w:val="2"/>
          <w:sz w:val="24"/>
          <w:lang w:val="en-US" w:eastAsia="zh-CN" w:bidi="ar-SA"/>
        </w:rPr>
        <w:t>；</w:t>
      </w:r>
    </w:p>
    <w:p w14:paraId="6F10B2AC">
      <w:pPr>
        <w:pageBreakBefore w:val="0"/>
        <w:widowControl/>
        <w:wordWrap w:val="0"/>
        <w:overflowPunct/>
        <w:topLinePunct w:val="0"/>
        <w:autoSpaceDE/>
        <w:autoSpaceDN/>
        <w:bidi w:val="0"/>
        <w:adjustRightInd w:val="0"/>
        <w:snapToGrid w:val="0"/>
        <w:spacing w:before="0" w:beforeAutospacing="0" w:afterAutospacing="0" w:line="360" w:lineRule="auto"/>
        <w:ind w:firstLine="480" w:firstLineChars="200"/>
        <w:jc w:val="left"/>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18）投标人应具备完成本次服务的能力，并在人员、设备、资金等方面具有相应的组织管理能力承诺书；及质量保证承诺书；</w:t>
      </w:r>
    </w:p>
    <w:p w14:paraId="52507E4E">
      <w:pPr>
        <w:pageBreakBefore w:val="0"/>
        <w:widowControl/>
        <w:wordWrap w:val="0"/>
        <w:overflowPunct/>
        <w:topLinePunct w:val="0"/>
        <w:autoSpaceDE/>
        <w:autoSpaceDN/>
        <w:bidi w:val="0"/>
        <w:adjustRightInd w:val="0"/>
        <w:snapToGrid w:val="0"/>
        <w:spacing w:before="0" w:beforeAutospacing="0" w:afterAutospacing="0" w:line="360" w:lineRule="auto"/>
        <w:ind w:firstLine="480" w:firstLineChars="200"/>
        <w:jc w:val="left"/>
        <w:textAlignment w:val="auto"/>
        <w:rPr>
          <w:rFonts w:hint="eastAsia" w:ascii="宋体" w:hAnsi="宋体" w:cs="宋体"/>
          <w:kern w:val="2"/>
          <w:sz w:val="24"/>
          <w:lang w:val="en-US" w:eastAsia="zh-CN" w:bidi="ar-SA"/>
        </w:rPr>
      </w:pPr>
      <w:r>
        <w:rPr>
          <w:rFonts w:hint="eastAsia" w:ascii="宋体" w:hAnsi="宋体" w:eastAsia="宋体" w:cs="宋体"/>
          <w:kern w:val="2"/>
          <w:sz w:val="24"/>
          <w:lang w:val="en-US" w:eastAsia="zh-CN" w:bidi="ar-SA"/>
        </w:rPr>
        <w:t>19）本项目产品技术要求：投标人需提前与使用单位（绥德县自来水公司）进行技术沟通，并获取使用单位技术认可证明文件（提供使用单位盖章证明文件）</w:t>
      </w:r>
      <w:r>
        <w:rPr>
          <w:rFonts w:hint="eastAsia" w:ascii="宋体" w:hAnsi="宋体" w:cs="宋体"/>
          <w:kern w:val="2"/>
          <w:sz w:val="24"/>
          <w:lang w:val="en-US" w:eastAsia="zh-CN" w:bidi="ar-SA"/>
        </w:rPr>
        <w:t>；</w:t>
      </w:r>
    </w:p>
    <w:p w14:paraId="5A81C71D">
      <w:pPr>
        <w:pageBreakBefore w:val="0"/>
        <w:widowControl/>
        <w:wordWrap w:val="0"/>
        <w:overflowPunct/>
        <w:topLinePunct w:val="0"/>
        <w:autoSpaceDE/>
        <w:autoSpaceDN/>
        <w:bidi w:val="0"/>
        <w:adjustRightInd w:val="0"/>
        <w:snapToGrid w:val="0"/>
        <w:spacing w:before="0" w:beforeAutospacing="0" w:afterAutospacing="0" w:line="360" w:lineRule="auto"/>
        <w:ind w:firstLine="480" w:firstLineChars="200"/>
        <w:jc w:val="left"/>
        <w:textAlignment w:val="auto"/>
        <w:rPr>
          <w:rFonts w:hint="default" w:ascii="宋体" w:hAnsi="宋体" w:cs="宋体"/>
          <w:kern w:val="2"/>
          <w:sz w:val="24"/>
          <w:lang w:val="en-US" w:eastAsia="zh-CN" w:bidi="ar-SA"/>
        </w:rPr>
      </w:pPr>
      <w:r>
        <w:rPr>
          <w:rFonts w:hint="eastAsia" w:ascii="宋体" w:hAnsi="宋体" w:cs="宋体"/>
          <w:kern w:val="2"/>
          <w:sz w:val="24"/>
          <w:lang w:val="en-US" w:eastAsia="zh-CN" w:bidi="ar-SA"/>
        </w:rPr>
        <w:t>20）</w:t>
      </w:r>
      <w:r>
        <w:rPr>
          <w:rFonts w:hint="default" w:ascii="宋体" w:hAnsi="宋体" w:eastAsia="宋体" w:cs="宋体"/>
          <w:sz w:val="24"/>
          <w:szCs w:val="24"/>
        </w:rPr>
        <w:t>被授权人和法定代表人须提供本单位劳动合同及被授权人</w:t>
      </w:r>
      <w:r>
        <w:rPr>
          <w:rFonts w:hint="eastAsia" w:ascii="宋体" w:hAnsi="宋体" w:eastAsia="宋体" w:cs="宋体"/>
          <w:sz w:val="24"/>
          <w:szCs w:val="24"/>
        </w:rPr>
        <w:t>202</w:t>
      </w:r>
      <w:r>
        <w:rPr>
          <w:rFonts w:hint="eastAsia" w:ascii="宋体" w:hAnsi="宋体" w:eastAsia="宋体" w:cs="宋体"/>
          <w:sz w:val="24"/>
          <w:szCs w:val="24"/>
          <w:lang w:val="en-US" w:eastAsia="zh-CN"/>
        </w:rPr>
        <w:t>5年6</w:t>
      </w:r>
      <w:r>
        <w:rPr>
          <w:rFonts w:hint="default" w:ascii="宋体" w:hAnsi="宋体" w:eastAsia="宋体" w:cs="宋体"/>
          <w:sz w:val="24"/>
          <w:szCs w:val="24"/>
        </w:rPr>
        <w:t>月至今已缴存的任意一个月的社会保障资金缴纳证明</w:t>
      </w:r>
      <w:r>
        <w:rPr>
          <w:rFonts w:hint="eastAsia" w:ascii="宋体" w:hAnsi="宋体" w:eastAsia="宋体" w:cs="宋体"/>
          <w:sz w:val="24"/>
          <w:szCs w:val="24"/>
          <w:lang w:eastAsia="zh-CN"/>
        </w:rPr>
        <w:t>。</w:t>
      </w:r>
    </w:p>
    <w:p w14:paraId="528DF968">
      <w:pPr>
        <w:pageBreakBefore w:val="0"/>
        <w:shd w:val="clear" w:color="auto" w:fill="auto"/>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.7成交候选人的确定</w:t>
      </w:r>
    </w:p>
    <w:p w14:paraId="6ED4DECB">
      <w:pPr>
        <w:pageBreakBefore w:val="0"/>
        <w:shd w:val="clear" w:color="auto" w:fill="auto"/>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谈判小组完成评审后，向采购人提出书面评审，并推荐一至三名成交候选人，标明排列顺序。</w:t>
      </w:r>
    </w:p>
    <w:p w14:paraId="6FA0B437">
      <w:pPr>
        <w:pageBreakBefore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2</w:t>
      </w:r>
      <w:r>
        <w:rPr>
          <w:rFonts w:hint="eastAsia" w:ascii="宋体" w:hAnsi="宋体" w:eastAsia="宋体" w:cs="宋体"/>
          <w:b/>
          <w:sz w:val="24"/>
          <w:szCs w:val="24"/>
          <w:lang w:val="en-US" w:eastAsia="zh-CN"/>
        </w:rPr>
        <w:t>4</w:t>
      </w:r>
      <w:r>
        <w:rPr>
          <w:rFonts w:hint="eastAsia" w:ascii="宋体" w:hAnsi="宋体" w:eastAsia="宋体" w:cs="宋体"/>
          <w:b/>
          <w:sz w:val="24"/>
          <w:szCs w:val="24"/>
        </w:rPr>
        <w:t>．评审过程的保密</w:t>
      </w:r>
    </w:p>
    <w:p w14:paraId="24C5008D">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谈判小组成员和与评审活动有关的工作人员不得泄露有关竞争性谈判响应文件的评审和比较、成交候选人的推荐以及与评审有关的其他情况。</w:t>
      </w:r>
    </w:p>
    <w:p w14:paraId="13105029">
      <w:pPr>
        <w:pageBreakBefore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2</w:t>
      </w:r>
      <w:r>
        <w:rPr>
          <w:rFonts w:hint="eastAsia" w:ascii="宋体" w:hAnsi="宋体" w:eastAsia="宋体" w:cs="宋体"/>
          <w:b/>
          <w:sz w:val="24"/>
          <w:szCs w:val="24"/>
          <w:lang w:val="en-US" w:eastAsia="zh-CN"/>
        </w:rPr>
        <w:t>5</w:t>
      </w:r>
      <w:r>
        <w:rPr>
          <w:rFonts w:hint="eastAsia" w:ascii="宋体" w:hAnsi="宋体" w:eastAsia="宋体" w:cs="宋体"/>
          <w:b/>
          <w:sz w:val="24"/>
          <w:szCs w:val="24"/>
        </w:rPr>
        <w:t>．评审方法</w:t>
      </w:r>
    </w:p>
    <w:p w14:paraId="1AB26541">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1按照中华人民共和国财政部令第74号--《政府采购非招标采购方式管理办法》的规定，本次评审采用最低评标价法评审。最低评标价法，即在全部满足竞争性谈判文件实质性要求前提下，依据统一的价格要素评定最低报价，以提出最低报价的</w:t>
      </w:r>
      <w:r>
        <w:rPr>
          <w:rFonts w:hint="eastAsia" w:ascii="宋体" w:hAnsi="宋体" w:eastAsia="宋体" w:cs="宋体"/>
          <w:sz w:val="24"/>
          <w:szCs w:val="24"/>
          <w:lang w:eastAsia="zh-CN"/>
        </w:rPr>
        <w:t>供应商</w:t>
      </w:r>
      <w:r>
        <w:rPr>
          <w:rFonts w:hint="eastAsia" w:ascii="宋体" w:hAnsi="宋体" w:eastAsia="宋体" w:cs="宋体"/>
          <w:sz w:val="24"/>
          <w:szCs w:val="24"/>
        </w:rPr>
        <w:t>作为成交候选</w:t>
      </w:r>
      <w:r>
        <w:rPr>
          <w:rFonts w:hint="eastAsia" w:ascii="宋体" w:hAnsi="宋体" w:eastAsia="宋体" w:cs="宋体"/>
          <w:sz w:val="24"/>
          <w:szCs w:val="24"/>
          <w:lang w:eastAsia="zh-CN"/>
        </w:rPr>
        <w:t>供应商</w:t>
      </w:r>
      <w:r>
        <w:rPr>
          <w:rFonts w:hint="eastAsia" w:ascii="宋体" w:hAnsi="宋体" w:eastAsia="宋体" w:cs="宋体"/>
          <w:sz w:val="24"/>
          <w:szCs w:val="24"/>
        </w:rPr>
        <w:t>并依次排序。</w:t>
      </w:r>
    </w:p>
    <w:p w14:paraId="7CBC1900">
      <w:pPr>
        <w:pageBreakBefore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2</w:t>
      </w:r>
      <w:r>
        <w:rPr>
          <w:rFonts w:hint="eastAsia" w:ascii="宋体" w:hAnsi="宋体" w:eastAsia="宋体" w:cs="宋体"/>
          <w:b/>
          <w:sz w:val="24"/>
          <w:szCs w:val="24"/>
          <w:lang w:val="en-US" w:eastAsia="zh-CN"/>
        </w:rPr>
        <w:t>6</w:t>
      </w:r>
      <w:r>
        <w:rPr>
          <w:rFonts w:hint="eastAsia" w:ascii="宋体" w:hAnsi="宋体" w:eastAsia="宋体" w:cs="宋体"/>
          <w:b/>
          <w:sz w:val="24"/>
          <w:szCs w:val="24"/>
        </w:rPr>
        <w:t>．评审程序</w:t>
      </w:r>
    </w:p>
    <w:p w14:paraId="0FC7BF77">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6</w:t>
      </w:r>
      <w:r>
        <w:rPr>
          <w:rFonts w:hint="eastAsia" w:ascii="宋体" w:hAnsi="宋体" w:eastAsia="宋体" w:cs="宋体"/>
          <w:sz w:val="24"/>
          <w:szCs w:val="24"/>
        </w:rPr>
        <w:t>.1按照竞争性谈判响应文件初审、澄清有关问题、比较与评价、推荐成交候选</w:t>
      </w:r>
      <w:r>
        <w:rPr>
          <w:rFonts w:hint="eastAsia" w:ascii="宋体" w:hAnsi="宋体" w:eastAsia="宋体" w:cs="宋体"/>
          <w:sz w:val="24"/>
          <w:szCs w:val="24"/>
          <w:lang w:eastAsia="zh-CN"/>
        </w:rPr>
        <w:t>供应商</w:t>
      </w:r>
      <w:r>
        <w:rPr>
          <w:rFonts w:hint="eastAsia" w:ascii="宋体" w:hAnsi="宋体" w:eastAsia="宋体" w:cs="宋体"/>
          <w:sz w:val="24"/>
          <w:szCs w:val="24"/>
        </w:rPr>
        <w:t>名单的工作程序进行评审。按照资审、符合性审查、谈判、最终报价推荐成交候选单位等步骤进行评审，资格性审查由采购人和代理机构共同审查，符合性审查由谈判小组审查。在上一步评审中被废标者，不进入下一步的评审。</w:t>
      </w:r>
    </w:p>
    <w:p w14:paraId="170642F7">
      <w:pPr>
        <w:keepNext/>
        <w:keepLines/>
        <w:pageBreakBefore w:val="0"/>
        <w:widowControl w:val="0"/>
        <w:kinsoku/>
        <w:wordWrap/>
        <w:overflowPunct/>
        <w:topLinePunct w:val="0"/>
        <w:autoSpaceDE/>
        <w:autoSpaceDN/>
        <w:bidi w:val="0"/>
        <w:adjustRightInd w:val="0"/>
        <w:snapToGrid w:val="0"/>
        <w:spacing w:before="0" w:line="360" w:lineRule="auto"/>
        <w:ind w:firstLine="560" w:firstLineChars="200"/>
        <w:textAlignment w:val="auto"/>
        <w:outlineLvl w:val="9"/>
        <w:rPr>
          <w:rFonts w:hint="eastAsia" w:ascii="宋体" w:hAnsi="宋体" w:eastAsia="宋体" w:cs="宋体"/>
          <w:sz w:val="28"/>
          <w:szCs w:val="28"/>
        </w:rPr>
      </w:pPr>
      <w:bookmarkStart w:id="50" w:name="_Toc1226"/>
      <w:bookmarkStart w:id="51" w:name="_Toc30759"/>
      <w:bookmarkStart w:id="52" w:name="_Toc8487"/>
      <w:bookmarkStart w:id="53" w:name="_Toc15965"/>
      <w:bookmarkStart w:id="54" w:name="_Toc24279"/>
      <w:bookmarkStart w:id="55" w:name="_Toc5839"/>
      <w:bookmarkStart w:id="56" w:name="_Toc6458"/>
      <w:bookmarkStart w:id="57" w:name="_Toc27236"/>
      <w:bookmarkStart w:id="58" w:name="_Toc19912"/>
      <w:bookmarkStart w:id="59" w:name="_Toc30990"/>
      <w:bookmarkStart w:id="60" w:name="_Toc4361"/>
      <w:r>
        <w:rPr>
          <w:rFonts w:hint="eastAsia" w:ascii="宋体" w:hAnsi="宋体" w:eastAsia="宋体" w:cs="宋体"/>
          <w:sz w:val="28"/>
          <w:szCs w:val="28"/>
        </w:rPr>
        <w:t>六.成交、通知与签约</w:t>
      </w:r>
      <w:bookmarkEnd w:id="50"/>
      <w:bookmarkEnd w:id="51"/>
      <w:bookmarkEnd w:id="52"/>
      <w:bookmarkEnd w:id="53"/>
      <w:bookmarkEnd w:id="54"/>
      <w:bookmarkEnd w:id="55"/>
      <w:bookmarkEnd w:id="56"/>
      <w:bookmarkEnd w:id="57"/>
      <w:bookmarkEnd w:id="58"/>
      <w:bookmarkEnd w:id="59"/>
      <w:bookmarkEnd w:id="60"/>
    </w:p>
    <w:p w14:paraId="0C5952CE">
      <w:pPr>
        <w:pageBreakBefore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2</w:t>
      </w:r>
      <w:r>
        <w:rPr>
          <w:rFonts w:hint="eastAsia" w:ascii="宋体" w:hAnsi="宋体" w:eastAsia="宋体" w:cs="宋体"/>
          <w:b/>
          <w:sz w:val="24"/>
          <w:szCs w:val="24"/>
          <w:lang w:val="en-US" w:eastAsia="zh-CN"/>
        </w:rPr>
        <w:t>7</w:t>
      </w:r>
      <w:r>
        <w:rPr>
          <w:rFonts w:hint="eastAsia" w:ascii="宋体" w:hAnsi="宋体" w:eastAsia="宋体" w:cs="宋体"/>
          <w:b/>
          <w:sz w:val="24"/>
          <w:szCs w:val="24"/>
        </w:rPr>
        <w:t>．成交程序</w:t>
      </w:r>
    </w:p>
    <w:p w14:paraId="4A9534FB">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27.1谈判小组根据评审方法的规定对</w:t>
      </w:r>
      <w:r>
        <w:rPr>
          <w:rFonts w:hint="eastAsia" w:ascii="宋体" w:hAnsi="宋体" w:eastAsia="宋体" w:cs="宋体"/>
          <w:sz w:val="24"/>
          <w:szCs w:val="24"/>
          <w:lang w:eastAsia="zh-CN"/>
        </w:rPr>
        <w:t>供应商</w:t>
      </w:r>
      <w:r>
        <w:rPr>
          <w:rFonts w:hint="eastAsia" w:ascii="宋体" w:hAnsi="宋体" w:eastAsia="宋体" w:cs="宋体"/>
          <w:sz w:val="24"/>
          <w:szCs w:val="24"/>
        </w:rPr>
        <w:t>进行评审排序，推荐1～3名成交候选人，作为评审结果。评审结果由全体评委签字确认。</w:t>
      </w:r>
    </w:p>
    <w:p w14:paraId="6AF661FB">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27.2采购人根据谈判报告中推荐的成交候选人排列顺序，确定排名第一的为成交人。</w:t>
      </w:r>
    </w:p>
    <w:p w14:paraId="7FE7D31A">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27.3排名第一的成交候选人放弃成交、在规定期限内未能签订合同、因不可抗力不能履行合同、不按照竞争性谈判文件要求提交履约保证金，或者被查实存在影响成交结果的违法行为等情形，不符合成交条件的，采购人可以按照谈判小组提出的成交候选人名单排序依次确定其他成交候选人为成交人，也可以重新组织竞争性谈判。</w:t>
      </w:r>
    </w:p>
    <w:p w14:paraId="6F09EC5D">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27.4采购人也可以授权谈判小组评审后直接确定成交人。</w:t>
      </w:r>
    </w:p>
    <w:p w14:paraId="1FFCE760">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27.5成交人确定之后，成交结果将在财政部门指定的政府采购信息发布媒体上公告</w:t>
      </w:r>
      <w:r>
        <w:rPr>
          <w:rFonts w:hint="eastAsia" w:ascii="宋体" w:hAnsi="宋体" w:eastAsia="宋体" w:cs="宋体"/>
          <w:sz w:val="24"/>
          <w:szCs w:val="24"/>
          <w:lang w:eastAsia="zh-CN"/>
        </w:rPr>
        <w:t>，</w:t>
      </w:r>
      <w:r>
        <w:rPr>
          <w:rFonts w:hint="eastAsia" w:ascii="宋体" w:hAnsi="宋体" w:eastAsia="宋体" w:cs="宋体"/>
          <w:sz w:val="24"/>
          <w:szCs w:val="24"/>
          <w:lang w:bidi="ar"/>
        </w:rPr>
        <w:t>在公告</w:t>
      </w:r>
      <w:r>
        <w:rPr>
          <w:rFonts w:hint="eastAsia" w:ascii="宋体" w:hAnsi="宋体" w:eastAsia="宋体" w:cs="宋体"/>
          <w:sz w:val="24"/>
          <w:szCs w:val="24"/>
          <w:lang w:eastAsia="zh-CN" w:bidi="ar"/>
        </w:rPr>
        <w:t>成交</w:t>
      </w:r>
      <w:r>
        <w:rPr>
          <w:rFonts w:hint="eastAsia" w:ascii="宋体" w:hAnsi="宋体" w:eastAsia="宋体" w:cs="宋体"/>
          <w:sz w:val="24"/>
          <w:szCs w:val="24"/>
          <w:lang w:bidi="ar"/>
        </w:rPr>
        <w:t>结果的同时，采购人或者采购代理机构应当向</w:t>
      </w:r>
      <w:r>
        <w:rPr>
          <w:rFonts w:hint="eastAsia" w:ascii="宋体" w:hAnsi="宋体" w:eastAsia="宋体" w:cs="宋体"/>
          <w:sz w:val="24"/>
          <w:szCs w:val="24"/>
          <w:lang w:eastAsia="zh-CN" w:bidi="ar"/>
        </w:rPr>
        <w:t>成交</w:t>
      </w:r>
      <w:r>
        <w:rPr>
          <w:rFonts w:hint="eastAsia" w:ascii="宋体" w:hAnsi="宋体" w:eastAsia="宋体" w:cs="宋体"/>
          <w:sz w:val="24"/>
          <w:szCs w:val="24"/>
          <w:lang w:bidi="ar"/>
        </w:rPr>
        <w:t>人发出</w:t>
      </w:r>
      <w:r>
        <w:rPr>
          <w:rFonts w:hint="eastAsia" w:ascii="宋体" w:hAnsi="宋体" w:eastAsia="宋体" w:cs="宋体"/>
          <w:sz w:val="24"/>
          <w:szCs w:val="24"/>
          <w:lang w:eastAsia="zh-CN" w:bidi="ar"/>
        </w:rPr>
        <w:t>成交</w:t>
      </w:r>
      <w:r>
        <w:rPr>
          <w:rFonts w:hint="eastAsia" w:ascii="宋体" w:hAnsi="宋体" w:eastAsia="宋体" w:cs="宋体"/>
          <w:sz w:val="24"/>
          <w:szCs w:val="24"/>
          <w:lang w:bidi="ar"/>
        </w:rPr>
        <w:t>通知书；对未通过资格</w:t>
      </w:r>
      <w:r>
        <w:rPr>
          <w:rFonts w:hint="eastAsia" w:ascii="宋体" w:hAnsi="宋体" w:eastAsia="宋体" w:cs="宋体"/>
          <w:sz w:val="24"/>
          <w:szCs w:val="24"/>
          <w:lang w:eastAsia="zh-CN" w:bidi="ar"/>
        </w:rPr>
        <w:t>性</w:t>
      </w:r>
      <w:r>
        <w:rPr>
          <w:rFonts w:hint="eastAsia" w:ascii="宋体" w:hAnsi="宋体" w:eastAsia="宋体" w:cs="宋体"/>
          <w:sz w:val="24"/>
          <w:szCs w:val="24"/>
          <w:lang w:bidi="ar"/>
        </w:rPr>
        <w:t>审查</w:t>
      </w:r>
      <w:r>
        <w:rPr>
          <w:rFonts w:hint="eastAsia" w:ascii="宋体" w:hAnsi="宋体" w:eastAsia="宋体" w:cs="宋体"/>
          <w:sz w:val="24"/>
          <w:szCs w:val="24"/>
          <w:lang w:eastAsia="zh-CN" w:bidi="ar"/>
        </w:rPr>
        <w:t>及符合性审查</w:t>
      </w:r>
      <w:r>
        <w:rPr>
          <w:rFonts w:hint="eastAsia" w:ascii="宋体" w:hAnsi="宋体" w:eastAsia="宋体" w:cs="宋体"/>
          <w:sz w:val="24"/>
          <w:szCs w:val="24"/>
          <w:lang w:bidi="ar"/>
        </w:rPr>
        <w:t>的</w:t>
      </w:r>
      <w:r>
        <w:rPr>
          <w:rFonts w:hint="eastAsia" w:ascii="宋体" w:hAnsi="宋体" w:eastAsia="宋体" w:cs="宋体"/>
          <w:sz w:val="24"/>
          <w:szCs w:val="24"/>
          <w:lang w:eastAsia="zh-CN" w:bidi="ar"/>
        </w:rPr>
        <w:t>供应商</w:t>
      </w:r>
      <w:r>
        <w:rPr>
          <w:rFonts w:hint="eastAsia" w:ascii="宋体" w:hAnsi="宋体" w:eastAsia="宋体" w:cs="宋体"/>
          <w:sz w:val="24"/>
          <w:szCs w:val="24"/>
          <w:lang w:bidi="ar"/>
        </w:rPr>
        <w:t>，应当告知其未通过的原因；</w:t>
      </w:r>
      <w:r>
        <w:rPr>
          <w:rFonts w:hint="eastAsia" w:ascii="宋体" w:hAnsi="宋体" w:eastAsia="宋体" w:cs="宋体"/>
          <w:sz w:val="24"/>
          <w:szCs w:val="24"/>
          <w:lang w:eastAsia="zh-CN" w:bidi="ar"/>
        </w:rPr>
        <w:t>对通过</w:t>
      </w:r>
      <w:r>
        <w:rPr>
          <w:rFonts w:hint="eastAsia" w:ascii="宋体" w:hAnsi="宋体" w:eastAsia="宋体" w:cs="宋体"/>
          <w:sz w:val="24"/>
          <w:szCs w:val="24"/>
          <w:lang w:bidi="ar"/>
        </w:rPr>
        <w:t>资格</w:t>
      </w:r>
      <w:r>
        <w:rPr>
          <w:rFonts w:hint="eastAsia" w:ascii="宋体" w:hAnsi="宋体" w:eastAsia="宋体" w:cs="宋体"/>
          <w:sz w:val="24"/>
          <w:szCs w:val="24"/>
          <w:lang w:eastAsia="zh-CN" w:bidi="ar"/>
        </w:rPr>
        <w:t>性</w:t>
      </w:r>
      <w:r>
        <w:rPr>
          <w:rFonts w:hint="eastAsia" w:ascii="宋体" w:hAnsi="宋体" w:eastAsia="宋体" w:cs="宋体"/>
          <w:sz w:val="24"/>
          <w:szCs w:val="24"/>
          <w:lang w:bidi="ar"/>
        </w:rPr>
        <w:t>审查</w:t>
      </w:r>
      <w:r>
        <w:rPr>
          <w:rFonts w:hint="eastAsia" w:ascii="宋体" w:hAnsi="宋体" w:eastAsia="宋体" w:cs="宋体"/>
          <w:sz w:val="24"/>
          <w:szCs w:val="24"/>
          <w:lang w:eastAsia="zh-CN" w:bidi="ar"/>
        </w:rPr>
        <w:t>及符合性审查</w:t>
      </w:r>
      <w:r>
        <w:rPr>
          <w:rFonts w:hint="eastAsia" w:ascii="宋体" w:hAnsi="宋体" w:eastAsia="宋体" w:cs="宋体"/>
          <w:sz w:val="24"/>
          <w:szCs w:val="24"/>
          <w:lang w:bidi="ar"/>
        </w:rPr>
        <w:t>的</w:t>
      </w:r>
      <w:r>
        <w:rPr>
          <w:rFonts w:hint="eastAsia" w:ascii="宋体" w:hAnsi="宋体" w:eastAsia="宋体" w:cs="宋体"/>
          <w:sz w:val="24"/>
          <w:szCs w:val="24"/>
          <w:lang w:eastAsia="zh-CN" w:bidi="ar"/>
        </w:rPr>
        <w:t>且进行二次</w:t>
      </w:r>
      <w:r>
        <w:rPr>
          <w:rFonts w:hint="eastAsia" w:ascii="宋体" w:hAnsi="宋体" w:eastAsia="宋体" w:cs="宋体"/>
          <w:sz w:val="24"/>
          <w:szCs w:val="24"/>
          <w:lang w:val="en-US" w:eastAsia="zh-CN" w:bidi="ar"/>
        </w:rPr>
        <w:t>/多次</w:t>
      </w:r>
      <w:r>
        <w:rPr>
          <w:rFonts w:hint="eastAsia" w:ascii="宋体" w:hAnsi="宋体" w:eastAsia="宋体" w:cs="宋体"/>
          <w:sz w:val="24"/>
          <w:szCs w:val="24"/>
          <w:lang w:eastAsia="zh-CN" w:bidi="ar"/>
        </w:rPr>
        <w:t>报价的供应商，还应当</w:t>
      </w:r>
      <w:r>
        <w:rPr>
          <w:rFonts w:hint="eastAsia" w:ascii="宋体" w:hAnsi="宋体" w:eastAsia="宋体" w:cs="宋体"/>
          <w:sz w:val="24"/>
          <w:szCs w:val="24"/>
          <w:lang w:bidi="ar"/>
        </w:rPr>
        <w:t>告知未</w:t>
      </w:r>
      <w:r>
        <w:rPr>
          <w:rFonts w:hint="eastAsia" w:ascii="宋体" w:hAnsi="宋体" w:eastAsia="宋体" w:cs="宋体"/>
          <w:sz w:val="24"/>
          <w:szCs w:val="24"/>
          <w:lang w:eastAsia="zh-CN" w:bidi="ar"/>
        </w:rPr>
        <w:t>成交</w:t>
      </w:r>
      <w:r>
        <w:rPr>
          <w:rFonts w:hint="eastAsia" w:ascii="宋体" w:hAnsi="宋体" w:eastAsia="宋体" w:cs="宋体"/>
          <w:sz w:val="24"/>
          <w:szCs w:val="24"/>
          <w:lang w:bidi="ar"/>
        </w:rPr>
        <w:t>人</w:t>
      </w:r>
      <w:r>
        <w:rPr>
          <w:rFonts w:hint="eastAsia" w:ascii="宋体" w:hAnsi="宋体" w:eastAsia="宋体" w:cs="宋体"/>
          <w:sz w:val="24"/>
          <w:szCs w:val="24"/>
          <w:lang w:eastAsia="zh-CN" w:bidi="ar"/>
        </w:rPr>
        <w:t>本人的</w:t>
      </w:r>
      <w:r>
        <w:rPr>
          <w:rFonts w:hint="eastAsia" w:ascii="宋体" w:hAnsi="宋体" w:eastAsia="宋体" w:cs="宋体"/>
          <w:sz w:val="24"/>
          <w:szCs w:val="24"/>
          <w:lang w:bidi="ar"/>
        </w:rPr>
        <w:t>排序。</w:t>
      </w:r>
    </w:p>
    <w:p w14:paraId="6B2D15EC">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27.6</w:t>
      </w:r>
      <w:r>
        <w:rPr>
          <w:rFonts w:hint="eastAsia" w:ascii="宋体" w:hAnsi="宋体" w:eastAsia="宋体" w:cs="宋体"/>
          <w:sz w:val="24"/>
          <w:szCs w:val="24"/>
          <w:lang w:eastAsia="zh-CN"/>
        </w:rPr>
        <w:t>供应商</w:t>
      </w:r>
      <w:r>
        <w:rPr>
          <w:rFonts w:hint="eastAsia" w:ascii="宋体" w:hAnsi="宋体" w:eastAsia="宋体" w:cs="宋体"/>
          <w:sz w:val="24"/>
          <w:szCs w:val="24"/>
        </w:rPr>
        <w:t>或者其他利害关系人对评审结果有异议的，应当在公示期间提出。</w:t>
      </w:r>
    </w:p>
    <w:p w14:paraId="53951793">
      <w:pPr>
        <w:pageBreakBefore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2</w:t>
      </w:r>
      <w:r>
        <w:rPr>
          <w:rFonts w:hint="eastAsia" w:ascii="宋体" w:hAnsi="宋体" w:eastAsia="宋体" w:cs="宋体"/>
          <w:b/>
          <w:sz w:val="24"/>
          <w:szCs w:val="24"/>
          <w:lang w:val="en-US" w:eastAsia="zh-CN"/>
        </w:rPr>
        <w:t>8</w:t>
      </w:r>
      <w:r>
        <w:rPr>
          <w:rFonts w:hint="eastAsia" w:ascii="宋体" w:hAnsi="宋体" w:eastAsia="宋体" w:cs="宋体"/>
          <w:b/>
          <w:sz w:val="24"/>
          <w:szCs w:val="24"/>
        </w:rPr>
        <w:t>．成交与落标通知</w:t>
      </w:r>
    </w:p>
    <w:p w14:paraId="67BF3D40">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8</w:t>
      </w:r>
      <w:r>
        <w:rPr>
          <w:rFonts w:hint="eastAsia" w:ascii="宋体" w:hAnsi="宋体" w:eastAsia="宋体" w:cs="宋体"/>
          <w:sz w:val="24"/>
          <w:szCs w:val="24"/>
        </w:rPr>
        <w:t xml:space="preserve">.1 采购代理机构向成交人发出《成交通知书》。 </w:t>
      </w:r>
    </w:p>
    <w:p w14:paraId="363283EA">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8</w:t>
      </w:r>
      <w:r>
        <w:rPr>
          <w:rFonts w:hint="eastAsia" w:ascii="宋体" w:hAnsi="宋体" w:eastAsia="宋体" w:cs="宋体"/>
          <w:sz w:val="24"/>
          <w:szCs w:val="24"/>
        </w:rPr>
        <w:t>.2成交通知书对采购人和成交人具有同等法律效力。成交通知书发出之后，采购人改变成交结果，或者成交人放弃成交，应当承担相应的法律责任。</w:t>
      </w:r>
    </w:p>
    <w:p w14:paraId="6C1768C2">
      <w:pPr>
        <w:pageBreakBefore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2</w:t>
      </w:r>
      <w:r>
        <w:rPr>
          <w:rFonts w:hint="eastAsia" w:ascii="宋体" w:hAnsi="宋体" w:eastAsia="宋体" w:cs="宋体"/>
          <w:b/>
          <w:sz w:val="24"/>
          <w:szCs w:val="24"/>
          <w:lang w:val="en-US" w:eastAsia="zh-CN"/>
        </w:rPr>
        <w:t>9</w:t>
      </w:r>
      <w:r>
        <w:rPr>
          <w:rFonts w:hint="eastAsia" w:ascii="宋体" w:hAnsi="宋体" w:eastAsia="宋体" w:cs="宋体"/>
          <w:b/>
          <w:sz w:val="24"/>
          <w:szCs w:val="24"/>
        </w:rPr>
        <w:t>. 成交合同的签订</w:t>
      </w:r>
    </w:p>
    <w:p w14:paraId="286DBBD4">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9</w:t>
      </w:r>
      <w:r>
        <w:rPr>
          <w:rFonts w:hint="eastAsia" w:ascii="宋体" w:hAnsi="宋体" w:eastAsia="宋体" w:cs="宋体"/>
          <w:sz w:val="24"/>
          <w:szCs w:val="24"/>
        </w:rPr>
        <w:t>.1采购人应当自成交通知书发出之日起十日内，按照竞争性谈判文件和成交人竞争性谈判响应文件（包括评审中形成的澄清文件）的约定，与成交人签订书面合同。所签订的合同不得对竞争性谈判文件和成交人的竞争性谈判响应文件（包括评审中形成的澄清文件）作实质性修改。</w:t>
      </w:r>
    </w:p>
    <w:p w14:paraId="5DCA52EA">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9</w:t>
      </w:r>
      <w:r>
        <w:rPr>
          <w:rFonts w:hint="eastAsia" w:ascii="宋体" w:hAnsi="宋体" w:eastAsia="宋体" w:cs="宋体"/>
          <w:sz w:val="24"/>
          <w:szCs w:val="24"/>
        </w:rPr>
        <w:t>.2采购人自采购合同签订之日起七个工作日内，将采购合同副本报同级人民政府财政部门备案。</w:t>
      </w:r>
    </w:p>
    <w:p w14:paraId="307D9F62">
      <w:pPr>
        <w:pageBreakBefore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30</w:t>
      </w:r>
      <w:r>
        <w:rPr>
          <w:rFonts w:hint="eastAsia" w:ascii="宋体" w:hAnsi="宋体" w:eastAsia="宋体" w:cs="宋体"/>
          <w:b/>
          <w:sz w:val="24"/>
          <w:szCs w:val="24"/>
        </w:rPr>
        <w:t>．成交代理服务费</w:t>
      </w:r>
    </w:p>
    <w:p w14:paraId="6B6EA7FE">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30.1成交代理服务费；</w:t>
      </w:r>
    </w:p>
    <w:p w14:paraId="502A93FD">
      <w:pPr>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参照国家收费标准（国家计委计价格[2002]1980号）服务类收取。</w:t>
      </w:r>
    </w:p>
    <w:p w14:paraId="1793E992">
      <w:pPr>
        <w:keepNext w:val="0"/>
        <w:keepLines w:val="0"/>
        <w:pageBreakBefore w:val="0"/>
        <w:kinsoku/>
        <w:wordWrap/>
        <w:overflowPunct/>
        <w:topLinePunct w:val="0"/>
        <w:autoSpaceDE/>
        <w:autoSpaceDN/>
        <w:bidi w:val="0"/>
        <w:adjustRightInd/>
        <w:snapToGrid/>
        <w:spacing w:line="36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招标代理服务收费标准(费率)</w:t>
      </w:r>
    </w:p>
    <w:tbl>
      <w:tblPr>
        <w:tblStyle w:val="16"/>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424"/>
        <w:gridCol w:w="2372"/>
        <w:gridCol w:w="2016"/>
        <w:gridCol w:w="2005"/>
      </w:tblGrid>
      <w:tr w14:paraId="7266E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2" w:hRule="atLeast"/>
          <w:tblCellSpacing w:w="0" w:type="dxa"/>
          <w:jc w:val="center"/>
        </w:trPr>
        <w:tc>
          <w:tcPr>
            <w:tcW w:w="2424" w:type="dxa"/>
            <w:tcBorders>
              <w:top w:val="single" w:color="auto" w:sz="4" w:space="0"/>
              <w:left w:val="single" w:color="auto" w:sz="0" w:space="0"/>
              <w:bottom w:val="single" w:color="auto" w:sz="4" w:space="0"/>
              <w:right w:val="single" w:color="auto" w:sz="4" w:space="0"/>
            </w:tcBorders>
            <w:noWrap w:val="0"/>
            <w:vAlign w:val="center"/>
          </w:tcPr>
          <w:p w14:paraId="4B195488">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中标金额（万元）</w:t>
            </w:r>
          </w:p>
        </w:tc>
        <w:tc>
          <w:tcPr>
            <w:tcW w:w="2372" w:type="dxa"/>
            <w:tcBorders>
              <w:top w:val="single" w:color="auto" w:sz="4" w:space="0"/>
              <w:left w:val="single" w:color="auto" w:sz="4" w:space="0"/>
              <w:bottom w:val="single" w:color="auto" w:sz="4" w:space="0"/>
              <w:right w:val="single" w:color="auto" w:sz="4" w:space="0"/>
            </w:tcBorders>
            <w:noWrap w:val="0"/>
            <w:vAlign w:val="center"/>
          </w:tcPr>
          <w:p w14:paraId="508ED27C">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货物招标</w:t>
            </w:r>
          </w:p>
        </w:tc>
        <w:tc>
          <w:tcPr>
            <w:tcW w:w="2016" w:type="dxa"/>
            <w:tcBorders>
              <w:top w:val="single" w:color="auto" w:sz="4" w:space="0"/>
              <w:left w:val="single" w:color="auto" w:sz="4" w:space="0"/>
              <w:bottom w:val="single" w:color="auto" w:sz="4" w:space="0"/>
              <w:right w:val="single" w:color="auto" w:sz="4" w:space="0"/>
            </w:tcBorders>
            <w:noWrap w:val="0"/>
            <w:vAlign w:val="center"/>
          </w:tcPr>
          <w:p w14:paraId="1379A6AF">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服务招标</w:t>
            </w:r>
          </w:p>
        </w:tc>
        <w:tc>
          <w:tcPr>
            <w:tcW w:w="2005" w:type="dxa"/>
            <w:tcBorders>
              <w:top w:val="single" w:color="auto" w:sz="4" w:space="0"/>
              <w:left w:val="single" w:color="auto" w:sz="4" w:space="0"/>
              <w:bottom w:val="single" w:color="auto" w:sz="4" w:space="0"/>
              <w:right w:val="single" w:color="auto" w:sz="4" w:space="0"/>
            </w:tcBorders>
            <w:noWrap w:val="0"/>
            <w:vAlign w:val="center"/>
          </w:tcPr>
          <w:p w14:paraId="4686730B">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工程招标</w:t>
            </w:r>
          </w:p>
        </w:tc>
      </w:tr>
      <w:tr w14:paraId="57462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2" w:hRule="atLeast"/>
          <w:tblCellSpacing w:w="0" w:type="dxa"/>
          <w:jc w:val="center"/>
        </w:trPr>
        <w:tc>
          <w:tcPr>
            <w:tcW w:w="2424" w:type="dxa"/>
            <w:tcBorders>
              <w:top w:val="single" w:color="auto" w:sz="4" w:space="0"/>
              <w:left w:val="single" w:color="auto" w:sz="4" w:space="0"/>
              <w:bottom w:val="single" w:color="auto" w:sz="4" w:space="0"/>
              <w:right w:val="single" w:color="auto" w:sz="4" w:space="0"/>
            </w:tcBorders>
            <w:noWrap w:val="0"/>
            <w:vAlign w:val="center"/>
          </w:tcPr>
          <w:p w14:paraId="580BE759">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100以下</w:t>
            </w:r>
          </w:p>
        </w:tc>
        <w:tc>
          <w:tcPr>
            <w:tcW w:w="2372" w:type="dxa"/>
            <w:tcBorders>
              <w:top w:val="single" w:color="auto" w:sz="4" w:space="0"/>
              <w:left w:val="single" w:color="auto" w:sz="4" w:space="0"/>
              <w:bottom w:val="single" w:color="auto" w:sz="4" w:space="0"/>
              <w:right w:val="single" w:color="auto" w:sz="4" w:space="0"/>
            </w:tcBorders>
            <w:noWrap w:val="0"/>
            <w:vAlign w:val="center"/>
          </w:tcPr>
          <w:p w14:paraId="3B61F7E0">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2016" w:type="dxa"/>
            <w:tcBorders>
              <w:top w:val="single" w:color="auto" w:sz="4" w:space="0"/>
              <w:left w:val="single" w:color="auto" w:sz="4" w:space="0"/>
              <w:bottom w:val="single" w:color="auto" w:sz="4" w:space="0"/>
              <w:right w:val="single" w:color="auto" w:sz="4" w:space="0"/>
            </w:tcBorders>
            <w:noWrap w:val="0"/>
            <w:vAlign w:val="center"/>
          </w:tcPr>
          <w:p w14:paraId="2F1F8091">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2005" w:type="dxa"/>
            <w:tcBorders>
              <w:top w:val="single" w:color="auto" w:sz="4" w:space="0"/>
              <w:left w:val="single" w:color="auto" w:sz="4" w:space="0"/>
              <w:bottom w:val="single" w:color="auto" w:sz="4" w:space="0"/>
              <w:right w:val="single" w:color="auto" w:sz="4" w:space="0"/>
            </w:tcBorders>
            <w:noWrap w:val="0"/>
            <w:vAlign w:val="center"/>
          </w:tcPr>
          <w:p w14:paraId="5C670DC0">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r>
      <w:tr w14:paraId="6A21B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2" w:hRule="atLeast"/>
          <w:tblCellSpacing w:w="0" w:type="dxa"/>
          <w:jc w:val="center"/>
        </w:trPr>
        <w:tc>
          <w:tcPr>
            <w:tcW w:w="2424" w:type="dxa"/>
            <w:tcBorders>
              <w:top w:val="single" w:color="auto" w:sz="4" w:space="0"/>
              <w:left w:val="single" w:color="auto" w:sz="4" w:space="0"/>
              <w:bottom w:val="single" w:color="auto" w:sz="4" w:space="0"/>
              <w:right w:val="single" w:color="auto" w:sz="4" w:space="0"/>
            </w:tcBorders>
            <w:noWrap w:val="0"/>
            <w:vAlign w:val="center"/>
          </w:tcPr>
          <w:p w14:paraId="5E2A3FC4">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100—500</w:t>
            </w:r>
          </w:p>
        </w:tc>
        <w:tc>
          <w:tcPr>
            <w:tcW w:w="2372" w:type="dxa"/>
            <w:tcBorders>
              <w:top w:val="single" w:color="auto" w:sz="4" w:space="0"/>
              <w:left w:val="single" w:color="auto" w:sz="4" w:space="0"/>
              <w:bottom w:val="single" w:color="auto" w:sz="4" w:space="0"/>
              <w:right w:val="single" w:color="auto" w:sz="4" w:space="0"/>
            </w:tcBorders>
            <w:noWrap w:val="0"/>
            <w:vAlign w:val="center"/>
          </w:tcPr>
          <w:p w14:paraId="68002E68">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2016" w:type="dxa"/>
            <w:tcBorders>
              <w:top w:val="single" w:color="auto" w:sz="4" w:space="0"/>
              <w:left w:val="single" w:color="auto" w:sz="4" w:space="0"/>
              <w:bottom w:val="single" w:color="auto" w:sz="4" w:space="0"/>
              <w:right w:val="single" w:color="auto" w:sz="4" w:space="0"/>
            </w:tcBorders>
            <w:noWrap w:val="0"/>
            <w:vAlign w:val="center"/>
          </w:tcPr>
          <w:p w14:paraId="143197F4">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0.8％</w:t>
            </w:r>
          </w:p>
        </w:tc>
        <w:tc>
          <w:tcPr>
            <w:tcW w:w="2005" w:type="dxa"/>
            <w:tcBorders>
              <w:top w:val="single" w:color="auto" w:sz="4" w:space="0"/>
              <w:left w:val="single" w:color="auto" w:sz="4" w:space="0"/>
              <w:bottom w:val="single" w:color="auto" w:sz="4" w:space="0"/>
              <w:right w:val="single" w:color="auto" w:sz="4" w:space="0"/>
            </w:tcBorders>
            <w:noWrap w:val="0"/>
            <w:vAlign w:val="center"/>
          </w:tcPr>
          <w:p w14:paraId="35C3174E">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0.7%</w:t>
            </w:r>
          </w:p>
        </w:tc>
      </w:tr>
      <w:tr w14:paraId="19420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2" w:hRule="atLeast"/>
          <w:tblCellSpacing w:w="0" w:type="dxa"/>
          <w:jc w:val="center"/>
        </w:trPr>
        <w:tc>
          <w:tcPr>
            <w:tcW w:w="2424" w:type="dxa"/>
            <w:tcBorders>
              <w:top w:val="single" w:color="auto" w:sz="4" w:space="0"/>
              <w:left w:val="single" w:color="auto" w:sz="4" w:space="0"/>
              <w:bottom w:val="single" w:color="auto" w:sz="4" w:space="0"/>
              <w:right w:val="single" w:color="auto" w:sz="4" w:space="0"/>
            </w:tcBorders>
            <w:noWrap w:val="0"/>
            <w:vAlign w:val="center"/>
          </w:tcPr>
          <w:p w14:paraId="493C8950">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500—1000</w:t>
            </w:r>
          </w:p>
        </w:tc>
        <w:tc>
          <w:tcPr>
            <w:tcW w:w="2372" w:type="dxa"/>
            <w:tcBorders>
              <w:top w:val="single" w:color="auto" w:sz="4" w:space="0"/>
              <w:left w:val="single" w:color="auto" w:sz="4" w:space="0"/>
              <w:bottom w:val="single" w:color="auto" w:sz="4" w:space="0"/>
              <w:right w:val="single" w:color="auto" w:sz="4" w:space="0"/>
            </w:tcBorders>
            <w:noWrap w:val="0"/>
            <w:vAlign w:val="center"/>
          </w:tcPr>
          <w:p w14:paraId="64838888">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0.8％</w:t>
            </w:r>
          </w:p>
        </w:tc>
        <w:tc>
          <w:tcPr>
            <w:tcW w:w="2016" w:type="dxa"/>
            <w:tcBorders>
              <w:top w:val="single" w:color="auto" w:sz="4" w:space="0"/>
              <w:left w:val="single" w:color="auto" w:sz="4" w:space="0"/>
              <w:bottom w:val="single" w:color="auto" w:sz="4" w:space="0"/>
              <w:right w:val="single" w:color="auto" w:sz="4" w:space="0"/>
            </w:tcBorders>
            <w:noWrap w:val="0"/>
            <w:vAlign w:val="center"/>
          </w:tcPr>
          <w:p w14:paraId="525FF2FF">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0.45％</w:t>
            </w:r>
          </w:p>
        </w:tc>
        <w:tc>
          <w:tcPr>
            <w:tcW w:w="2005" w:type="dxa"/>
            <w:tcBorders>
              <w:top w:val="single" w:color="auto" w:sz="4" w:space="0"/>
              <w:left w:val="single" w:color="auto" w:sz="4" w:space="0"/>
              <w:bottom w:val="single" w:color="auto" w:sz="4" w:space="0"/>
              <w:right w:val="single" w:color="auto" w:sz="4" w:space="0"/>
            </w:tcBorders>
            <w:noWrap w:val="0"/>
            <w:vAlign w:val="center"/>
          </w:tcPr>
          <w:p w14:paraId="2985C25F">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0.55%</w:t>
            </w:r>
          </w:p>
        </w:tc>
      </w:tr>
      <w:tr w14:paraId="6C018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2" w:hRule="atLeast"/>
          <w:tblCellSpacing w:w="0" w:type="dxa"/>
          <w:jc w:val="center"/>
        </w:trPr>
        <w:tc>
          <w:tcPr>
            <w:tcW w:w="2424" w:type="dxa"/>
            <w:tcBorders>
              <w:top w:val="single" w:color="auto" w:sz="4" w:space="0"/>
              <w:left w:val="single" w:color="auto" w:sz="4" w:space="0"/>
              <w:bottom w:val="single" w:color="auto" w:sz="4" w:space="0"/>
              <w:right w:val="single" w:color="auto" w:sz="4" w:space="0"/>
            </w:tcBorders>
            <w:noWrap w:val="0"/>
            <w:vAlign w:val="center"/>
          </w:tcPr>
          <w:p w14:paraId="34D55CB6">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1000—5000</w:t>
            </w:r>
          </w:p>
        </w:tc>
        <w:tc>
          <w:tcPr>
            <w:tcW w:w="2372" w:type="dxa"/>
            <w:tcBorders>
              <w:top w:val="single" w:color="auto" w:sz="4" w:space="0"/>
              <w:left w:val="single" w:color="auto" w:sz="4" w:space="0"/>
              <w:bottom w:val="single" w:color="auto" w:sz="4" w:space="0"/>
              <w:right w:val="single" w:color="auto" w:sz="4" w:space="0"/>
            </w:tcBorders>
            <w:noWrap w:val="0"/>
            <w:vAlign w:val="center"/>
          </w:tcPr>
          <w:p w14:paraId="205F386B">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0.5％</w:t>
            </w:r>
          </w:p>
        </w:tc>
        <w:tc>
          <w:tcPr>
            <w:tcW w:w="2016" w:type="dxa"/>
            <w:tcBorders>
              <w:top w:val="single" w:color="auto" w:sz="4" w:space="0"/>
              <w:left w:val="single" w:color="auto" w:sz="4" w:space="0"/>
              <w:bottom w:val="single" w:color="auto" w:sz="4" w:space="0"/>
              <w:right w:val="single" w:color="auto" w:sz="4" w:space="0"/>
            </w:tcBorders>
            <w:noWrap w:val="0"/>
            <w:vAlign w:val="center"/>
          </w:tcPr>
          <w:p w14:paraId="62BEB2A2">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0.25％</w:t>
            </w:r>
          </w:p>
        </w:tc>
        <w:tc>
          <w:tcPr>
            <w:tcW w:w="2005" w:type="dxa"/>
            <w:tcBorders>
              <w:top w:val="single" w:color="auto" w:sz="4" w:space="0"/>
              <w:left w:val="single" w:color="auto" w:sz="4" w:space="0"/>
              <w:bottom w:val="single" w:color="auto" w:sz="4" w:space="0"/>
              <w:right w:val="single" w:color="auto" w:sz="4" w:space="0"/>
            </w:tcBorders>
            <w:noWrap w:val="0"/>
            <w:vAlign w:val="center"/>
          </w:tcPr>
          <w:p w14:paraId="0528340A">
            <w:pPr>
              <w:keepNext w:val="0"/>
              <w:keepLines w:val="0"/>
              <w:pageBreakBefore w:val="0"/>
              <w:kinsoku/>
              <w:wordWrap/>
              <w:overflowPunct/>
              <w:topLinePunct w:val="0"/>
              <w:autoSpaceDE/>
              <w:autoSpaceDN/>
              <w:bidi w:val="0"/>
              <w:adjustRightInd/>
              <w:snapToGrid/>
              <w:spacing w:line="240" w:lineRule="auto"/>
              <w:ind w:right="0" w:rightChars="0" w:firstLine="240" w:firstLineChars="10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0.35%</w:t>
            </w:r>
          </w:p>
        </w:tc>
      </w:tr>
    </w:tbl>
    <w:p w14:paraId="3F373BE6">
      <w:pPr>
        <w:keepNext w:val="0"/>
        <w:keepLines w:val="0"/>
        <w:pageBreakBefore w:val="0"/>
        <w:widowControl w:val="0"/>
        <w:tabs>
          <w:tab w:val="left" w:pos="61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lang w:val="en-US" w:eastAsia="zh-CN"/>
        </w:rPr>
        <w:t>采购代理机构开户名称:</w:t>
      </w:r>
      <w:r>
        <w:rPr>
          <w:rFonts w:hint="eastAsia" w:ascii="宋体" w:hAnsi="宋体" w:eastAsia="宋体" w:cs="宋体"/>
          <w:b w:val="0"/>
          <w:bCs/>
          <w:color w:val="auto"/>
          <w:sz w:val="24"/>
          <w:szCs w:val="24"/>
          <w:highlight w:val="none"/>
          <w:lang w:eastAsia="zh-CN"/>
        </w:rPr>
        <w:t>陕西盛誉恒正项目管理有限公司</w:t>
      </w:r>
    </w:p>
    <w:p w14:paraId="5BB9A696">
      <w:pPr>
        <w:pStyle w:val="3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开户行名称：</w:t>
      </w:r>
      <w:r>
        <w:rPr>
          <w:rFonts w:hint="eastAsia" w:ascii="宋体" w:hAnsi="宋体" w:eastAsia="宋体" w:cs="宋体"/>
          <w:color w:val="auto"/>
          <w:sz w:val="24"/>
          <w:szCs w:val="24"/>
          <w:lang w:val="en-US" w:eastAsia="zh-CN"/>
        </w:rPr>
        <w:t>招商银行股份有限公司榆林分行营业部</w:t>
      </w:r>
      <w:r>
        <w:rPr>
          <w:rFonts w:hint="eastAsia" w:ascii="宋体" w:hAnsi="宋体" w:eastAsia="宋体" w:cs="宋体"/>
          <w:color w:val="auto"/>
          <w:sz w:val="24"/>
          <w:szCs w:val="24"/>
          <w:lang w:val="en-US" w:eastAsia="zh-CN"/>
        </w:rPr>
        <w:tab/>
      </w:r>
      <w:r>
        <w:rPr>
          <w:rFonts w:hint="eastAsia" w:ascii="宋体" w:hAnsi="宋体" w:eastAsia="宋体" w:cs="宋体"/>
          <w:color w:val="auto"/>
          <w:sz w:val="24"/>
          <w:szCs w:val="24"/>
          <w:lang w:val="en-US" w:eastAsia="zh-CN"/>
        </w:rPr>
        <w:t> </w:t>
      </w:r>
      <w:r>
        <w:rPr>
          <w:rFonts w:hint="eastAsia" w:ascii="宋体" w:hAnsi="宋体" w:eastAsia="宋体" w:cs="宋体"/>
          <w:color w:val="auto"/>
          <w:sz w:val="24"/>
          <w:szCs w:val="24"/>
          <w:lang w:eastAsia="zh-CN"/>
        </w:rPr>
        <w:t> </w:t>
      </w:r>
    </w:p>
    <w:p w14:paraId="7F7AFF41">
      <w:pPr>
        <w:pStyle w:val="3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账   号：</w:t>
      </w:r>
      <w:bookmarkStart w:id="61" w:name="_Toc1164"/>
      <w:r>
        <w:rPr>
          <w:rFonts w:hint="eastAsia" w:ascii="宋体" w:hAnsi="宋体" w:eastAsia="宋体" w:cs="宋体"/>
          <w:color w:val="auto"/>
          <w:sz w:val="24"/>
          <w:szCs w:val="24"/>
          <w:lang w:val="en-US" w:eastAsia="zh-CN"/>
        </w:rPr>
        <w:t>912901304310006</w:t>
      </w:r>
      <w:r>
        <w:rPr>
          <w:rFonts w:hint="eastAsia" w:ascii="宋体" w:hAnsi="宋体" w:eastAsia="宋体" w:cs="宋体"/>
          <w:color w:val="auto"/>
          <w:sz w:val="24"/>
          <w:szCs w:val="24"/>
          <w:lang w:val="en-US" w:eastAsia="zh-CN"/>
        </w:rPr>
        <w:tab/>
      </w:r>
    </w:p>
    <w:p w14:paraId="37A882FD">
      <w:pPr>
        <w:pStyle w:val="3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基本存款账户编号：J9033550781101</w:t>
      </w:r>
    </w:p>
    <w:p w14:paraId="6872E296">
      <w:pPr>
        <w:pStyle w:val="35"/>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1</w:t>
      </w:r>
      <w:r>
        <w:rPr>
          <w:rFonts w:hint="eastAsia" w:ascii="宋体" w:hAnsi="宋体" w:eastAsia="宋体" w:cs="宋体"/>
          <w:b/>
          <w:sz w:val="24"/>
          <w:szCs w:val="24"/>
        </w:rPr>
        <w:t>.其他</w:t>
      </w:r>
    </w:p>
    <w:p w14:paraId="3AC0E5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r>
        <w:rPr>
          <w:rFonts w:hint="eastAsia" w:ascii="宋体" w:hAnsi="宋体" w:eastAsia="宋体" w:cs="宋体"/>
          <w:sz w:val="24"/>
          <w:szCs w:val="24"/>
        </w:rPr>
        <w:t>.1谈判步骤为：第一次报价---分别谈判---第二次报价/多次报价---评审推荐成交人。</w:t>
      </w:r>
    </w:p>
    <w:p w14:paraId="150E97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highlight w:val="none"/>
        </w:rPr>
        <w:t>2</w:t>
      </w:r>
      <w:r>
        <w:rPr>
          <w:rFonts w:hint="eastAsia" w:ascii="宋体" w:hAnsi="宋体" w:eastAsia="宋体" w:cs="宋体"/>
          <w:spacing w:val="5"/>
          <w:sz w:val="24"/>
          <w:szCs w:val="24"/>
          <w:highlight w:val="none"/>
        </w:rPr>
        <w:t>经过公开发布谈判信息后，有效谈判</w:t>
      </w:r>
      <w:r>
        <w:rPr>
          <w:rFonts w:hint="eastAsia" w:ascii="宋体" w:hAnsi="宋体" w:eastAsia="宋体" w:cs="宋体"/>
          <w:spacing w:val="5"/>
          <w:sz w:val="24"/>
          <w:szCs w:val="24"/>
          <w:highlight w:val="none"/>
          <w:lang w:eastAsia="zh-CN"/>
        </w:rPr>
        <w:t>供应商</w:t>
      </w:r>
      <w:r>
        <w:rPr>
          <w:rFonts w:hint="eastAsia" w:ascii="宋体" w:hAnsi="宋体" w:eastAsia="宋体" w:cs="宋体"/>
          <w:spacing w:val="5"/>
          <w:sz w:val="24"/>
          <w:szCs w:val="24"/>
          <w:highlight w:val="none"/>
        </w:rPr>
        <w:t>不足三家时，</w:t>
      </w:r>
      <w:r>
        <w:rPr>
          <w:rFonts w:hint="eastAsia" w:ascii="宋体" w:hAnsi="宋体" w:eastAsia="宋体" w:cs="宋体"/>
          <w:spacing w:val="5"/>
          <w:sz w:val="24"/>
          <w:szCs w:val="24"/>
          <w:lang w:eastAsia="zh-CN"/>
        </w:rPr>
        <w:t>按相关法律执行</w:t>
      </w:r>
      <w:r>
        <w:rPr>
          <w:rFonts w:hint="eastAsia" w:ascii="宋体" w:hAnsi="宋体" w:eastAsia="宋体" w:cs="宋体"/>
          <w:spacing w:val="5"/>
          <w:sz w:val="24"/>
          <w:szCs w:val="24"/>
        </w:rPr>
        <w:t>。</w:t>
      </w:r>
    </w:p>
    <w:p w14:paraId="02F9C9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r>
        <w:rPr>
          <w:rFonts w:hint="eastAsia" w:ascii="宋体" w:hAnsi="宋体" w:eastAsia="宋体" w:cs="宋体"/>
          <w:sz w:val="24"/>
          <w:szCs w:val="24"/>
        </w:rPr>
        <w:t>.3当第二次报价全部超过财政预算限额或均低于公认的制作成本时，谈判小组有权决定是否谈判失败或进行第三次报价。当第三次报价若超出财政预算，且采购人又无力支付，谈判小组有权决定谈判失败。</w:t>
      </w:r>
    </w:p>
    <w:p w14:paraId="5FDB67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pacing w:val="4"/>
          <w:sz w:val="24"/>
          <w:szCs w:val="22"/>
          <w:lang w:val="en-US" w:eastAsia="zh-CN"/>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r>
        <w:rPr>
          <w:rFonts w:hint="eastAsia" w:ascii="宋体" w:hAnsi="宋体" w:eastAsia="宋体" w:cs="宋体"/>
          <w:sz w:val="24"/>
          <w:szCs w:val="24"/>
        </w:rPr>
        <w:t>.4成交</w:t>
      </w:r>
      <w:r>
        <w:rPr>
          <w:rFonts w:hint="eastAsia" w:ascii="宋体" w:hAnsi="宋体" w:eastAsia="宋体" w:cs="宋体"/>
          <w:sz w:val="24"/>
          <w:szCs w:val="24"/>
          <w:lang w:eastAsia="zh-CN"/>
        </w:rPr>
        <w:t>供应商</w:t>
      </w:r>
      <w:r>
        <w:rPr>
          <w:rFonts w:hint="eastAsia" w:ascii="宋体" w:hAnsi="宋体" w:eastAsia="宋体" w:cs="宋体"/>
          <w:sz w:val="24"/>
          <w:szCs w:val="24"/>
        </w:rPr>
        <w:t>确定后，成交</w:t>
      </w:r>
      <w:r>
        <w:rPr>
          <w:rFonts w:hint="eastAsia" w:ascii="宋体" w:hAnsi="宋体" w:eastAsia="宋体" w:cs="宋体"/>
          <w:sz w:val="24"/>
          <w:szCs w:val="24"/>
          <w:lang w:eastAsia="zh-CN"/>
        </w:rPr>
        <w:t>供应商</w:t>
      </w:r>
      <w:r>
        <w:rPr>
          <w:rFonts w:hint="eastAsia" w:ascii="宋体" w:hAnsi="宋体" w:eastAsia="宋体" w:cs="宋体"/>
          <w:sz w:val="24"/>
          <w:szCs w:val="24"/>
        </w:rPr>
        <w:t>无正当理由拖延或拒签合同的，或未能按照规定的时间提供履约担保，采购人有权取消其成交资格，并按评审顺序重新确定成交</w:t>
      </w:r>
      <w:r>
        <w:rPr>
          <w:rFonts w:hint="eastAsia" w:ascii="宋体" w:hAnsi="宋体" w:eastAsia="宋体" w:cs="宋体"/>
          <w:sz w:val="24"/>
          <w:szCs w:val="24"/>
          <w:lang w:eastAsia="zh-CN"/>
        </w:rPr>
        <w:t>供应商</w:t>
      </w:r>
      <w:r>
        <w:rPr>
          <w:rFonts w:hint="eastAsia" w:ascii="宋体" w:hAnsi="宋体" w:eastAsia="宋体" w:cs="宋体"/>
          <w:sz w:val="24"/>
          <w:szCs w:val="24"/>
        </w:rPr>
        <w:t>。同时报请监督机构予以通报，禁止其进入政府采购市场，并没收其保证金。给采购人造成损失超过谈判保证金额的，还应当对超过部分予以赔偿，并依法承担相应法律责任。</w:t>
      </w:r>
    </w:p>
    <w:p w14:paraId="6A828C8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32.</w:t>
      </w:r>
      <w:r>
        <w:rPr>
          <w:rFonts w:hint="eastAsia" w:ascii="宋体" w:hAnsi="宋体" w:eastAsia="宋体" w:cs="宋体"/>
          <w:b/>
          <w:sz w:val="24"/>
          <w:szCs w:val="24"/>
        </w:rPr>
        <w:t>质疑和投诉</w:t>
      </w:r>
    </w:p>
    <w:p w14:paraId="5C7B0F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32.1供应商认为竞争性谈判文件、采购过程、中标结果使自己的权益受到损害的，可以在知道或者应知其权益受到损害之日起7个工作日内，以书面形式向采购人、采购代理机构提出质疑。</w:t>
      </w:r>
    </w:p>
    <w:p w14:paraId="3BE6D6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32.2供应商必须在法定质疑期内一次性提出针对同一采购程序环节的质疑。</w:t>
      </w:r>
    </w:p>
    <w:p w14:paraId="598B52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414C1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32.4以联合体形式参加政府采购活动的，其质疑应当由组成联合体的所有供应商共同提出。</w:t>
      </w:r>
    </w:p>
    <w:p w14:paraId="347E33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32.5供应商提出质疑应当提交质疑函和必要的证明材料。质疑函应当包括下列内容：</w:t>
      </w:r>
    </w:p>
    <w:p w14:paraId="0AB777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32.5.1供应商的姓名或者名称、地址、邮编、联系人及联系电话；</w:t>
      </w:r>
    </w:p>
    <w:p w14:paraId="193726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32.5.2质疑项目的名称、编号；</w:t>
      </w:r>
    </w:p>
    <w:p w14:paraId="535F07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32.5.3具体、明确的质疑事项和与质疑事项相关的请求；</w:t>
      </w:r>
    </w:p>
    <w:p w14:paraId="718985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32.5.4事实依据；</w:t>
      </w:r>
    </w:p>
    <w:p w14:paraId="3238CE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32.5.5必要的法律依据；</w:t>
      </w:r>
    </w:p>
    <w:p w14:paraId="22E9E2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32.5.6提出质疑的日期。</w:t>
      </w:r>
    </w:p>
    <w:p w14:paraId="0F04B3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32.6有下列情形之一的，属于无效质疑，采购代理机构和采购人不予受理：</w:t>
      </w:r>
    </w:p>
    <w:p w14:paraId="602150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32.6.1质疑供应商不是参与本次政府采购项目的供应商；</w:t>
      </w:r>
    </w:p>
    <w:p w14:paraId="4344F9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32.6.2质疑供应商与质疑事项不存在利害关系的；</w:t>
      </w:r>
    </w:p>
    <w:p w14:paraId="6D0481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32.6.3未在法定期限内提出质疑的；</w:t>
      </w:r>
    </w:p>
    <w:p w14:paraId="192F6F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32.6.4质疑未以书面形式提出，或质疑函主要内容构成不完整的；</w:t>
      </w:r>
    </w:p>
    <w:p w14:paraId="53BB7B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32.6.5应当提交授权书而未提交的；</w:t>
      </w:r>
    </w:p>
    <w:p w14:paraId="03C56B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32.6.6以非法手段取得证据、材料的；</w:t>
      </w:r>
    </w:p>
    <w:p w14:paraId="743D7A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32.6.7质疑答复后，同一质疑人就同一事项或同一采购程序环节再次提出质疑的；</w:t>
      </w:r>
    </w:p>
    <w:p w14:paraId="052BD8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32.6.8不符合法律、法规、规章和政府采购监管机构规定的其他条件的。</w:t>
      </w:r>
    </w:p>
    <w:p w14:paraId="679F03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32.7质疑答复</w:t>
      </w:r>
    </w:p>
    <w:p w14:paraId="163B58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32.7.1采购人或采购代理机构在收到质疑函后7个工作日内作出答复，并以书面形式通知质疑供应商和其他有关供应商。</w:t>
      </w:r>
    </w:p>
    <w:p w14:paraId="246970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32.7.2质疑供应商对采购人、采购代理机构的答复不满意，或者采购人、采购代理机构未在规定时间内作出答复的，可以在答复期满后15个工作日内向当地财政局提起投诉。</w:t>
      </w:r>
    </w:p>
    <w:p w14:paraId="43EE93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32.8其他需要说明的事项</w:t>
      </w:r>
    </w:p>
    <w:p w14:paraId="18AF7F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32.8.1接收质疑函的方式：书面形式</w:t>
      </w:r>
    </w:p>
    <w:p w14:paraId="5E02A5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王浩南</w:t>
      </w:r>
      <w:r>
        <w:rPr>
          <w:rFonts w:hint="eastAsia" w:ascii="宋体" w:hAnsi="宋体" w:eastAsia="宋体" w:cs="宋体"/>
          <w:sz w:val="24"/>
          <w:szCs w:val="24"/>
          <w:highlight w:val="none"/>
        </w:rPr>
        <w:t xml:space="preserve">     联系电话：</w:t>
      </w:r>
      <w:r>
        <w:rPr>
          <w:rFonts w:hint="eastAsia" w:ascii="宋体" w:hAnsi="宋体" w:eastAsia="宋体" w:cs="宋体"/>
          <w:sz w:val="24"/>
          <w:szCs w:val="24"/>
          <w:highlight w:val="none"/>
          <w:lang w:val="en-US" w:eastAsia="zh-CN"/>
        </w:rPr>
        <w:t>18717696566</w:t>
      </w:r>
      <w:r>
        <w:rPr>
          <w:rFonts w:hint="eastAsia" w:ascii="宋体" w:hAnsi="宋体" w:cs="宋体"/>
          <w:sz w:val="24"/>
          <w:szCs w:val="24"/>
          <w:highlight w:val="none"/>
          <w:lang w:eastAsia="zh-CN"/>
        </w:rPr>
        <w:t xml:space="preserve">  </w:t>
      </w:r>
    </w:p>
    <w:p w14:paraId="0FB4BC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监督单位：</w:t>
      </w:r>
      <w:r>
        <w:rPr>
          <w:rFonts w:hint="eastAsia" w:ascii="宋体" w:hAnsi="宋体" w:eastAsia="宋体" w:cs="宋体"/>
          <w:sz w:val="24"/>
          <w:szCs w:val="24"/>
          <w:highlight w:val="none"/>
          <w:lang w:val="en-US" w:eastAsia="zh-CN"/>
        </w:rPr>
        <w:t>绥德县</w:t>
      </w:r>
      <w:r>
        <w:rPr>
          <w:rFonts w:hint="eastAsia" w:ascii="宋体" w:hAnsi="宋体" w:eastAsia="宋体" w:cs="宋体"/>
          <w:sz w:val="24"/>
          <w:szCs w:val="24"/>
          <w:highlight w:val="none"/>
          <w:lang w:eastAsia="zh-CN"/>
        </w:rPr>
        <w:t>财政局</w:t>
      </w:r>
    </w:p>
    <w:p w14:paraId="7AC197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和其他利害关系人认为本次招标活动违反法律、法规和规章规定的，有权向</w:t>
      </w:r>
      <w:r>
        <w:rPr>
          <w:rFonts w:hint="eastAsia" w:ascii="宋体" w:hAnsi="宋体" w:eastAsia="宋体" w:cs="宋体"/>
          <w:sz w:val="24"/>
          <w:szCs w:val="24"/>
          <w:highlight w:val="none"/>
          <w:lang w:eastAsia="zh-CN"/>
        </w:rPr>
        <w:t>当地财政局</w:t>
      </w:r>
      <w:r>
        <w:rPr>
          <w:rFonts w:hint="eastAsia" w:ascii="宋体" w:hAnsi="宋体" w:eastAsia="宋体" w:cs="宋体"/>
          <w:sz w:val="24"/>
          <w:szCs w:val="24"/>
          <w:highlight w:val="none"/>
        </w:rPr>
        <w:t>提出投诉，质疑是投诉的前置条件。</w:t>
      </w:r>
    </w:p>
    <w:bookmarkEnd w:id="61"/>
    <w:p w14:paraId="5BFCAF2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33.</w:t>
      </w:r>
      <w:r>
        <w:rPr>
          <w:rFonts w:hint="eastAsia" w:ascii="宋体" w:hAnsi="宋体" w:eastAsia="宋体" w:cs="宋体"/>
          <w:b/>
          <w:sz w:val="24"/>
          <w:szCs w:val="24"/>
          <w:lang w:eastAsia="zh-CN"/>
        </w:rPr>
        <w:t>废标情形</w:t>
      </w:r>
    </w:p>
    <w:p w14:paraId="4E1F30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一）谈判小组发现竞争性谈判文件存在歧义、重大缺陷导致评标工作无法进行，或者竞争性谈判文件内容违反国家有关强制性规定的，应当停止评标工作，与采购人或者采购代理机构沟通并作书面记录。采购人或者采购代理机构确认后，应当修改竞争性谈判文件，重新组织采购活动。</w:t>
      </w:r>
    </w:p>
    <w:p w14:paraId="17F2A6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（二）根据《政府采购法》第三十六条规定，在招标采购中，出现下列情形之一的，本项目按废标处理：</w:t>
      </w:r>
    </w:p>
    <w:p w14:paraId="5CA26C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1、出现影响采购公正的违法、违规行为；</w:t>
      </w:r>
    </w:p>
    <w:p w14:paraId="0B4F9C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2、供应商的报价均超过了采购预算，采购人不能支付；</w:t>
      </w:r>
    </w:p>
    <w:p w14:paraId="39A5DE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3、因重大变故，采购任务取消。</w:t>
      </w:r>
    </w:p>
    <w:p w14:paraId="04A1EA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4、废标后，由采购代理机构发布废标公告。</w:t>
      </w:r>
    </w:p>
    <w:p w14:paraId="3787072C">
      <w:pPr>
        <w:spacing w:line="362" w:lineRule="auto"/>
        <w:rPr>
          <w:rFonts w:ascii="宋体" w:hAnsi="宋体" w:eastAsia="宋体" w:cs="宋体"/>
          <w:sz w:val="24"/>
          <w:szCs w:val="24"/>
        </w:rPr>
        <w:sectPr>
          <w:footerReference r:id="rId9" w:type="default"/>
          <w:pgSz w:w="11906" w:h="16839"/>
          <w:pgMar w:top="1431" w:right="1405" w:bottom="1152" w:left="1189" w:header="0" w:footer="987" w:gutter="0"/>
          <w:pgNumType w:fmt="decimal"/>
          <w:cols w:space="720" w:num="1"/>
        </w:sectPr>
      </w:pPr>
    </w:p>
    <w:p w14:paraId="66652E7D">
      <w:pPr>
        <w:spacing w:before="101" w:line="223" w:lineRule="auto"/>
        <w:ind w:left="2780"/>
        <w:outlineLvl w:val="0"/>
        <w:rPr>
          <w:rFonts w:ascii="宋体" w:hAnsi="宋体" w:eastAsia="宋体" w:cs="宋体"/>
          <w:sz w:val="43"/>
          <w:szCs w:val="43"/>
        </w:rPr>
      </w:pPr>
      <w:bookmarkStart w:id="62" w:name="_Toc9159"/>
      <w:bookmarkStart w:id="63" w:name="_Toc3536"/>
      <w:r>
        <w:rPr>
          <w:rFonts w:ascii="宋体" w:hAnsi="宋体" w:eastAsia="宋体" w:cs="宋体"/>
          <w:b/>
          <w:bCs/>
          <w:spacing w:val="4"/>
          <w:sz w:val="43"/>
          <w:szCs w:val="43"/>
        </w:rPr>
        <w:t>第四部分</w:t>
      </w:r>
      <w:r>
        <w:rPr>
          <w:rFonts w:ascii="宋体" w:hAnsi="宋体" w:eastAsia="宋体" w:cs="宋体"/>
          <w:spacing w:val="4"/>
          <w:sz w:val="43"/>
          <w:szCs w:val="43"/>
        </w:rPr>
        <w:t xml:space="preserve">  </w:t>
      </w:r>
      <w:r>
        <w:rPr>
          <w:rFonts w:ascii="宋体" w:hAnsi="宋体" w:eastAsia="宋体" w:cs="宋体"/>
          <w:b/>
          <w:bCs/>
          <w:spacing w:val="4"/>
          <w:sz w:val="43"/>
          <w:szCs w:val="43"/>
        </w:rPr>
        <w:t>商务要求</w:t>
      </w:r>
      <w:bookmarkEnd w:id="62"/>
      <w:bookmarkEnd w:id="63"/>
    </w:p>
    <w:p w14:paraId="3D59D83D">
      <w:pPr>
        <w:spacing w:line="127" w:lineRule="auto"/>
        <w:rPr>
          <w:rFonts w:ascii="Arial"/>
          <w:sz w:val="2"/>
        </w:rPr>
      </w:pPr>
    </w:p>
    <w:tbl>
      <w:tblPr>
        <w:tblStyle w:val="31"/>
        <w:tblW w:w="947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8551"/>
      </w:tblGrid>
      <w:tr w14:paraId="7D6B9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926" w:type="dxa"/>
            <w:tcBorders>
              <w:top w:val="single" w:color="000000" w:sz="10" w:space="0"/>
              <w:left w:val="single" w:color="000000" w:sz="10" w:space="0"/>
            </w:tcBorders>
            <w:vAlign w:val="top"/>
          </w:tcPr>
          <w:p w14:paraId="39EF55B8">
            <w:pPr>
              <w:pStyle w:val="32"/>
              <w:spacing w:before="202" w:line="219" w:lineRule="auto"/>
              <w:ind w:left="95"/>
            </w:pPr>
            <w:r>
              <w:rPr>
                <w:b/>
                <w:bCs/>
                <w:spacing w:val="-6"/>
              </w:rPr>
              <w:t>条款号</w:t>
            </w:r>
          </w:p>
        </w:tc>
        <w:tc>
          <w:tcPr>
            <w:tcW w:w="8551" w:type="dxa"/>
            <w:tcBorders>
              <w:top w:val="single" w:color="000000" w:sz="10" w:space="0"/>
              <w:right w:val="single" w:color="000000" w:sz="10" w:space="0"/>
            </w:tcBorders>
            <w:vAlign w:val="top"/>
          </w:tcPr>
          <w:p w14:paraId="7034FE82">
            <w:pPr>
              <w:pStyle w:val="32"/>
              <w:spacing w:before="202" w:line="219" w:lineRule="auto"/>
              <w:ind w:left="3701"/>
            </w:pPr>
            <w:r>
              <w:rPr>
                <w:b/>
                <w:bCs/>
                <w:spacing w:val="-22"/>
              </w:rPr>
              <w:t>内</w:t>
            </w:r>
            <w:r>
              <w:rPr>
                <w:spacing w:val="2"/>
              </w:rPr>
              <w:t xml:space="preserve">      </w:t>
            </w:r>
            <w:r>
              <w:rPr>
                <w:b/>
                <w:bCs/>
                <w:spacing w:val="-22"/>
              </w:rPr>
              <w:t>容</w:t>
            </w:r>
          </w:p>
        </w:tc>
      </w:tr>
      <w:tr w14:paraId="45C6C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3" w:hRule="atLeast"/>
        </w:trPr>
        <w:tc>
          <w:tcPr>
            <w:tcW w:w="926" w:type="dxa"/>
            <w:tcBorders>
              <w:left w:val="single" w:color="000000" w:sz="10" w:space="0"/>
            </w:tcBorders>
            <w:vAlign w:val="top"/>
          </w:tcPr>
          <w:p w14:paraId="2B4BDEEE">
            <w:pPr>
              <w:spacing w:line="344" w:lineRule="auto"/>
              <w:rPr>
                <w:rFonts w:ascii="Arial"/>
                <w:sz w:val="21"/>
              </w:rPr>
            </w:pPr>
          </w:p>
          <w:p w14:paraId="7261A69D">
            <w:pPr>
              <w:spacing w:line="345" w:lineRule="auto"/>
              <w:rPr>
                <w:rFonts w:ascii="Arial"/>
                <w:sz w:val="21"/>
              </w:rPr>
            </w:pPr>
          </w:p>
          <w:p w14:paraId="736D10CE">
            <w:pPr>
              <w:pStyle w:val="32"/>
              <w:spacing w:before="78" w:line="241" w:lineRule="auto"/>
              <w:ind w:left="413"/>
            </w:pPr>
            <w:r>
              <w:t>1</w:t>
            </w:r>
          </w:p>
        </w:tc>
        <w:tc>
          <w:tcPr>
            <w:tcW w:w="8551" w:type="dxa"/>
            <w:tcBorders>
              <w:right w:val="single" w:color="000000" w:sz="10" w:space="0"/>
            </w:tcBorders>
            <w:vAlign w:val="top"/>
          </w:tcPr>
          <w:p w14:paraId="0694F3A3">
            <w:pPr>
              <w:pStyle w:val="32"/>
              <w:spacing w:before="113" w:line="219" w:lineRule="auto"/>
              <w:ind w:left="20"/>
              <w:rPr>
                <w:rFonts w:hint="eastAsia" w:eastAsia="宋体"/>
                <w:lang w:eastAsia="zh-CN"/>
              </w:rPr>
            </w:pPr>
            <w:r>
              <w:rPr>
                <w:b/>
                <w:bCs/>
                <w:spacing w:val="-2"/>
              </w:rPr>
              <w:t>采购人名称：</w:t>
            </w:r>
            <w:r>
              <w:rPr>
                <w:rFonts w:hint="eastAsia"/>
                <w:spacing w:val="-2"/>
                <w:lang w:eastAsia="zh-CN"/>
              </w:rPr>
              <w:t>榆林市绥德县城市管理执法局</w:t>
            </w:r>
          </w:p>
          <w:p w14:paraId="078B0E36">
            <w:pPr>
              <w:spacing w:before="184" w:line="360" w:lineRule="auto"/>
              <w:ind w:right="605"/>
            </w:pPr>
            <w:r>
              <w:rPr>
                <w:rFonts w:hint="eastAsia" w:ascii="宋体" w:hAnsi="宋体" w:eastAsia="宋体" w:cs="宋体"/>
                <w:b/>
                <w:bCs/>
                <w:snapToGrid w:val="0"/>
                <w:color w:val="000000"/>
                <w:spacing w:val="-2"/>
                <w:kern w:val="0"/>
                <w:sz w:val="24"/>
                <w:szCs w:val="24"/>
                <w:lang w:val="en-US" w:eastAsia="zh-CN" w:bidi="ar-SA"/>
              </w:rPr>
              <w:t>地址：</w:t>
            </w:r>
            <w:r>
              <w:rPr>
                <w:rFonts w:hint="eastAsia" w:ascii="宋体" w:hAnsi="宋体" w:eastAsia="宋体" w:cs="宋体"/>
                <w:b w:val="0"/>
                <w:bCs w:val="0"/>
                <w:snapToGrid w:val="0"/>
                <w:color w:val="000000"/>
                <w:spacing w:val="-2"/>
                <w:kern w:val="0"/>
                <w:sz w:val="24"/>
                <w:szCs w:val="24"/>
                <w:lang w:val="en-US" w:eastAsia="zh-CN" w:bidi="ar-SA"/>
              </w:rPr>
              <w:t>陕西省榆林市绥德县杏树圪崂1号</w:t>
            </w:r>
          </w:p>
          <w:p w14:paraId="73397ACF">
            <w:pPr>
              <w:pStyle w:val="32"/>
              <w:spacing w:before="183" w:line="219" w:lineRule="auto"/>
              <w:ind w:left="25"/>
              <w:rPr>
                <w:rFonts w:hint="eastAsia"/>
                <w:spacing w:val="-1"/>
                <w:lang w:eastAsia="zh-CN"/>
              </w:rPr>
            </w:pPr>
            <w:r>
              <w:rPr>
                <w:b/>
                <w:bCs/>
                <w:spacing w:val="-1"/>
              </w:rPr>
              <w:t>项目名称：</w:t>
            </w:r>
            <w:r>
              <w:rPr>
                <w:rFonts w:hint="eastAsia"/>
                <w:spacing w:val="-1"/>
                <w:lang w:eastAsia="zh-CN"/>
              </w:rPr>
              <w:t>绥德县第二净水厂化验设备采购</w:t>
            </w:r>
          </w:p>
          <w:p w14:paraId="4C1CDCC5">
            <w:pPr>
              <w:pStyle w:val="32"/>
              <w:spacing w:before="183" w:line="219" w:lineRule="auto"/>
              <w:ind w:left="25"/>
              <w:rPr>
                <w:rFonts w:hint="default" w:eastAsia="宋体"/>
                <w:lang w:val="en-US" w:eastAsia="zh-CN"/>
              </w:rPr>
            </w:pPr>
            <w:r>
              <w:rPr>
                <w:rFonts w:ascii="宋体" w:hAnsi="宋体" w:eastAsia="宋体" w:cs="宋体"/>
                <w:b/>
                <w:bCs/>
                <w:spacing w:val="-1"/>
              </w:rPr>
              <w:t>资金来源：</w:t>
            </w:r>
            <w:r>
              <w:rPr>
                <w:rFonts w:hint="eastAsia" w:cs="宋体"/>
                <w:b w:val="0"/>
                <w:bCs w:val="0"/>
                <w:spacing w:val="-1"/>
                <w:lang w:val="en-US" w:eastAsia="zh-CN"/>
              </w:rPr>
              <w:t>财政</w:t>
            </w:r>
            <w:r>
              <w:rPr>
                <w:rFonts w:hint="eastAsia" w:ascii="宋体" w:hAnsi="宋体" w:eastAsia="宋体" w:cs="宋体"/>
                <w:b w:val="0"/>
                <w:bCs w:val="0"/>
                <w:spacing w:val="-1"/>
                <w:lang w:val="en-US" w:eastAsia="zh-CN"/>
              </w:rPr>
              <w:t>资金</w:t>
            </w:r>
          </w:p>
        </w:tc>
      </w:tr>
      <w:tr w14:paraId="5301F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926" w:type="dxa"/>
            <w:tcBorders>
              <w:left w:val="single" w:color="000000" w:sz="10" w:space="0"/>
            </w:tcBorders>
            <w:vAlign w:val="top"/>
          </w:tcPr>
          <w:p w14:paraId="4AE6F510">
            <w:pPr>
              <w:pStyle w:val="32"/>
              <w:spacing w:before="130" w:line="241" w:lineRule="auto"/>
              <w:ind w:left="398"/>
            </w:pPr>
            <w:r>
              <w:t>2</w:t>
            </w:r>
          </w:p>
        </w:tc>
        <w:tc>
          <w:tcPr>
            <w:tcW w:w="8551" w:type="dxa"/>
            <w:tcBorders>
              <w:right w:val="single" w:color="000000" w:sz="10" w:space="0"/>
            </w:tcBorders>
            <w:vAlign w:val="top"/>
          </w:tcPr>
          <w:p w14:paraId="5573B647">
            <w:pPr>
              <w:pStyle w:val="32"/>
              <w:spacing w:before="130" w:line="219" w:lineRule="auto"/>
              <w:ind w:left="25"/>
            </w:pPr>
            <w:r>
              <w:rPr>
                <w:b/>
                <w:bCs/>
                <w:spacing w:val="-2"/>
              </w:rPr>
              <w:t>项目实施地点：</w:t>
            </w:r>
            <w:r>
              <w:rPr>
                <w:spacing w:val="-2"/>
              </w:rPr>
              <w:t>采购人指定地点</w:t>
            </w:r>
          </w:p>
        </w:tc>
      </w:tr>
      <w:tr w14:paraId="69CE0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926" w:type="dxa"/>
            <w:tcBorders>
              <w:left w:val="single" w:color="000000" w:sz="10" w:space="0"/>
            </w:tcBorders>
            <w:vAlign w:val="top"/>
          </w:tcPr>
          <w:p w14:paraId="6F4BAFEE">
            <w:pPr>
              <w:pStyle w:val="32"/>
              <w:spacing w:before="119"/>
              <w:ind w:left="400"/>
            </w:pPr>
            <w:r>
              <w:t>3</w:t>
            </w:r>
          </w:p>
        </w:tc>
        <w:tc>
          <w:tcPr>
            <w:tcW w:w="8551" w:type="dxa"/>
            <w:tcBorders>
              <w:right w:val="single" w:color="000000" w:sz="10" w:space="0"/>
            </w:tcBorders>
            <w:vAlign w:val="top"/>
          </w:tcPr>
          <w:p w14:paraId="6AF62FDF">
            <w:pPr>
              <w:pStyle w:val="32"/>
              <w:spacing w:before="119" w:line="219" w:lineRule="auto"/>
              <w:ind w:left="26"/>
              <w:rPr>
                <w:rFonts w:hint="default"/>
                <w:color w:val="C0504D" w:themeColor="accent2"/>
                <w:lang w:val="en-US"/>
                <w14:textFill>
                  <w14:solidFill>
                    <w14:schemeClr w14:val="accent2"/>
                  </w14:solidFill>
                </w14:textFill>
              </w:rPr>
            </w:pPr>
            <w:r>
              <w:rPr>
                <w:rFonts w:hint="eastAsia"/>
                <w:b/>
                <w:bCs/>
                <w:spacing w:val="-2"/>
                <w:lang w:val="en-US" w:eastAsia="zh-CN"/>
              </w:rPr>
              <w:t>供</w:t>
            </w:r>
            <w:r>
              <w:rPr>
                <w:b/>
                <w:bCs/>
                <w:spacing w:val="-2"/>
              </w:rPr>
              <w:t>货期：</w:t>
            </w:r>
            <w:r>
              <w:rPr>
                <w:rFonts w:hint="eastAsia"/>
                <w:color w:val="auto"/>
                <w:spacing w:val="-1"/>
                <w:highlight w:val="none"/>
                <w:lang w:val="en-US" w:eastAsia="zh-CN"/>
              </w:rPr>
              <w:t>15天</w:t>
            </w:r>
          </w:p>
        </w:tc>
      </w:tr>
      <w:tr w14:paraId="34E04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926" w:type="dxa"/>
            <w:tcBorders>
              <w:left w:val="single" w:color="000000" w:sz="10" w:space="0"/>
            </w:tcBorders>
            <w:vAlign w:val="top"/>
          </w:tcPr>
          <w:p w14:paraId="63A52CA9">
            <w:pPr>
              <w:pStyle w:val="32"/>
              <w:spacing w:before="120" w:line="241" w:lineRule="auto"/>
              <w:ind w:left="394"/>
            </w:pPr>
            <w:r>
              <w:t>4</w:t>
            </w:r>
          </w:p>
        </w:tc>
        <w:tc>
          <w:tcPr>
            <w:tcW w:w="8551" w:type="dxa"/>
            <w:tcBorders>
              <w:right w:val="single" w:color="000000" w:sz="10" w:space="0"/>
            </w:tcBorders>
            <w:vAlign w:val="top"/>
          </w:tcPr>
          <w:p w14:paraId="67E277E3">
            <w:pPr>
              <w:pStyle w:val="32"/>
              <w:spacing w:before="121" w:line="219" w:lineRule="auto"/>
              <w:ind w:left="22"/>
              <w:rPr>
                <w:rFonts w:hint="default" w:eastAsia="宋体"/>
                <w:color w:val="C0504D" w:themeColor="accent2"/>
                <w:lang w:val="en-US" w:eastAsia="zh-CN"/>
                <w14:textFill>
                  <w14:solidFill>
                    <w14:schemeClr w14:val="accent2"/>
                  </w14:solidFill>
                </w14:textFill>
              </w:rPr>
            </w:pPr>
            <w:r>
              <w:rPr>
                <w:rFonts w:hint="eastAsia"/>
                <w:b/>
                <w:bCs/>
                <w:spacing w:val="-2"/>
                <w:lang w:val="en-US" w:eastAsia="zh-CN"/>
              </w:rPr>
              <w:t>质保期：</w:t>
            </w:r>
            <w:r>
              <w:rPr>
                <w:rFonts w:hint="eastAsia"/>
                <w:spacing w:val="-2"/>
                <w:lang w:val="en-US" w:eastAsia="zh-CN"/>
              </w:rPr>
              <w:t>二年</w:t>
            </w:r>
          </w:p>
        </w:tc>
      </w:tr>
      <w:tr w14:paraId="2199A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9" w:hRule="atLeast"/>
        </w:trPr>
        <w:tc>
          <w:tcPr>
            <w:tcW w:w="926" w:type="dxa"/>
            <w:tcBorders>
              <w:left w:val="single" w:color="000000" w:sz="10" w:space="0"/>
            </w:tcBorders>
            <w:vAlign w:val="top"/>
          </w:tcPr>
          <w:p w14:paraId="0DC3B104">
            <w:pPr>
              <w:spacing w:line="271" w:lineRule="auto"/>
              <w:rPr>
                <w:rFonts w:ascii="Arial"/>
                <w:sz w:val="21"/>
              </w:rPr>
            </w:pPr>
          </w:p>
          <w:p w14:paraId="205BCD9F">
            <w:pPr>
              <w:spacing w:line="271" w:lineRule="auto"/>
              <w:rPr>
                <w:rFonts w:ascii="Arial"/>
                <w:sz w:val="21"/>
              </w:rPr>
            </w:pPr>
          </w:p>
          <w:p w14:paraId="74E19506">
            <w:pPr>
              <w:spacing w:line="271" w:lineRule="auto"/>
              <w:rPr>
                <w:rFonts w:ascii="Arial"/>
                <w:sz w:val="21"/>
              </w:rPr>
            </w:pPr>
          </w:p>
          <w:p w14:paraId="2E32ECB8">
            <w:pPr>
              <w:spacing w:line="272" w:lineRule="auto"/>
              <w:rPr>
                <w:rFonts w:ascii="Arial"/>
                <w:sz w:val="21"/>
              </w:rPr>
            </w:pPr>
          </w:p>
          <w:p w14:paraId="4CF0C65D">
            <w:pPr>
              <w:spacing w:line="272" w:lineRule="auto"/>
              <w:rPr>
                <w:rFonts w:ascii="Arial"/>
                <w:sz w:val="21"/>
              </w:rPr>
            </w:pPr>
          </w:p>
          <w:p w14:paraId="0E396B02">
            <w:pPr>
              <w:spacing w:line="272" w:lineRule="auto"/>
              <w:rPr>
                <w:rFonts w:ascii="Arial"/>
                <w:sz w:val="21"/>
              </w:rPr>
            </w:pPr>
          </w:p>
          <w:p w14:paraId="39E173F7">
            <w:pPr>
              <w:spacing w:line="272" w:lineRule="auto"/>
              <w:rPr>
                <w:rFonts w:ascii="Arial"/>
                <w:sz w:val="21"/>
              </w:rPr>
            </w:pPr>
          </w:p>
          <w:p w14:paraId="667408C5">
            <w:pPr>
              <w:pStyle w:val="32"/>
              <w:spacing w:before="78"/>
              <w:ind w:left="400"/>
            </w:pPr>
            <w:r>
              <w:t>5</w:t>
            </w:r>
          </w:p>
        </w:tc>
        <w:tc>
          <w:tcPr>
            <w:tcW w:w="8551" w:type="dxa"/>
            <w:tcBorders>
              <w:right w:val="single" w:color="000000" w:sz="10" w:space="0"/>
            </w:tcBorders>
            <w:vAlign w:val="top"/>
          </w:tcPr>
          <w:p w14:paraId="3E60CE3E">
            <w:pPr>
              <w:pStyle w:val="32"/>
              <w:spacing w:before="119" w:line="218" w:lineRule="auto"/>
              <w:ind w:left="39"/>
            </w:pPr>
            <w:r>
              <w:rPr>
                <w:b/>
                <w:bCs/>
                <w:spacing w:val="-7"/>
              </w:rPr>
              <w:t>1.投标报价</w:t>
            </w:r>
          </w:p>
          <w:p w14:paraId="735B1FCD">
            <w:pPr>
              <w:pStyle w:val="32"/>
              <w:spacing w:before="184" w:line="218" w:lineRule="auto"/>
              <w:ind w:left="279"/>
            </w:pPr>
            <w:r>
              <w:rPr>
                <w:spacing w:val="-2"/>
              </w:rPr>
              <w:t>1.1 所有报价均以人民币报价。</w:t>
            </w:r>
          </w:p>
          <w:p w14:paraId="656347D1">
            <w:pPr>
              <w:pStyle w:val="32"/>
              <w:spacing w:before="187" w:line="324" w:lineRule="auto"/>
              <w:ind w:left="20" w:right="17" w:firstLine="258"/>
            </w:pPr>
            <w:r>
              <w:rPr>
                <w:spacing w:val="-3"/>
              </w:rPr>
              <w:t>1.2</w:t>
            </w:r>
            <w:r>
              <w:rPr>
                <w:spacing w:val="-51"/>
              </w:rPr>
              <w:t xml:space="preserve"> </w:t>
            </w:r>
            <w:r>
              <w:rPr>
                <w:spacing w:val="-3"/>
              </w:rPr>
              <w:t>谈判报价：供应商应在谈判报价表中标明完成本次采购所要求</w:t>
            </w:r>
            <w:r>
              <w:rPr>
                <w:spacing w:val="-4"/>
              </w:rPr>
              <w:t>的服务且验收</w:t>
            </w:r>
            <w:r>
              <w:t xml:space="preserve"> 合格的所有费用，包括食宿费、拓展培训费、交通费、服</w:t>
            </w:r>
            <w:r>
              <w:rPr>
                <w:spacing w:val="-1"/>
              </w:rPr>
              <w:t>装费、餐补费等其他一</w:t>
            </w:r>
            <w:r>
              <w:t xml:space="preserve">  切相关费用。谈判报价表标明本次服务的所有单项价格和</w:t>
            </w:r>
            <w:r>
              <w:rPr>
                <w:spacing w:val="-1"/>
              </w:rPr>
              <w:t>总价，任何有选择的报</w:t>
            </w:r>
            <w:r>
              <w:t xml:space="preserve">  </w:t>
            </w:r>
            <w:r>
              <w:rPr>
                <w:spacing w:val="-1"/>
              </w:rPr>
              <w:t>价将不予接受，按无效投标处理。</w:t>
            </w:r>
          </w:p>
          <w:p w14:paraId="4F7A5AD9">
            <w:pPr>
              <w:pStyle w:val="32"/>
              <w:spacing w:before="185" w:line="219" w:lineRule="auto"/>
              <w:ind w:left="24"/>
            </w:pPr>
            <w:r>
              <w:rPr>
                <w:b/>
                <w:bCs/>
                <w:spacing w:val="-3"/>
              </w:rPr>
              <w:t>2.付款方式：按照双方合同约定执行。</w:t>
            </w:r>
          </w:p>
          <w:p w14:paraId="752032B0">
            <w:pPr>
              <w:pStyle w:val="32"/>
              <w:spacing w:before="182" w:line="309" w:lineRule="auto"/>
              <w:ind w:left="21" w:right="17" w:firstLine="483"/>
              <w:rPr>
                <w:rFonts w:hint="default" w:eastAsia="宋体"/>
                <w:lang w:val="en-US" w:eastAsia="zh-CN"/>
              </w:rPr>
            </w:pPr>
            <w:r>
              <w:rPr>
                <w:rFonts w:hint="default" w:eastAsia="宋体"/>
                <w:lang w:val="en-US" w:eastAsia="zh-CN"/>
              </w:rPr>
              <w:t>安装完成调试合格后一次性付清</w:t>
            </w:r>
          </w:p>
        </w:tc>
      </w:tr>
      <w:tr w14:paraId="2AE71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3" w:hRule="atLeast"/>
        </w:trPr>
        <w:tc>
          <w:tcPr>
            <w:tcW w:w="926" w:type="dxa"/>
            <w:tcBorders>
              <w:left w:val="single" w:color="000000" w:sz="10" w:space="0"/>
            </w:tcBorders>
            <w:vAlign w:val="top"/>
          </w:tcPr>
          <w:p w14:paraId="1A47D90D">
            <w:pPr>
              <w:spacing w:line="248" w:lineRule="auto"/>
              <w:rPr>
                <w:rFonts w:ascii="Arial"/>
                <w:sz w:val="21"/>
              </w:rPr>
            </w:pPr>
          </w:p>
          <w:p w14:paraId="13C4E7D5">
            <w:pPr>
              <w:spacing w:line="249" w:lineRule="auto"/>
              <w:rPr>
                <w:rFonts w:ascii="Arial"/>
                <w:sz w:val="21"/>
              </w:rPr>
            </w:pPr>
          </w:p>
          <w:p w14:paraId="17B3A08D">
            <w:pPr>
              <w:spacing w:line="249" w:lineRule="auto"/>
              <w:rPr>
                <w:rFonts w:ascii="Arial"/>
                <w:sz w:val="21"/>
              </w:rPr>
            </w:pPr>
          </w:p>
          <w:p w14:paraId="69310819">
            <w:pPr>
              <w:pStyle w:val="32"/>
              <w:spacing w:before="79"/>
              <w:ind w:left="397"/>
            </w:pPr>
            <w:r>
              <w:t>6</w:t>
            </w:r>
          </w:p>
        </w:tc>
        <w:tc>
          <w:tcPr>
            <w:tcW w:w="8551" w:type="dxa"/>
            <w:tcBorders>
              <w:right w:val="single" w:color="000000" w:sz="10" w:space="0"/>
            </w:tcBorders>
            <w:vAlign w:val="top"/>
          </w:tcPr>
          <w:p w14:paraId="5F467C27">
            <w:pPr>
              <w:pStyle w:val="32"/>
              <w:spacing w:before="129" w:line="220" w:lineRule="auto"/>
              <w:ind w:left="22"/>
            </w:pPr>
            <w:r>
              <w:rPr>
                <w:b/>
                <w:bCs/>
                <w:spacing w:val="-5"/>
              </w:rPr>
              <w:t>质量要求：</w:t>
            </w:r>
          </w:p>
          <w:p w14:paraId="5F5550A9">
            <w:pPr>
              <w:pStyle w:val="32"/>
              <w:spacing w:before="179" w:line="325" w:lineRule="auto"/>
              <w:ind w:left="23" w:right="18" w:firstLine="478"/>
              <w:jc w:val="both"/>
            </w:pPr>
            <w:r>
              <w:rPr>
                <w:spacing w:val="3"/>
              </w:rPr>
              <w:t>供应商应保证其竞争性谈判响应文件中所提供的所有有关谈</w:t>
            </w:r>
            <w:r>
              <w:rPr>
                <w:spacing w:val="2"/>
              </w:rPr>
              <w:t>判的资料、信息</w:t>
            </w:r>
            <w:r>
              <w:rPr>
                <w:spacing w:val="3"/>
              </w:rPr>
              <w:t>是真实的。因竞争性谈判响应文件中所提供的</w:t>
            </w:r>
            <w:r>
              <w:rPr>
                <w:spacing w:val="2"/>
              </w:rPr>
              <w:t>有关谈判的资料、信息不真实、或</w:t>
            </w:r>
            <w:r>
              <w:rPr>
                <w:spacing w:val="-1"/>
              </w:rPr>
              <w:t>者其来源不合法而导致的所有法律责任，由供应商自行承担。</w:t>
            </w:r>
            <w:r>
              <w:rPr>
                <w:rFonts w:hint="eastAsia"/>
                <w:spacing w:val="2"/>
              </w:rPr>
              <w:t>产品符合相关法律法规和相关技术规范标准等</w:t>
            </w:r>
            <w:r>
              <w:rPr>
                <w:rFonts w:hint="eastAsia"/>
                <w:spacing w:val="2"/>
                <w:lang w:eastAsia="zh-CN"/>
              </w:rPr>
              <w:t>。</w:t>
            </w:r>
          </w:p>
        </w:tc>
      </w:tr>
      <w:tr w14:paraId="6D42D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926" w:type="dxa"/>
            <w:tcBorders>
              <w:left w:val="single" w:color="000000" w:sz="10" w:space="0"/>
            </w:tcBorders>
            <w:vAlign w:val="top"/>
          </w:tcPr>
          <w:p w14:paraId="55A66D84">
            <w:pPr>
              <w:spacing w:line="259" w:lineRule="auto"/>
              <w:rPr>
                <w:rFonts w:ascii="Arial"/>
                <w:sz w:val="21"/>
              </w:rPr>
            </w:pPr>
          </w:p>
          <w:p w14:paraId="582DD9B1">
            <w:pPr>
              <w:spacing w:line="260" w:lineRule="auto"/>
              <w:rPr>
                <w:rFonts w:ascii="Arial"/>
                <w:sz w:val="21"/>
              </w:rPr>
            </w:pPr>
          </w:p>
          <w:p w14:paraId="2DFF603F">
            <w:pPr>
              <w:pStyle w:val="32"/>
              <w:spacing w:before="78"/>
              <w:ind w:left="401"/>
            </w:pPr>
            <w:r>
              <w:t>7</w:t>
            </w:r>
          </w:p>
        </w:tc>
        <w:tc>
          <w:tcPr>
            <w:tcW w:w="8551" w:type="dxa"/>
            <w:tcBorders>
              <w:right w:val="single" w:color="000000" w:sz="10" w:space="0"/>
            </w:tcBorders>
            <w:vAlign w:val="top"/>
          </w:tcPr>
          <w:p w14:paraId="2A0142A0">
            <w:pPr>
              <w:pStyle w:val="32"/>
              <w:spacing w:before="54" w:line="219" w:lineRule="auto"/>
              <w:ind w:left="20"/>
            </w:pPr>
            <w:r>
              <w:rPr>
                <w:b/>
                <w:bCs/>
                <w:spacing w:val="-6"/>
              </w:rPr>
              <w:t>验收：</w:t>
            </w:r>
          </w:p>
          <w:p w14:paraId="3372A4C9">
            <w:pPr>
              <w:pStyle w:val="32"/>
              <w:spacing w:before="179" w:line="325" w:lineRule="auto"/>
              <w:ind w:left="23" w:right="18" w:firstLine="478"/>
              <w:jc w:val="both"/>
              <w:rPr>
                <w:rFonts w:hint="eastAsia" w:eastAsia="宋体"/>
                <w:spacing w:val="-1"/>
                <w:lang w:eastAsia="zh-CN"/>
              </w:rPr>
            </w:pPr>
            <w:r>
              <w:rPr>
                <w:rFonts w:hint="eastAsia"/>
                <w:spacing w:val="-1"/>
              </w:rPr>
              <w:t>1、履约验收时间:货物交付时</w:t>
            </w:r>
            <w:r>
              <w:rPr>
                <w:rFonts w:hint="eastAsia"/>
                <w:spacing w:val="-1"/>
                <w:lang w:eastAsia="zh-CN"/>
              </w:rPr>
              <w:t>。</w:t>
            </w:r>
          </w:p>
          <w:p w14:paraId="38C57A1D">
            <w:pPr>
              <w:pStyle w:val="32"/>
              <w:spacing w:before="179" w:line="325" w:lineRule="auto"/>
              <w:ind w:left="23" w:right="18" w:firstLine="478"/>
              <w:jc w:val="both"/>
              <w:rPr>
                <w:rFonts w:hint="eastAsia"/>
                <w:spacing w:val="-1"/>
              </w:rPr>
            </w:pPr>
            <w:r>
              <w:rPr>
                <w:rFonts w:hint="eastAsia"/>
                <w:spacing w:val="-1"/>
              </w:rPr>
              <w:t>2、履约验收主体:</w:t>
            </w:r>
            <w:r>
              <w:rPr>
                <w:rFonts w:hint="eastAsia"/>
                <w:spacing w:val="-1"/>
                <w:lang w:eastAsia="zh-CN"/>
              </w:rPr>
              <w:t>榆林市绥德县城市管理执法局</w:t>
            </w:r>
            <w:r>
              <w:rPr>
                <w:rFonts w:hint="eastAsia"/>
                <w:spacing w:val="-1"/>
              </w:rPr>
              <w:t>。</w:t>
            </w:r>
          </w:p>
          <w:p w14:paraId="6F4379CB">
            <w:pPr>
              <w:pStyle w:val="32"/>
              <w:spacing w:before="179" w:line="325" w:lineRule="auto"/>
              <w:ind w:left="23" w:right="18" w:firstLine="478"/>
              <w:jc w:val="both"/>
              <w:rPr>
                <w:rFonts w:hint="eastAsia"/>
                <w:spacing w:val="-1"/>
                <w:lang w:val="en-US" w:eastAsia="zh-CN"/>
              </w:rPr>
            </w:pPr>
            <w:r>
              <w:rPr>
                <w:rFonts w:hint="eastAsia"/>
                <w:spacing w:val="-1"/>
              </w:rPr>
              <w:t>3、验收程序:</w:t>
            </w:r>
            <w:r>
              <w:rPr>
                <w:rFonts w:hint="eastAsia"/>
                <w:spacing w:val="-1"/>
                <w:lang w:eastAsia="zh-CN"/>
              </w:rPr>
              <w:t>绥德县第二净水厂化验设备采购</w:t>
            </w:r>
            <w:r>
              <w:rPr>
                <w:rFonts w:hint="eastAsia"/>
                <w:spacing w:val="-1"/>
              </w:rPr>
              <w:t>相关技术人员验</w:t>
            </w:r>
            <w:r>
              <w:rPr>
                <w:rFonts w:hint="eastAsia"/>
                <w:spacing w:val="-1"/>
                <w:lang w:val="en-US" w:eastAsia="zh-CN"/>
              </w:rPr>
              <w:t>收。</w:t>
            </w:r>
          </w:p>
          <w:p w14:paraId="1B76C350">
            <w:pPr>
              <w:pStyle w:val="32"/>
              <w:spacing w:before="179" w:line="325" w:lineRule="auto"/>
              <w:ind w:left="23" w:right="18" w:firstLine="478"/>
              <w:jc w:val="both"/>
              <w:rPr>
                <w:rFonts w:hint="eastAsia" w:eastAsia="宋体"/>
                <w:lang w:eastAsia="zh-CN"/>
              </w:rPr>
            </w:pPr>
            <w:r>
              <w:rPr>
                <w:rFonts w:hint="eastAsia"/>
                <w:spacing w:val="-1"/>
              </w:rPr>
              <w:t>4、验收方式:一次性验收</w:t>
            </w:r>
            <w:r>
              <w:rPr>
                <w:rFonts w:hint="eastAsia"/>
                <w:spacing w:val="-1"/>
                <w:lang w:eastAsia="zh-CN"/>
              </w:rPr>
              <w:t>。</w:t>
            </w:r>
          </w:p>
        </w:tc>
      </w:tr>
      <w:tr w14:paraId="0A4E8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6" w:hRule="atLeast"/>
        </w:trPr>
        <w:tc>
          <w:tcPr>
            <w:tcW w:w="926" w:type="dxa"/>
            <w:tcBorders>
              <w:left w:val="single" w:color="000000" w:sz="10" w:space="0"/>
              <w:bottom w:val="single" w:color="000000" w:sz="10" w:space="0"/>
            </w:tcBorders>
            <w:vAlign w:val="top"/>
          </w:tcPr>
          <w:p w14:paraId="02BC455E">
            <w:pPr>
              <w:spacing w:line="260" w:lineRule="auto"/>
              <w:rPr>
                <w:rFonts w:ascii="Arial"/>
                <w:sz w:val="21"/>
              </w:rPr>
            </w:pPr>
          </w:p>
          <w:p w14:paraId="78CDEA81">
            <w:pPr>
              <w:spacing w:line="260" w:lineRule="auto"/>
              <w:rPr>
                <w:rFonts w:ascii="Arial"/>
                <w:sz w:val="21"/>
              </w:rPr>
            </w:pPr>
          </w:p>
          <w:p w14:paraId="51742D9E">
            <w:pPr>
              <w:pStyle w:val="32"/>
              <w:spacing w:before="78"/>
              <w:ind w:left="396"/>
            </w:pPr>
            <w:r>
              <w:t>8</w:t>
            </w:r>
          </w:p>
        </w:tc>
        <w:tc>
          <w:tcPr>
            <w:tcW w:w="8551" w:type="dxa"/>
            <w:tcBorders>
              <w:bottom w:val="single" w:color="000000" w:sz="10" w:space="0"/>
              <w:right w:val="single" w:color="000000" w:sz="10" w:space="0"/>
            </w:tcBorders>
            <w:vAlign w:val="top"/>
          </w:tcPr>
          <w:p w14:paraId="7CDEC84A">
            <w:pPr>
              <w:pStyle w:val="32"/>
              <w:spacing w:before="133" w:line="219" w:lineRule="auto"/>
              <w:ind w:left="20"/>
            </w:pPr>
            <w:r>
              <w:rPr>
                <w:b/>
                <w:bCs/>
                <w:spacing w:val="-4"/>
              </w:rPr>
              <w:t>验收依据：</w:t>
            </w:r>
          </w:p>
          <w:p w14:paraId="12DFAF16">
            <w:pPr>
              <w:pStyle w:val="32"/>
              <w:spacing w:before="183" w:line="219" w:lineRule="auto"/>
              <w:ind w:left="273"/>
            </w:pPr>
            <w:r>
              <w:rPr>
                <w:spacing w:val="-6"/>
              </w:rPr>
              <w:t>（1）合同文本及合同补充文件（条款）。</w:t>
            </w:r>
          </w:p>
          <w:p w14:paraId="3923FED9">
            <w:pPr>
              <w:pStyle w:val="32"/>
              <w:spacing w:before="184" w:line="219" w:lineRule="auto"/>
              <w:ind w:left="273"/>
            </w:pPr>
            <w:r>
              <w:rPr>
                <w:spacing w:val="-2"/>
              </w:rPr>
              <w:t>（2）竞争性谈判文件。</w:t>
            </w:r>
          </w:p>
        </w:tc>
      </w:tr>
    </w:tbl>
    <w:p w14:paraId="5010284D">
      <w:pPr>
        <w:spacing w:line="91" w:lineRule="auto"/>
        <w:rPr>
          <w:rFonts w:ascii="Arial"/>
          <w:sz w:val="2"/>
        </w:rPr>
      </w:pPr>
    </w:p>
    <w:tbl>
      <w:tblPr>
        <w:tblStyle w:val="31"/>
        <w:tblW w:w="947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8551"/>
      </w:tblGrid>
      <w:tr w14:paraId="7A486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926" w:type="dxa"/>
            <w:tcBorders>
              <w:top w:val="single" w:color="000000" w:sz="10" w:space="0"/>
              <w:left w:val="single" w:color="000000" w:sz="10" w:space="0"/>
            </w:tcBorders>
            <w:vAlign w:val="top"/>
          </w:tcPr>
          <w:p w14:paraId="0955EEBF">
            <w:pPr>
              <w:rPr>
                <w:rFonts w:ascii="Arial"/>
                <w:sz w:val="21"/>
              </w:rPr>
            </w:pPr>
          </w:p>
        </w:tc>
        <w:tc>
          <w:tcPr>
            <w:tcW w:w="8551" w:type="dxa"/>
            <w:tcBorders>
              <w:top w:val="single" w:color="000000" w:sz="10" w:space="0"/>
              <w:right w:val="single" w:color="000000" w:sz="10" w:space="0"/>
            </w:tcBorders>
            <w:vAlign w:val="top"/>
          </w:tcPr>
          <w:p w14:paraId="220C125B">
            <w:pPr>
              <w:pStyle w:val="32"/>
              <w:spacing w:before="106" w:line="219" w:lineRule="auto"/>
              <w:ind w:left="273"/>
            </w:pPr>
            <w:r>
              <w:rPr>
                <w:spacing w:val="-2"/>
              </w:rPr>
              <w:t>（3）竞争性谈判响应文件。</w:t>
            </w:r>
          </w:p>
          <w:p w14:paraId="6B2A62AA">
            <w:pPr>
              <w:pStyle w:val="32"/>
              <w:spacing w:before="182" w:line="219" w:lineRule="auto"/>
              <w:ind w:left="273"/>
            </w:pPr>
            <w:r>
              <w:rPr>
                <w:spacing w:val="-2"/>
              </w:rPr>
              <w:t>（4）采购内容及要求。</w:t>
            </w:r>
          </w:p>
        </w:tc>
      </w:tr>
      <w:tr w14:paraId="17D46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7" w:hRule="atLeast"/>
        </w:trPr>
        <w:tc>
          <w:tcPr>
            <w:tcW w:w="926" w:type="dxa"/>
            <w:tcBorders>
              <w:left w:val="single" w:color="000000" w:sz="10" w:space="0"/>
            </w:tcBorders>
            <w:vAlign w:val="top"/>
          </w:tcPr>
          <w:p w14:paraId="360295B3">
            <w:pPr>
              <w:spacing w:line="244" w:lineRule="auto"/>
              <w:rPr>
                <w:rFonts w:ascii="Arial"/>
                <w:sz w:val="21"/>
              </w:rPr>
            </w:pPr>
          </w:p>
          <w:p w14:paraId="6C3FF3FE">
            <w:pPr>
              <w:spacing w:line="245" w:lineRule="auto"/>
              <w:rPr>
                <w:rFonts w:ascii="Arial"/>
                <w:sz w:val="21"/>
              </w:rPr>
            </w:pPr>
          </w:p>
          <w:p w14:paraId="17B7BE1D">
            <w:pPr>
              <w:spacing w:line="245" w:lineRule="auto"/>
              <w:rPr>
                <w:rFonts w:ascii="Arial"/>
                <w:sz w:val="21"/>
              </w:rPr>
            </w:pPr>
          </w:p>
          <w:p w14:paraId="62B5D92E">
            <w:pPr>
              <w:pStyle w:val="32"/>
              <w:spacing w:before="78"/>
              <w:ind w:left="396"/>
            </w:pPr>
            <w:r>
              <w:t>9</w:t>
            </w:r>
          </w:p>
        </w:tc>
        <w:tc>
          <w:tcPr>
            <w:tcW w:w="8551" w:type="dxa"/>
            <w:tcBorders>
              <w:right w:val="single" w:color="000000" w:sz="10" w:space="0"/>
            </w:tcBorders>
            <w:vAlign w:val="top"/>
          </w:tcPr>
          <w:p w14:paraId="6AAC86FB">
            <w:pPr>
              <w:pStyle w:val="32"/>
              <w:spacing w:before="117" w:line="219" w:lineRule="auto"/>
              <w:ind w:left="26"/>
            </w:pPr>
            <w:r>
              <w:rPr>
                <w:b/>
                <w:bCs/>
                <w:spacing w:val="-5"/>
              </w:rPr>
              <w:t>知识产权：</w:t>
            </w:r>
          </w:p>
          <w:p w14:paraId="4ADB5A9C">
            <w:pPr>
              <w:pStyle w:val="32"/>
              <w:spacing w:before="182" w:line="357" w:lineRule="auto"/>
              <w:ind w:left="25" w:right="18" w:firstLine="476"/>
              <w:jc w:val="both"/>
            </w:pPr>
            <w:r>
              <w:rPr>
                <w:spacing w:val="3"/>
              </w:rPr>
              <w:t>供应商应保证投标服务不会出现因第三方提出侵犯其专利权</w:t>
            </w:r>
            <w:r>
              <w:rPr>
                <w:spacing w:val="2"/>
              </w:rPr>
              <w:t>、商标权或其它</w:t>
            </w:r>
            <w:r>
              <w:t xml:space="preserve"> </w:t>
            </w:r>
            <w:r>
              <w:rPr>
                <w:spacing w:val="2"/>
              </w:rPr>
              <w:t>知识产权而引发法律或经济纠纷，否则由供应商承担全部责任。任何被供应商用</w:t>
            </w:r>
            <w:r>
              <w:rPr>
                <w:spacing w:val="18"/>
              </w:rPr>
              <w:t xml:space="preserve"> </w:t>
            </w:r>
            <w:r>
              <w:rPr>
                <w:spacing w:val="-1"/>
              </w:rPr>
              <w:t>于未经授权的商业目的行为所造成的违约或侵权责任由供应商承担。</w:t>
            </w:r>
          </w:p>
        </w:tc>
      </w:tr>
      <w:tr w14:paraId="0694D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926" w:type="dxa"/>
            <w:tcBorders>
              <w:left w:val="single" w:color="000000" w:sz="10" w:space="0"/>
              <w:bottom w:val="single" w:color="000000" w:sz="10" w:space="0"/>
            </w:tcBorders>
            <w:vAlign w:val="top"/>
          </w:tcPr>
          <w:p w14:paraId="335267D4">
            <w:pPr>
              <w:spacing w:line="243" w:lineRule="auto"/>
              <w:rPr>
                <w:rFonts w:ascii="Arial"/>
                <w:sz w:val="21"/>
              </w:rPr>
            </w:pPr>
          </w:p>
          <w:p w14:paraId="70CE1DD6">
            <w:pPr>
              <w:spacing w:line="243" w:lineRule="auto"/>
              <w:rPr>
                <w:rFonts w:ascii="Arial"/>
                <w:sz w:val="21"/>
              </w:rPr>
            </w:pPr>
          </w:p>
          <w:p w14:paraId="5FD6F128">
            <w:pPr>
              <w:spacing w:line="243" w:lineRule="auto"/>
              <w:rPr>
                <w:rFonts w:ascii="Arial"/>
                <w:sz w:val="21"/>
              </w:rPr>
            </w:pPr>
          </w:p>
          <w:p w14:paraId="5FA4E152">
            <w:pPr>
              <w:spacing w:line="243" w:lineRule="auto"/>
              <w:rPr>
                <w:rFonts w:ascii="Arial"/>
                <w:sz w:val="21"/>
              </w:rPr>
            </w:pPr>
          </w:p>
          <w:p w14:paraId="4F677D08">
            <w:pPr>
              <w:spacing w:line="244" w:lineRule="auto"/>
              <w:rPr>
                <w:rFonts w:ascii="Arial"/>
                <w:sz w:val="21"/>
              </w:rPr>
            </w:pPr>
          </w:p>
          <w:p w14:paraId="108D2A2F">
            <w:pPr>
              <w:pStyle w:val="32"/>
              <w:spacing w:before="78"/>
              <w:ind w:left="283"/>
            </w:pPr>
            <w:r>
              <w:rPr>
                <w:spacing w:val="-14"/>
              </w:rPr>
              <w:t>10</w:t>
            </w:r>
          </w:p>
        </w:tc>
        <w:tc>
          <w:tcPr>
            <w:tcW w:w="8551" w:type="dxa"/>
            <w:tcBorders>
              <w:bottom w:val="single" w:color="000000" w:sz="10" w:space="0"/>
              <w:right w:val="single" w:color="000000" w:sz="10" w:space="0"/>
            </w:tcBorders>
            <w:vAlign w:val="top"/>
          </w:tcPr>
          <w:p w14:paraId="36D2A186">
            <w:pPr>
              <w:pStyle w:val="32"/>
              <w:spacing w:before="127" w:line="219" w:lineRule="auto"/>
              <w:ind w:left="21"/>
            </w:pPr>
            <w:r>
              <w:rPr>
                <w:b/>
                <w:bCs/>
                <w:spacing w:val="-4"/>
              </w:rPr>
              <w:t>违约责任：</w:t>
            </w:r>
          </w:p>
          <w:p w14:paraId="28B7F648">
            <w:pPr>
              <w:pStyle w:val="32"/>
              <w:spacing w:before="183" w:line="219" w:lineRule="auto"/>
              <w:ind w:left="519"/>
            </w:pPr>
            <w:r>
              <w:rPr>
                <w:spacing w:val="-1"/>
              </w:rPr>
              <w:t>1、按《中华人民共和国民法典》中的相关</w:t>
            </w:r>
            <w:r>
              <w:rPr>
                <w:spacing w:val="-2"/>
              </w:rPr>
              <w:t>条款执行。</w:t>
            </w:r>
          </w:p>
          <w:p w14:paraId="05ED536C">
            <w:pPr>
              <w:pStyle w:val="32"/>
              <w:spacing w:before="184" w:line="313" w:lineRule="auto"/>
              <w:ind w:left="22" w:right="15" w:firstLine="481"/>
            </w:pPr>
            <w:r>
              <w:rPr>
                <w:spacing w:val="-1"/>
              </w:rPr>
              <w:t>2、未按合同要求提供服务质量或服务质量不能满足技术要求，招标人有权终</w:t>
            </w:r>
            <w:r>
              <w:rPr>
                <w:spacing w:val="3"/>
              </w:rPr>
              <w:t xml:space="preserve"> 止合同，并对供方违约行为进行追究，同时按《中华人</w:t>
            </w:r>
            <w:r>
              <w:rPr>
                <w:spacing w:val="2"/>
              </w:rPr>
              <w:t>民共和国政府采购法》的</w:t>
            </w:r>
            <w:r>
              <w:t xml:space="preserve"> </w:t>
            </w:r>
            <w:r>
              <w:rPr>
                <w:spacing w:val="-2"/>
              </w:rPr>
              <w:t>有关规定进行处罚。</w:t>
            </w:r>
          </w:p>
        </w:tc>
      </w:tr>
    </w:tbl>
    <w:p w14:paraId="453827C8">
      <w:pPr>
        <w:pStyle w:val="4"/>
      </w:pPr>
    </w:p>
    <w:p w14:paraId="13365D49">
      <w:pPr>
        <w:sectPr>
          <w:footerReference r:id="rId10" w:type="default"/>
          <w:pgSz w:w="11906" w:h="16839"/>
          <w:pgMar w:top="1431" w:right="1201" w:bottom="1152" w:left="1201" w:header="0" w:footer="987" w:gutter="0"/>
          <w:pgNumType w:fmt="decimal"/>
          <w:cols w:space="720" w:num="1"/>
        </w:sectPr>
      </w:pPr>
    </w:p>
    <w:p w14:paraId="1C6C48E5">
      <w:pPr>
        <w:spacing w:before="149" w:line="224" w:lineRule="auto"/>
        <w:ind w:left="2192"/>
        <w:outlineLvl w:val="0"/>
        <w:rPr>
          <w:rFonts w:ascii="宋体" w:hAnsi="宋体" w:eastAsia="宋体" w:cs="宋体"/>
          <w:sz w:val="35"/>
          <w:szCs w:val="35"/>
        </w:rPr>
      </w:pPr>
      <w:bookmarkStart w:id="64" w:name="_Toc28931"/>
      <w:bookmarkStart w:id="65" w:name="_Toc18724"/>
      <w:r>
        <w:rPr>
          <w:rFonts w:ascii="宋体" w:hAnsi="宋体" w:eastAsia="宋体" w:cs="宋体"/>
          <w:b/>
          <w:bCs/>
          <w:spacing w:val="6"/>
          <w:sz w:val="35"/>
          <w:szCs w:val="35"/>
        </w:rPr>
        <w:t>第五部分</w:t>
      </w:r>
      <w:r>
        <w:rPr>
          <w:rFonts w:ascii="宋体" w:hAnsi="宋体" w:eastAsia="宋体" w:cs="宋体"/>
          <w:spacing w:val="6"/>
          <w:sz w:val="35"/>
          <w:szCs w:val="35"/>
        </w:rPr>
        <w:t xml:space="preserve">  </w:t>
      </w:r>
      <w:r>
        <w:rPr>
          <w:rFonts w:ascii="宋体" w:hAnsi="宋体" w:eastAsia="宋体" w:cs="宋体"/>
          <w:b/>
          <w:bCs/>
          <w:spacing w:val="6"/>
          <w:sz w:val="35"/>
          <w:szCs w:val="35"/>
        </w:rPr>
        <w:t>政府采购合同</w:t>
      </w:r>
      <w:bookmarkEnd w:id="64"/>
      <w:bookmarkEnd w:id="65"/>
    </w:p>
    <w:p w14:paraId="59820958">
      <w:pPr>
        <w:pStyle w:val="4"/>
        <w:spacing w:line="244" w:lineRule="auto"/>
      </w:pPr>
    </w:p>
    <w:p w14:paraId="3449A778">
      <w:pPr>
        <w:pStyle w:val="4"/>
        <w:spacing w:line="244" w:lineRule="auto"/>
      </w:pPr>
    </w:p>
    <w:p w14:paraId="0FC7936C">
      <w:pPr>
        <w:pStyle w:val="4"/>
        <w:spacing w:line="244" w:lineRule="auto"/>
      </w:pPr>
    </w:p>
    <w:p w14:paraId="341A65DB">
      <w:pPr>
        <w:pStyle w:val="4"/>
        <w:spacing w:line="244" w:lineRule="auto"/>
      </w:pPr>
    </w:p>
    <w:p w14:paraId="42098F09">
      <w:pPr>
        <w:pStyle w:val="4"/>
        <w:spacing w:line="244" w:lineRule="auto"/>
      </w:pPr>
    </w:p>
    <w:p w14:paraId="74752331">
      <w:pPr>
        <w:pStyle w:val="4"/>
        <w:spacing w:line="244" w:lineRule="auto"/>
      </w:pPr>
    </w:p>
    <w:p w14:paraId="19136F97">
      <w:pPr>
        <w:pStyle w:val="4"/>
        <w:spacing w:line="244" w:lineRule="auto"/>
      </w:pPr>
    </w:p>
    <w:p w14:paraId="746BCC30">
      <w:pPr>
        <w:pStyle w:val="4"/>
        <w:spacing w:line="244" w:lineRule="auto"/>
      </w:pPr>
    </w:p>
    <w:p w14:paraId="02A6F29B">
      <w:pPr>
        <w:pStyle w:val="4"/>
        <w:spacing w:line="244" w:lineRule="auto"/>
      </w:pPr>
    </w:p>
    <w:p w14:paraId="7E82C3F1">
      <w:pPr>
        <w:pStyle w:val="4"/>
        <w:spacing w:line="244" w:lineRule="auto"/>
      </w:pPr>
    </w:p>
    <w:p w14:paraId="07B90EEF">
      <w:pPr>
        <w:pStyle w:val="4"/>
        <w:spacing w:line="244" w:lineRule="auto"/>
      </w:pPr>
    </w:p>
    <w:p w14:paraId="33B85CB1">
      <w:pPr>
        <w:pStyle w:val="4"/>
        <w:spacing w:line="244" w:lineRule="auto"/>
      </w:pPr>
    </w:p>
    <w:p w14:paraId="06DB3B12">
      <w:pPr>
        <w:pStyle w:val="4"/>
        <w:spacing w:line="244" w:lineRule="auto"/>
      </w:pPr>
    </w:p>
    <w:p w14:paraId="4C4501FB">
      <w:pPr>
        <w:pStyle w:val="4"/>
        <w:spacing w:line="244" w:lineRule="auto"/>
      </w:pPr>
    </w:p>
    <w:p w14:paraId="175CBC5D">
      <w:pPr>
        <w:pStyle w:val="4"/>
        <w:spacing w:line="244" w:lineRule="auto"/>
      </w:pPr>
    </w:p>
    <w:p w14:paraId="5DAF88F5">
      <w:pPr>
        <w:pStyle w:val="4"/>
        <w:spacing w:line="244" w:lineRule="auto"/>
      </w:pPr>
    </w:p>
    <w:p w14:paraId="4EEAAD2A">
      <w:pPr>
        <w:pStyle w:val="4"/>
        <w:spacing w:line="245" w:lineRule="auto"/>
      </w:pPr>
    </w:p>
    <w:p w14:paraId="78C3F5DA">
      <w:pPr>
        <w:spacing w:before="114" w:line="224" w:lineRule="auto"/>
        <w:ind w:left="2642"/>
        <w:rPr>
          <w:rFonts w:ascii="宋体" w:hAnsi="宋体" w:eastAsia="宋体" w:cs="宋体"/>
          <w:sz w:val="35"/>
          <w:szCs w:val="35"/>
        </w:rPr>
      </w:pPr>
      <w:r>
        <w:rPr>
          <w:rFonts w:ascii="宋体" w:hAnsi="宋体" w:eastAsia="宋体" w:cs="宋体"/>
          <w:b/>
          <w:bCs/>
          <w:spacing w:val="-3"/>
          <w:sz w:val="35"/>
          <w:szCs w:val="35"/>
        </w:rPr>
        <w:t>政</w:t>
      </w:r>
      <w:r>
        <w:rPr>
          <w:rFonts w:ascii="宋体" w:hAnsi="宋体" w:eastAsia="宋体" w:cs="宋体"/>
          <w:spacing w:val="22"/>
          <w:sz w:val="35"/>
          <w:szCs w:val="35"/>
        </w:rPr>
        <w:t xml:space="preserve"> </w:t>
      </w:r>
      <w:r>
        <w:rPr>
          <w:rFonts w:ascii="宋体" w:hAnsi="宋体" w:eastAsia="宋体" w:cs="宋体"/>
          <w:b/>
          <w:bCs/>
          <w:spacing w:val="-3"/>
          <w:sz w:val="35"/>
          <w:szCs w:val="35"/>
        </w:rPr>
        <w:t>府</w:t>
      </w:r>
      <w:r>
        <w:rPr>
          <w:rFonts w:ascii="宋体" w:hAnsi="宋体" w:eastAsia="宋体" w:cs="宋体"/>
          <w:spacing w:val="20"/>
          <w:sz w:val="35"/>
          <w:szCs w:val="35"/>
        </w:rPr>
        <w:t xml:space="preserve"> </w:t>
      </w:r>
      <w:r>
        <w:rPr>
          <w:rFonts w:ascii="宋体" w:hAnsi="宋体" w:eastAsia="宋体" w:cs="宋体"/>
          <w:b/>
          <w:bCs/>
          <w:spacing w:val="-3"/>
          <w:sz w:val="35"/>
          <w:szCs w:val="35"/>
        </w:rPr>
        <w:t>采</w:t>
      </w:r>
      <w:r>
        <w:rPr>
          <w:rFonts w:ascii="宋体" w:hAnsi="宋体" w:eastAsia="宋体" w:cs="宋体"/>
          <w:spacing w:val="-3"/>
          <w:sz w:val="35"/>
          <w:szCs w:val="35"/>
        </w:rPr>
        <w:t xml:space="preserve"> </w:t>
      </w:r>
      <w:r>
        <w:rPr>
          <w:rFonts w:ascii="宋体" w:hAnsi="宋体" w:eastAsia="宋体" w:cs="宋体"/>
          <w:b/>
          <w:bCs/>
          <w:spacing w:val="-3"/>
          <w:sz w:val="35"/>
          <w:szCs w:val="35"/>
        </w:rPr>
        <w:t>购</w:t>
      </w:r>
      <w:r>
        <w:rPr>
          <w:rFonts w:ascii="宋体" w:hAnsi="宋体" w:eastAsia="宋体" w:cs="宋体"/>
          <w:spacing w:val="22"/>
          <w:sz w:val="35"/>
          <w:szCs w:val="35"/>
        </w:rPr>
        <w:t xml:space="preserve"> </w:t>
      </w:r>
      <w:r>
        <w:rPr>
          <w:rFonts w:ascii="宋体" w:hAnsi="宋体" w:eastAsia="宋体" w:cs="宋体"/>
          <w:b/>
          <w:bCs/>
          <w:spacing w:val="-3"/>
          <w:sz w:val="35"/>
          <w:szCs w:val="35"/>
        </w:rPr>
        <w:t>合</w:t>
      </w:r>
      <w:r>
        <w:rPr>
          <w:rFonts w:ascii="宋体" w:hAnsi="宋体" w:eastAsia="宋体" w:cs="宋体"/>
          <w:spacing w:val="57"/>
          <w:sz w:val="35"/>
          <w:szCs w:val="35"/>
        </w:rPr>
        <w:t xml:space="preserve"> </w:t>
      </w:r>
      <w:r>
        <w:rPr>
          <w:rFonts w:ascii="宋体" w:hAnsi="宋体" w:eastAsia="宋体" w:cs="宋体"/>
          <w:b/>
          <w:bCs/>
          <w:spacing w:val="-3"/>
          <w:sz w:val="35"/>
          <w:szCs w:val="35"/>
        </w:rPr>
        <w:t>同</w:t>
      </w:r>
    </w:p>
    <w:p w14:paraId="5116C61E">
      <w:pPr>
        <w:pStyle w:val="4"/>
        <w:spacing w:line="251" w:lineRule="auto"/>
      </w:pPr>
    </w:p>
    <w:p w14:paraId="1A601D3A">
      <w:pPr>
        <w:pStyle w:val="4"/>
        <w:spacing w:line="252" w:lineRule="auto"/>
      </w:pPr>
    </w:p>
    <w:p w14:paraId="61438786">
      <w:pPr>
        <w:pStyle w:val="4"/>
        <w:spacing w:line="252" w:lineRule="auto"/>
      </w:pPr>
    </w:p>
    <w:p w14:paraId="09991B3F">
      <w:pPr>
        <w:pStyle w:val="4"/>
        <w:spacing w:line="252" w:lineRule="auto"/>
      </w:pPr>
    </w:p>
    <w:p w14:paraId="1D7C8DFE">
      <w:pPr>
        <w:spacing w:before="91" w:line="220" w:lineRule="auto"/>
        <w:ind w:left="3078"/>
        <w:rPr>
          <w:rFonts w:ascii="宋体" w:hAnsi="宋体" w:eastAsia="宋体" w:cs="宋体"/>
          <w:sz w:val="28"/>
          <w:szCs w:val="28"/>
        </w:rPr>
      </w:pPr>
      <w:r>
        <w:rPr>
          <w:rFonts w:ascii="宋体" w:hAnsi="宋体" w:eastAsia="宋体" w:cs="宋体"/>
          <w:b/>
          <w:bCs/>
          <w:spacing w:val="-5"/>
          <w:sz w:val="28"/>
          <w:szCs w:val="28"/>
        </w:rPr>
        <w:t>合同编号：</w:t>
      </w:r>
      <w:r>
        <w:rPr>
          <w:rFonts w:ascii="宋体" w:hAnsi="宋体" w:eastAsia="宋体" w:cs="宋体"/>
          <w:sz w:val="28"/>
          <w:szCs w:val="28"/>
          <w:u w:val="single" w:color="auto"/>
        </w:rPr>
        <w:t xml:space="preserve">             </w:t>
      </w:r>
    </w:p>
    <w:p w14:paraId="261DC9EF">
      <w:pPr>
        <w:pStyle w:val="4"/>
        <w:spacing w:line="247" w:lineRule="auto"/>
      </w:pPr>
    </w:p>
    <w:p w14:paraId="7009E24C">
      <w:pPr>
        <w:pStyle w:val="4"/>
        <w:spacing w:line="247" w:lineRule="auto"/>
      </w:pPr>
    </w:p>
    <w:p w14:paraId="1649BEC3">
      <w:pPr>
        <w:pStyle w:val="4"/>
        <w:spacing w:line="247" w:lineRule="auto"/>
      </w:pPr>
    </w:p>
    <w:p w14:paraId="56EC1103">
      <w:pPr>
        <w:pStyle w:val="4"/>
        <w:spacing w:line="247" w:lineRule="auto"/>
      </w:pPr>
    </w:p>
    <w:p w14:paraId="47AFFA26">
      <w:pPr>
        <w:pStyle w:val="4"/>
        <w:spacing w:line="247" w:lineRule="auto"/>
      </w:pPr>
    </w:p>
    <w:p w14:paraId="125D662C">
      <w:pPr>
        <w:pStyle w:val="4"/>
        <w:spacing w:line="247" w:lineRule="auto"/>
      </w:pPr>
    </w:p>
    <w:p w14:paraId="4D6AF3BD">
      <w:pPr>
        <w:pStyle w:val="4"/>
        <w:spacing w:line="248" w:lineRule="auto"/>
      </w:pPr>
    </w:p>
    <w:p w14:paraId="127002E8">
      <w:pPr>
        <w:pStyle w:val="4"/>
        <w:spacing w:line="248" w:lineRule="auto"/>
      </w:pPr>
    </w:p>
    <w:p w14:paraId="4958A438">
      <w:pPr>
        <w:pStyle w:val="4"/>
        <w:spacing w:line="248" w:lineRule="auto"/>
      </w:pPr>
    </w:p>
    <w:p w14:paraId="4875F82F">
      <w:pPr>
        <w:pStyle w:val="4"/>
        <w:spacing w:line="248" w:lineRule="auto"/>
      </w:pPr>
    </w:p>
    <w:p w14:paraId="266B5EE2">
      <w:pPr>
        <w:pStyle w:val="4"/>
        <w:spacing w:line="248" w:lineRule="auto"/>
      </w:pPr>
    </w:p>
    <w:p w14:paraId="22C4F4F5">
      <w:pPr>
        <w:pStyle w:val="4"/>
        <w:spacing w:line="248" w:lineRule="auto"/>
      </w:pPr>
    </w:p>
    <w:p w14:paraId="6C259E23">
      <w:pPr>
        <w:pStyle w:val="4"/>
        <w:spacing w:line="248" w:lineRule="auto"/>
      </w:pPr>
    </w:p>
    <w:p w14:paraId="05C2D23D">
      <w:pPr>
        <w:pStyle w:val="4"/>
        <w:spacing w:line="248" w:lineRule="auto"/>
      </w:pPr>
    </w:p>
    <w:p w14:paraId="23FF29CE">
      <w:pPr>
        <w:spacing w:before="91" w:line="219" w:lineRule="auto"/>
        <w:ind w:left="983"/>
        <w:rPr>
          <w:rFonts w:ascii="宋体" w:hAnsi="宋体" w:eastAsia="宋体" w:cs="宋体"/>
          <w:sz w:val="28"/>
          <w:szCs w:val="28"/>
        </w:rPr>
      </w:pPr>
      <w:r>
        <w:rPr>
          <w:rFonts w:ascii="宋体" w:hAnsi="宋体" w:eastAsia="宋体" w:cs="宋体"/>
          <w:b/>
          <w:bCs/>
          <w:spacing w:val="-4"/>
          <w:sz w:val="28"/>
          <w:szCs w:val="28"/>
        </w:rPr>
        <w:t>采购项目名称：</w:t>
      </w:r>
    </w:p>
    <w:p w14:paraId="2D366E9D">
      <w:pPr>
        <w:pStyle w:val="4"/>
        <w:spacing w:line="318" w:lineRule="auto"/>
      </w:pPr>
    </w:p>
    <w:p w14:paraId="25F4099E">
      <w:pPr>
        <w:spacing w:before="91" w:line="219" w:lineRule="auto"/>
        <w:ind w:left="983"/>
        <w:rPr>
          <w:rFonts w:ascii="宋体" w:hAnsi="宋体" w:eastAsia="宋体" w:cs="宋体"/>
          <w:sz w:val="28"/>
          <w:szCs w:val="28"/>
        </w:rPr>
      </w:pPr>
      <w:r>
        <w:rPr>
          <w:rFonts w:ascii="宋体" w:hAnsi="宋体" w:eastAsia="宋体" w:cs="宋体"/>
          <w:b/>
          <w:bCs/>
          <w:spacing w:val="-11"/>
          <w:sz w:val="28"/>
          <w:szCs w:val="28"/>
        </w:rPr>
        <w:t>采</w:t>
      </w:r>
      <w:r>
        <w:rPr>
          <w:rFonts w:ascii="宋体" w:hAnsi="宋体" w:eastAsia="宋体" w:cs="宋体"/>
          <w:spacing w:val="5"/>
          <w:sz w:val="28"/>
          <w:szCs w:val="28"/>
        </w:rPr>
        <w:t xml:space="preserve">  </w:t>
      </w:r>
      <w:r>
        <w:rPr>
          <w:rFonts w:ascii="宋体" w:hAnsi="宋体" w:eastAsia="宋体" w:cs="宋体"/>
          <w:b/>
          <w:bCs/>
          <w:spacing w:val="-11"/>
          <w:sz w:val="28"/>
          <w:szCs w:val="28"/>
        </w:rPr>
        <w:t>购</w:t>
      </w:r>
      <w:r>
        <w:rPr>
          <w:rFonts w:ascii="宋体" w:hAnsi="宋体" w:eastAsia="宋体" w:cs="宋体"/>
          <w:spacing w:val="7"/>
          <w:sz w:val="28"/>
          <w:szCs w:val="28"/>
        </w:rPr>
        <w:t xml:space="preserve">  </w:t>
      </w:r>
      <w:r>
        <w:rPr>
          <w:rFonts w:ascii="宋体" w:hAnsi="宋体" w:eastAsia="宋体" w:cs="宋体"/>
          <w:b/>
          <w:bCs/>
          <w:spacing w:val="-11"/>
          <w:sz w:val="28"/>
          <w:szCs w:val="28"/>
        </w:rPr>
        <w:t>人：</w:t>
      </w:r>
    </w:p>
    <w:p w14:paraId="3BCE3014">
      <w:pPr>
        <w:pStyle w:val="4"/>
        <w:spacing w:line="318" w:lineRule="auto"/>
      </w:pPr>
    </w:p>
    <w:p w14:paraId="3A51E3C8">
      <w:pPr>
        <w:spacing w:before="92" w:line="219" w:lineRule="auto"/>
        <w:ind w:left="985"/>
        <w:rPr>
          <w:rFonts w:ascii="宋体" w:hAnsi="宋体" w:eastAsia="宋体" w:cs="宋体"/>
          <w:sz w:val="28"/>
          <w:szCs w:val="28"/>
        </w:rPr>
      </w:pPr>
      <w:r>
        <w:rPr>
          <w:rFonts w:ascii="宋体" w:hAnsi="宋体" w:eastAsia="宋体" w:cs="宋体"/>
          <w:b/>
          <w:bCs/>
          <w:spacing w:val="-12"/>
          <w:sz w:val="28"/>
          <w:szCs w:val="28"/>
        </w:rPr>
        <w:t>供</w:t>
      </w:r>
      <w:r>
        <w:rPr>
          <w:rFonts w:ascii="宋体" w:hAnsi="宋体" w:eastAsia="宋体" w:cs="宋体"/>
          <w:spacing w:val="5"/>
          <w:sz w:val="28"/>
          <w:szCs w:val="28"/>
        </w:rPr>
        <w:t xml:space="preserve">  </w:t>
      </w:r>
      <w:r>
        <w:rPr>
          <w:rFonts w:ascii="宋体" w:hAnsi="宋体" w:eastAsia="宋体" w:cs="宋体"/>
          <w:b/>
          <w:bCs/>
          <w:spacing w:val="-12"/>
          <w:sz w:val="28"/>
          <w:szCs w:val="28"/>
        </w:rPr>
        <w:t>应</w:t>
      </w:r>
      <w:r>
        <w:rPr>
          <w:rFonts w:ascii="宋体" w:hAnsi="宋体" w:eastAsia="宋体" w:cs="宋体"/>
          <w:spacing w:val="9"/>
          <w:sz w:val="28"/>
          <w:szCs w:val="28"/>
        </w:rPr>
        <w:t xml:space="preserve">  </w:t>
      </w:r>
      <w:r>
        <w:rPr>
          <w:rFonts w:ascii="宋体" w:hAnsi="宋体" w:eastAsia="宋体" w:cs="宋体"/>
          <w:b/>
          <w:bCs/>
          <w:spacing w:val="-12"/>
          <w:sz w:val="28"/>
          <w:szCs w:val="28"/>
        </w:rPr>
        <w:t>商：</w:t>
      </w:r>
    </w:p>
    <w:p w14:paraId="6D73F87A">
      <w:pPr>
        <w:spacing w:before="291" w:line="221" w:lineRule="auto"/>
        <w:ind w:left="1001"/>
        <w:rPr>
          <w:rFonts w:ascii="宋体" w:hAnsi="宋体" w:eastAsia="宋体" w:cs="宋体"/>
          <w:sz w:val="28"/>
          <w:szCs w:val="28"/>
        </w:rPr>
      </w:pPr>
      <w:r>
        <w:rPr>
          <w:rFonts w:ascii="宋体" w:hAnsi="宋体" w:eastAsia="宋体" w:cs="宋体"/>
          <w:b/>
          <w:bCs/>
          <w:spacing w:val="-5"/>
          <w:sz w:val="28"/>
          <w:szCs w:val="28"/>
        </w:rPr>
        <w:t>签署日期：</w:t>
      </w:r>
    </w:p>
    <w:p w14:paraId="06A59B1C">
      <w:pPr>
        <w:spacing w:line="221" w:lineRule="auto"/>
        <w:rPr>
          <w:rFonts w:ascii="宋体" w:hAnsi="宋体" w:eastAsia="宋体" w:cs="宋体"/>
          <w:sz w:val="28"/>
          <w:szCs w:val="28"/>
        </w:rPr>
        <w:sectPr>
          <w:footerReference r:id="rId11" w:type="default"/>
          <w:pgSz w:w="11906" w:h="16839"/>
          <w:pgMar w:top="1431" w:right="1785" w:bottom="1152" w:left="1785" w:header="0" w:footer="987" w:gutter="0"/>
          <w:pgNumType w:fmt="decimal"/>
          <w:cols w:space="720" w:num="1"/>
        </w:sectPr>
      </w:pPr>
    </w:p>
    <w:p w14:paraId="029C6014">
      <w:pPr>
        <w:spacing w:line="360" w:lineRule="auto"/>
        <w:jc w:val="center"/>
        <w:rPr>
          <w:rFonts w:ascii="宋体" w:hAnsi="宋体" w:eastAsia="宋体"/>
          <w:b/>
          <w:bCs/>
          <w:sz w:val="44"/>
          <w:szCs w:val="44"/>
        </w:rPr>
      </w:pPr>
      <w:r>
        <w:rPr>
          <w:rFonts w:ascii="宋体" w:hAnsi="宋体" w:eastAsia="宋体"/>
          <w:b/>
          <w:bCs/>
          <w:sz w:val="44"/>
          <w:szCs w:val="44"/>
        </w:rPr>
        <w:t>电子设备采购合同</w:t>
      </w:r>
    </w:p>
    <w:p w14:paraId="02B4C800">
      <w:pPr>
        <w:spacing w:line="360" w:lineRule="auto"/>
        <w:jc w:val="both"/>
      </w:pPr>
      <w:r>
        <w:rPr>
          <w:rFonts w:ascii="宋体" w:hAnsi="宋体" w:eastAsia="宋体"/>
        </w:rPr>
        <w:t>采购方(以下简称“甲方”)：________</w:t>
      </w:r>
    </w:p>
    <w:p w14:paraId="027B533C">
      <w:pPr>
        <w:spacing w:line="360" w:lineRule="auto"/>
        <w:jc w:val="both"/>
      </w:pPr>
      <w:r>
        <w:rPr>
          <w:rFonts w:ascii="宋体" w:hAnsi="宋体" w:eastAsia="宋体"/>
        </w:rPr>
        <w:t>地址：________________</w:t>
      </w:r>
    </w:p>
    <w:p w14:paraId="0F610D3B">
      <w:pPr>
        <w:spacing w:line="360" w:lineRule="auto"/>
        <w:jc w:val="both"/>
      </w:pPr>
      <w:r>
        <w:rPr>
          <w:rFonts w:ascii="宋体" w:hAnsi="宋体" w:eastAsia="宋体"/>
        </w:rPr>
        <w:t>电话：________________</w:t>
      </w:r>
    </w:p>
    <w:p w14:paraId="73E27E51">
      <w:pPr>
        <w:spacing w:line="360" w:lineRule="auto"/>
        <w:jc w:val="both"/>
      </w:pPr>
      <w:r>
        <w:rPr>
          <w:rFonts w:ascii="宋体" w:hAnsi="宋体" w:eastAsia="宋体"/>
        </w:rPr>
        <w:t>供货方(以下简称“乙方”)：________</w:t>
      </w:r>
    </w:p>
    <w:p w14:paraId="3F7EEB19">
      <w:pPr>
        <w:spacing w:line="360" w:lineRule="auto"/>
        <w:jc w:val="both"/>
      </w:pPr>
      <w:r>
        <w:rPr>
          <w:rFonts w:ascii="宋体" w:hAnsi="宋体" w:eastAsia="宋体"/>
        </w:rPr>
        <w:t>地址：________________</w:t>
      </w:r>
    </w:p>
    <w:p w14:paraId="5EA340B7">
      <w:pPr>
        <w:spacing w:line="360" w:lineRule="auto"/>
        <w:jc w:val="both"/>
      </w:pPr>
      <w:r>
        <w:rPr>
          <w:rFonts w:ascii="宋体" w:hAnsi="宋体" w:eastAsia="宋体"/>
        </w:rPr>
        <w:t>电话：________________</w:t>
      </w:r>
    </w:p>
    <w:p w14:paraId="6E82DC63">
      <w:pPr>
        <w:spacing w:line="360" w:lineRule="auto"/>
        <w:jc w:val="both"/>
      </w:pPr>
      <w:r>
        <w:rPr>
          <w:rFonts w:ascii="宋体" w:hAnsi="宋体" w:eastAsia="宋体"/>
        </w:rPr>
        <w:t>根据《中华人民共和国民法典》的要求，本着平等互利的原则，经双方协商同意签订本合同。</w:t>
      </w:r>
    </w:p>
    <w:p w14:paraId="66623958">
      <w:pPr>
        <w:spacing w:line="360" w:lineRule="auto"/>
        <w:jc w:val="both"/>
      </w:pPr>
      <w:r>
        <w:rPr>
          <w:rFonts w:ascii="宋体" w:hAnsi="宋体" w:eastAsia="宋体"/>
        </w:rPr>
        <w:t>一、合同标的</w:t>
      </w:r>
    </w:p>
    <w:p w14:paraId="57079F15">
      <w:pPr>
        <w:spacing w:line="360" w:lineRule="auto"/>
        <w:jc w:val="both"/>
      </w:pPr>
      <w:r>
        <w:rPr>
          <w:rFonts w:ascii="宋体" w:hAnsi="宋体" w:eastAsia="宋体"/>
        </w:rPr>
        <w:t>1、商品名称：________________</w:t>
      </w:r>
    </w:p>
    <w:p w14:paraId="402AEBAE">
      <w:pPr>
        <w:spacing w:line="360" w:lineRule="auto"/>
        <w:jc w:val="both"/>
      </w:pPr>
      <w:r>
        <w:rPr>
          <w:rFonts w:ascii="宋体" w:hAnsi="宋体" w:eastAsia="宋体"/>
        </w:rPr>
        <w:t>2、单价：________________</w:t>
      </w:r>
    </w:p>
    <w:p w14:paraId="2DA20172">
      <w:pPr>
        <w:spacing w:line="360" w:lineRule="auto"/>
        <w:jc w:val="both"/>
      </w:pPr>
      <w:r>
        <w:rPr>
          <w:rFonts w:ascii="宋体" w:hAnsi="宋体" w:eastAsia="宋体"/>
        </w:rPr>
        <w:t>3、商品数量：________________</w:t>
      </w:r>
    </w:p>
    <w:p w14:paraId="41033C66">
      <w:pPr>
        <w:spacing w:line="360" w:lineRule="auto"/>
        <w:jc w:val="both"/>
      </w:pPr>
      <w:r>
        <w:rPr>
          <w:rFonts w:ascii="宋体" w:hAnsi="宋体" w:eastAsia="宋体"/>
        </w:rPr>
        <w:t>4、总金额：________________</w:t>
      </w:r>
    </w:p>
    <w:p w14:paraId="5A04DCBC">
      <w:pPr>
        <w:spacing w:line="360" w:lineRule="auto"/>
        <w:jc w:val="both"/>
      </w:pPr>
      <w:r>
        <w:rPr>
          <w:rFonts w:ascii="宋体" w:hAnsi="宋体" w:eastAsia="宋体"/>
        </w:rPr>
        <w:t>二、货品质量要求及乙方对质量负责的条件和期限</w:t>
      </w:r>
    </w:p>
    <w:p w14:paraId="4F3DE406">
      <w:pPr>
        <w:spacing w:line="360" w:lineRule="auto"/>
        <w:jc w:val="both"/>
      </w:pPr>
      <w:r>
        <w:rPr>
          <w:rFonts w:ascii="宋体" w:hAnsi="宋体" w:eastAsia="宋体"/>
        </w:rPr>
        <w:t>1、乙方提供的货品必须符合中华人民共和国国家安全环保标准以及该产品的出厂标准。</w:t>
      </w:r>
    </w:p>
    <w:p w14:paraId="05B71586">
      <w:pPr>
        <w:spacing w:line="360" w:lineRule="auto"/>
        <w:jc w:val="both"/>
      </w:pPr>
      <w:r>
        <w:rPr>
          <w:rFonts w:ascii="宋体" w:hAnsi="宋体" w:eastAsia="宋体"/>
        </w:rPr>
        <w:t>2、乙方提供的货品必须是全新的机器(含零部件、配件、随机工具等)。</w:t>
      </w:r>
    </w:p>
    <w:p w14:paraId="61539137">
      <w:pPr>
        <w:spacing w:line="360" w:lineRule="auto"/>
        <w:jc w:val="both"/>
      </w:pPr>
      <w:r>
        <w:rPr>
          <w:rFonts w:ascii="宋体" w:hAnsi="宋体" w:eastAsia="宋体"/>
        </w:rPr>
        <w:t>3、乙方对所供设备提供_______年的保修。在保修期内，如货品非因甲方的人为原因而出现的质量或故障问题由乙方负责包修、包换或包退，并承担修理、调换或退货的所有费用。乙方不能修理或不能调换，均按违反售后服务承诺处理。</w:t>
      </w:r>
    </w:p>
    <w:p w14:paraId="7B49BE6A">
      <w:pPr>
        <w:spacing w:line="360" w:lineRule="auto"/>
        <w:jc w:val="both"/>
      </w:pPr>
      <w:r>
        <w:rPr>
          <w:rFonts w:ascii="宋体" w:hAnsi="宋体" w:eastAsia="宋体"/>
        </w:rPr>
        <w:t>三、交货及验收</w:t>
      </w:r>
    </w:p>
    <w:p w14:paraId="61860C92">
      <w:pPr>
        <w:spacing w:line="360" w:lineRule="auto"/>
        <w:jc w:val="both"/>
      </w:pPr>
      <w:r>
        <w:rPr>
          <w:rFonts w:ascii="宋体" w:hAnsi="宋体" w:eastAsia="宋体"/>
        </w:rPr>
        <w:t>1、交付使用时间：________年_______月_______日前。</w:t>
      </w:r>
    </w:p>
    <w:p w14:paraId="3F5FF61E">
      <w:pPr>
        <w:spacing w:line="360" w:lineRule="auto"/>
        <w:jc w:val="both"/>
      </w:pPr>
      <w:r>
        <w:rPr>
          <w:rFonts w:ascii="宋体" w:hAnsi="宋体" w:eastAsia="宋体"/>
        </w:rPr>
        <w:t>2、乙方应将所供货品的产品使用说明书、有关资料及配件、随机工具等交付给甲方。</w:t>
      </w:r>
    </w:p>
    <w:p w14:paraId="668FF63F">
      <w:pPr>
        <w:spacing w:line="360" w:lineRule="auto"/>
        <w:jc w:val="both"/>
      </w:pPr>
      <w:r>
        <w:rPr>
          <w:rFonts w:ascii="宋体" w:hAnsi="宋体" w:eastAsia="宋体"/>
        </w:rPr>
        <w:t>3、交货地点：________________________。</w:t>
      </w:r>
    </w:p>
    <w:p w14:paraId="57A22C77">
      <w:pPr>
        <w:spacing w:line="360" w:lineRule="auto"/>
        <w:jc w:val="both"/>
      </w:pPr>
      <w:r>
        <w:rPr>
          <w:rFonts w:ascii="宋体" w:hAnsi="宋体" w:eastAsia="宋体"/>
        </w:rPr>
        <w:t>4、货物的验收：________________设备现场安装过程，如发生与供货合同条款不符的设备，用户提出异议，供货商应无条件更换。</w:t>
      </w:r>
    </w:p>
    <w:p w14:paraId="73414BAF">
      <w:pPr>
        <w:spacing w:line="360" w:lineRule="auto"/>
        <w:jc w:val="both"/>
      </w:pPr>
      <w:r>
        <w:rPr>
          <w:rFonts w:ascii="宋体" w:hAnsi="宋体" w:eastAsia="宋体"/>
        </w:rPr>
        <w:t>四、付款方式</w:t>
      </w:r>
    </w:p>
    <w:p w14:paraId="52F6808A">
      <w:pPr>
        <w:spacing w:line="360" w:lineRule="auto"/>
        <w:jc w:val="both"/>
        <w:rPr>
          <w:rFonts w:hint="eastAsia" w:ascii="宋体" w:hAnsi="宋体" w:eastAsia="宋体"/>
          <w:lang w:val="en-US" w:eastAsia="zh-CN"/>
        </w:rPr>
      </w:pPr>
      <w:r>
        <w:rPr>
          <w:rFonts w:hint="eastAsia" w:ascii="宋体" w:hAnsi="宋体" w:eastAsia="宋体"/>
          <w:lang w:val="en-US" w:eastAsia="zh-CN"/>
        </w:rPr>
        <w:t>乙方完成甲方要求的各项软硬件设备后后，经甲方验收通过后一次性付款。</w:t>
      </w:r>
    </w:p>
    <w:p w14:paraId="6ED74104">
      <w:pPr>
        <w:spacing w:line="360" w:lineRule="auto"/>
        <w:jc w:val="both"/>
      </w:pPr>
      <w:r>
        <w:rPr>
          <w:rFonts w:ascii="宋体" w:hAnsi="宋体" w:eastAsia="宋体"/>
        </w:rPr>
        <w:t>五、违约责任</w:t>
      </w:r>
    </w:p>
    <w:p w14:paraId="5AD03B00">
      <w:pPr>
        <w:spacing w:line="360" w:lineRule="auto"/>
        <w:jc w:val="both"/>
      </w:pPr>
      <w:r>
        <w:rPr>
          <w:rFonts w:ascii="宋体" w:hAnsi="宋体" w:eastAsia="宋体"/>
        </w:rPr>
        <w:t>1、甲方无正当理由拒收货物，甲方向乙方偿付货款总值的_______%的违约金。</w:t>
      </w:r>
    </w:p>
    <w:p w14:paraId="42AAE90E">
      <w:pPr>
        <w:spacing w:line="360" w:lineRule="auto"/>
        <w:jc w:val="both"/>
      </w:pPr>
      <w:r>
        <w:rPr>
          <w:rFonts w:ascii="宋体" w:hAnsi="宋体" w:eastAsia="宋体"/>
        </w:rPr>
        <w:t>2、甲方逾期支付设备款的，每逾期_______天，甲方向乙方偿付欠款总额的_______‰的滞纳金，累计滞纳金总额不超过欠款总额的_______%(因乙方原因造成甲方逾期支付的，由乙方承担违约责任)。</w:t>
      </w:r>
    </w:p>
    <w:p w14:paraId="1834035B">
      <w:pPr>
        <w:spacing w:line="360" w:lineRule="auto"/>
        <w:jc w:val="both"/>
      </w:pPr>
      <w:r>
        <w:rPr>
          <w:rFonts w:ascii="宋体" w:hAnsi="宋体" w:eastAsia="宋体"/>
        </w:rPr>
        <w:t>3、乙方所交的设备品种、型号、规格不符合合同规定的，甲方有权拒收设备，乙方应向甲方支付货款总额_______%的违约金。</w:t>
      </w:r>
    </w:p>
    <w:p w14:paraId="2B89F9D0">
      <w:pPr>
        <w:spacing w:line="360" w:lineRule="auto"/>
        <w:jc w:val="both"/>
      </w:pPr>
      <w:r>
        <w:rPr>
          <w:rFonts w:ascii="宋体" w:hAnsi="宋体" w:eastAsia="宋体"/>
        </w:rPr>
        <w:t>4、乙方逾期交货的，每逾期_______天，乙方向甲方偿付逾期交货部分货款总额_______‰的滞纳金，累计滞纳金额不超过逾期交货部分货款总额的_______%(逾期交货超过_______天，甲方有权终止合同)。</w:t>
      </w:r>
    </w:p>
    <w:p w14:paraId="4CD021F5">
      <w:pPr>
        <w:spacing w:line="360" w:lineRule="auto"/>
        <w:jc w:val="both"/>
      </w:pPr>
      <w:r>
        <w:rPr>
          <w:rFonts w:ascii="宋体" w:hAnsi="宋体" w:eastAsia="宋体"/>
        </w:rPr>
        <w:t>5、乙方如没有按合同规定履行售后服务承诺，甲方可另行由第三方单位进行修复，其费用全部由乙方支付，并追究乙方的违约责任。</w:t>
      </w:r>
    </w:p>
    <w:p w14:paraId="4E4B6293">
      <w:pPr>
        <w:spacing w:line="360" w:lineRule="auto"/>
        <w:jc w:val="both"/>
      </w:pPr>
      <w:r>
        <w:rPr>
          <w:rFonts w:ascii="宋体" w:hAnsi="宋体" w:eastAsia="宋体"/>
        </w:rPr>
        <w:t>六、售后服务</w:t>
      </w:r>
    </w:p>
    <w:p w14:paraId="508F7C0A">
      <w:pPr>
        <w:spacing w:line="360" w:lineRule="auto"/>
        <w:jc w:val="both"/>
      </w:pPr>
      <w:r>
        <w:rPr>
          <w:rFonts w:ascii="宋体" w:hAnsi="宋体" w:eastAsia="宋体"/>
        </w:rPr>
        <w:t>1、所有设备均由乙方送货上门并安装调试。</w:t>
      </w:r>
    </w:p>
    <w:p w14:paraId="31C3EE11">
      <w:pPr>
        <w:spacing w:line="360" w:lineRule="auto"/>
        <w:jc w:val="both"/>
      </w:pPr>
      <w:r>
        <w:rPr>
          <w:rFonts w:ascii="宋体" w:hAnsi="宋体" w:eastAsia="宋体"/>
        </w:rPr>
        <w:t>2、所有设备均由乙方提供终身保修服务。从验收合格之日起_______年内，由乙方提供的设备，如发生非人为故障，乙方上门维修或更换性能指标不低于原规格型号的新部件。</w:t>
      </w:r>
    </w:p>
    <w:p w14:paraId="741F3D03">
      <w:pPr>
        <w:spacing w:line="360" w:lineRule="auto"/>
        <w:jc w:val="both"/>
      </w:pPr>
      <w:r>
        <w:rPr>
          <w:rFonts w:ascii="宋体" w:hAnsi="宋体" w:eastAsia="宋体"/>
        </w:rPr>
        <w:t>3、乙方接到报修通知后，在_______小时内派技术人员上门现场维护，并在_______小时内解决问题。如乙方不能及时到现场解决问题，甲方可委托其他单位维修，其相关费用由乙方负责。</w:t>
      </w:r>
    </w:p>
    <w:p w14:paraId="42A0BE90">
      <w:pPr>
        <w:spacing w:line="360" w:lineRule="auto"/>
        <w:jc w:val="both"/>
      </w:pPr>
      <w:r>
        <w:rPr>
          <w:rFonts w:ascii="宋体" w:hAnsi="宋体" w:eastAsia="宋体"/>
        </w:rPr>
        <w:t>七、不可抗力</w:t>
      </w:r>
    </w:p>
    <w:p w14:paraId="7BE79BD5">
      <w:pPr>
        <w:spacing w:line="360" w:lineRule="auto"/>
        <w:jc w:val="both"/>
      </w:pPr>
      <w:r>
        <w:rPr>
          <w:rFonts w:ascii="宋体" w:hAnsi="宋体" w:eastAsia="宋体"/>
        </w:rPr>
        <w:t>任何一方由于诸如战争、严重火灾、洪水、台风、地震或其他不可抗力的事件使合同执行受阻，则合同执行由双方协商后相应延长。受阻方应随时采取所有合理步骤以减少因不可抗力事件所导致合同执行的任何延迟。</w:t>
      </w:r>
    </w:p>
    <w:p w14:paraId="3A853C22">
      <w:pPr>
        <w:spacing w:line="360" w:lineRule="auto"/>
        <w:jc w:val="both"/>
      </w:pPr>
      <w:r>
        <w:rPr>
          <w:rFonts w:ascii="宋体" w:hAnsi="宋体" w:eastAsia="宋体"/>
        </w:rPr>
        <w:t>八、合同的终止和中止</w:t>
      </w:r>
    </w:p>
    <w:p w14:paraId="090FB40C">
      <w:pPr>
        <w:spacing w:line="360" w:lineRule="auto"/>
        <w:jc w:val="both"/>
      </w:pPr>
      <w:r>
        <w:rPr>
          <w:rFonts w:ascii="宋体" w:hAnsi="宋体" w:eastAsia="宋体"/>
        </w:rPr>
        <w:t>在发生合同终止情况时，任何一方均有责任将已执行中的合同部分执行完毕。</w:t>
      </w:r>
    </w:p>
    <w:p w14:paraId="24EEAFC9">
      <w:pPr>
        <w:spacing w:line="360" w:lineRule="auto"/>
        <w:jc w:val="both"/>
      </w:pPr>
      <w:r>
        <w:rPr>
          <w:rFonts w:ascii="宋体" w:hAnsi="宋体" w:eastAsia="宋体"/>
        </w:rPr>
        <w:t>九、本合同正本一式________份，甲乙双方各执________份。</w:t>
      </w:r>
    </w:p>
    <w:p w14:paraId="2311DDA7">
      <w:pPr>
        <w:spacing w:line="360" w:lineRule="auto"/>
        <w:jc w:val="both"/>
      </w:pPr>
      <w:r>
        <w:rPr>
          <w:rFonts w:ascii="宋体" w:hAnsi="宋体" w:eastAsia="宋体"/>
        </w:rPr>
        <w:t>甲方(签字)：________________</w:t>
      </w:r>
    </w:p>
    <w:p w14:paraId="6767DA1C">
      <w:pPr>
        <w:spacing w:line="360" w:lineRule="auto"/>
        <w:jc w:val="both"/>
      </w:pPr>
      <w:r>
        <w:rPr>
          <w:rFonts w:ascii="宋体" w:hAnsi="宋体" w:eastAsia="宋体"/>
        </w:rPr>
        <w:t>签订地点：________________</w:t>
      </w:r>
    </w:p>
    <w:p w14:paraId="7B97BCA7">
      <w:pPr>
        <w:spacing w:line="360" w:lineRule="auto"/>
        <w:jc w:val="both"/>
      </w:pPr>
      <w:r>
        <w:rPr>
          <w:rFonts w:ascii="宋体" w:hAnsi="宋体" w:eastAsia="宋体"/>
        </w:rPr>
        <w:t>_________年________月______日</w:t>
      </w:r>
    </w:p>
    <w:p w14:paraId="149A1EFF">
      <w:pPr>
        <w:spacing w:line="360" w:lineRule="auto"/>
        <w:jc w:val="both"/>
      </w:pPr>
      <w:r>
        <w:rPr>
          <w:rFonts w:ascii="宋体" w:hAnsi="宋体" w:eastAsia="宋体"/>
        </w:rPr>
        <w:t>乙方(签字)：________________</w:t>
      </w:r>
    </w:p>
    <w:p w14:paraId="4F45EBED">
      <w:pPr>
        <w:spacing w:line="360" w:lineRule="auto"/>
        <w:jc w:val="both"/>
      </w:pPr>
      <w:r>
        <w:rPr>
          <w:rFonts w:ascii="宋体" w:hAnsi="宋体" w:eastAsia="宋体"/>
        </w:rPr>
        <w:t>签订地点：________________</w:t>
      </w:r>
    </w:p>
    <w:p w14:paraId="0CC36ECF">
      <w:pPr>
        <w:spacing w:line="360" w:lineRule="auto"/>
        <w:jc w:val="both"/>
      </w:pPr>
      <w:r>
        <w:rPr>
          <w:rFonts w:ascii="宋体" w:hAnsi="宋体" w:eastAsia="宋体"/>
        </w:rPr>
        <w:t>_________年________月______日</w:t>
      </w:r>
    </w:p>
    <w:p w14:paraId="77B782F3">
      <w:pPr>
        <w:spacing w:line="213" w:lineRule="auto"/>
        <w:rPr>
          <w:rFonts w:ascii="宋体" w:hAnsi="宋体" w:eastAsia="宋体" w:cs="宋体"/>
          <w:sz w:val="24"/>
          <w:szCs w:val="24"/>
        </w:rPr>
        <w:sectPr>
          <w:footerReference r:id="rId12" w:type="default"/>
          <w:pgSz w:w="11906" w:h="16839"/>
          <w:pgMar w:top="1431" w:right="1785" w:bottom="1373" w:left="1785" w:header="0" w:footer="1208" w:gutter="0"/>
          <w:pgNumType w:fmt="decimal"/>
          <w:cols w:space="720" w:num="1"/>
        </w:sectPr>
      </w:pPr>
    </w:p>
    <w:p w14:paraId="1EB8C6D5">
      <w:pPr>
        <w:spacing w:before="139" w:line="224" w:lineRule="auto"/>
        <w:ind w:left="1828"/>
        <w:outlineLvl w:val="0"/>
        <w:rPr>
          <w:rFonts w:ascii="宋体" w:hAnsi="宋体" w:eastAsia="宋体" w:cs="宋体"/>
          <w:sz w:val="35"/>
          <w:szCs w:val="35"/>
        </w:rPr>
      </w:pPr>
      <w:bookmarkStart w:id="66" w:name="_Toc9784"/>
      <w:bookmarkStart w:id="67" w:name="_Toc25921"/>
      <w:r>
        <w:rPr>
          <w:rFonts w:ascii="宋体" w:hAnsi="宋体" w:eastAsia="宋体" w:cs="宋体"/>
          <w:b/>
          <w:bCs/>
          <w:spacing w:val="6"/>
          <w:sz w:val="35"/>
          <w:szCs w:val="35"/>
        </w:rPr>
        <w:t>第六部分</w:t>
      </w:r>
      <w:r>
        <w:rPr>
          <w:rFonts w:ascii="宋体" w:hAnsi="宋体" w:eastAsia="宋体" w:cs="宋体"/>
          <w:spacing w:val="6"/>
          <w:sz w:val="35"/>
          <w:szCs w:val="35"/>
        </w:rPr>
        <w:t xml:space="preserve">  </w:t>
      </w:r>
      <w:r>
        <w:rPr>
          <w:rFonts w:ascii="宋体" w:hAnsi="宋体" w:eastAsia="宋体" w:cs="宋体"/>
          <w:b/>
          <w:bCs/>
          <w:spacing w:val="6"/>
          <w:sz w:val="35"/>
          <w:szCs w:val="35"/>
        </w:rPr>
        <w:t>采购内容及</w:t>
      </w:r>
      <w:r>
        <w:rPr>
          <w:rFonts w:hint="eastAsia" w:ascii="宋体" w:hAnsi="宋体" w:eastAsia="宋体" w:cs="宋体"/>
          <w:b/>
          <w:bCs/>
          <w:spacing w:val="6"/>
          <w:sz w:val="35"/>
          <w:szCs w:val="35"/>
          <w:lang w:val="en-US" w:eastAsia="zh-CN"/>
        </w:rPr>
        <w:t>技术</w:t>
      </w:r>
      <w:r>
        <w:rPr>
          <w:rFonts w:ascii="宋体" w:hAnsi="宋体" w:eastAsia="宋体" w:cs="宋体"/>
          <w:b/>
          <w:bCs/>
          <w:spacing w:val="6"/>
          <w:sz w:val="35"/>
          <w:szCs w:val="35"/>
        </w:rPr>
        <w:t>要求</w:t>
      </w:r>
      <w:bookmarkEnd w:id="66"/>
      <w:bookmarkEnd w:id="67"/>
    </w:p>
    <w:p w14:paraId="1BC6BEA3">
      <w:pPr>
        <w:pStyle w:val="32"/>
        <w:spacing w:before="182" w:line="357" w:lineRule="auto"/>
        <w:ind w:left="25" w:right="18" w:firstLine="476"/>
        <w:jc w:val="both"/>
        <w:rPr>
          <w:rFonts w:hint="eastAsia"/>
          <w:spacing w:val="2"/>
        </w:rPr>
      </w:pPr>
      <w:r>
        <w:rPr>
          <w:rFonts w:hint="eastAsia"/>
          <w:spacing w:val="2"/>
        </w:rPr>
        <w:t>一、采购项目名称</w:t>
      </w:r>
    </w:p>
    <w:p w14:paraId="70C25994">
      <w:pPr>
        <w:pStyle w:val="32"/>
        <w:spacing w:before="182" w:line="357" w:lineRule="auto"/>
        <w:ind w:left="25" w:right="18" w:firstLine="476"/>
        <w:jc w:val="both"/>
        <w:rPr>
          <w:rFonts w:hint="eastAsia"/>
          <w:spacing w:val="2"/>
          <w:lang w:eastAsia="zh-CN"/>
        </w:rPr>
      </w:pPr>
      <w:r>
        <w:rPr>
          <w:rFonts w:hint="eastAsia"/>
          <w:spacing w:val="2"/>
          <w:lang w:eastAsia="zh-CN"/>
        </w:rPr>
        <w:t>绥德县第二净水厂化验设备采购</w:t>
      </w:r>
    </w:p>
    <w:p w14:paraId="698FFE3A">
      <w:pPr>
        <w:pStyle w:val="32"/>
        <w:spacing w:before="182" w:line="357" w:lineRule="auto"/>
        <w:ind w:left="25" w:right="18" w:firstLine="476"/>
        <w:jc w:val="both"/>
        <w:rPr>
          <w:rFonts w:hint="eastAsia"/>
          <w:spacing w:val="2"/>
        </w:rPr>
      </w:pPr>
      <w:r>
        <w:rPr>
          <w:rFonts w:hint="eastAsia"/>
          <w:spacing w:val="2"/>
        </w:rPr>
        <w:t>二、采购项目预算资金构成和采购方式</w:t>
      </w:r>
    </w:p>
    <w:p w14:paraId="0EF38F59">
      <w:pPr>
        <w:pStyle w:val="32"/>
        <w:spacing w:before="182" w:line="357" w:lineRule="auto"/>
        <w:ind w:left="25" w:right="18" w:firstLine="476"/>
        <w:jc w:val="both"/>
        <w:rPr>
          <w:rFonts w:hint="eastAsia"/>
          <w:spacing w:val="2"/>
        </w:rPr>
      </w:pPr>
      <w:r>
        <w:rPr>
          <w:rFonts w:hint="eastAsia"/>
          <w:spacing w:val="2"/>
        </w:rPr>
        <w:t>1、采购项目预算:</w:t>
      </w:r>
      <w:r>
        <w:rPr>
          <w:rFonts w:hint="eastAsia"/>
          <w:spacing w:val="2"/>
          <w:lang w:val="en-US" w:eastAsia="zh-CN"/>
        </w:rPr>
        <w:t>63.4690</w:t>
      </w:r>
      <w:r>
        <w:rPr>
          <w:rFonts w:hint="eastAsia"/>
          <w:spacing w:val="2"/>
        </w:rPr>
        <w:t>万元。</w:t>
      </w:r>
    </w:p>
    <w:p w14:paraId="16581A6A">
      <w:pPr>
        <w:pStyle w:val="32"/>
        <w:spacing w:before="182" w:line="357" w:lineRule="auto"/>
        <w:ind w:left="25" w:right="18" w:firstLine="476"/>
        <w:jc w:val="both"/>
        <w:rPr>
          <w:rFonts w:hint="eastAsia"/>
          <w:spacing w:val="2"/>
        </w:rPr>
      </w:pPr>
      <w:r>
        <w:rPr>
          <w:rFonts w:hint="eastAsia"/>
          <w:spacing w:val="2"/>
        </w:rPr>
        <w:t>2、资金来源:</w:t>
      </w:r>
      <w:r>
        <w:rPr>
          <w:rFonts w:hint="eastAsia"/>
          <w:spacing w:val="2"/>
          <w:lang w:val="en-US" w:eastAsia="zh-CN"/>
        </w:rPr>
        <w:t>财政资金</w:t>
      </w:r>
      <w:r>
        <w:rPr>
          <w:rFonts w:hint="eastAsia"/>
          <w:spacing w:val="2"/>
        </w:rPr>
        <w:t>。</w:t>
      </w:r>
    </w:p>
    <w:p w14:paraId="175964A8">
      <w:pPr>
        <w:pStyle w:val="32"/>
        <w:spacing w:before="182" w:line="357" w:lineRule="auto"/>
        <w:ind w:left="25" w:right="18" w:firstLine="476"/>
        <w:jc w:val="both"/>
        <w:rPr>
          <w:rFonts w:hint="eastAsia"/>
          <w:spacing w:val="2"/>
        </w:rPr>
      </w:pPr>
      <w:r>
        <w:rPr>
          <w:rFonts w:hint="eastAsia"/>
          <w:spacing w:val="2"/>
        </w:rPr>
        <w:t>3、采购方式:竞争性谈判。</w:t>
      </w:r>
    </w:p>
    <w:p w14:paraId="0B14634E">
      <w:pPr>
        <w:pStyle w:val="32"/>
        <w:spacing w:before="182" w:line="357" w:lineRule="auto"/>
        <w:ind w:left="25" w:right="18" w:firstLine="476"/>
        <w:jc w:val="both"/>
        <w:rPr>
          <w:rFonts w:hint="eastAsia"/>
          <w:spacing w:val="2"/>
        </w:rPr>
      </w:pPr>
      <w:r>
        <w:rPr>
          <w:rFonts w:hint="eastAsia"/>
          <w:spacing w:val="2"/>
        </w:rPr>
        <w:t>三、具体采购需求</w:t>
      </w:r>
    </w:p>
    <w:p w14:paraId="4C011FAF">
      <w:pPr>
        <w:pStyle w:val="32"/>
        <w:spacing w:before="182" w:line="357" w:lineRule="auto"/>
        <w:ind w:left="25" w:right="18" w:firstLine="476"/>
        <w:jc w:val="both"/>
        <w:rPr>
          <w:rFonts w:hint="eastAsia"/>
          <w:spacing w:val="2"/>
        </w:rPr>
      </w:pPr>
      <w:r>
        <w:rPr>
          <w:rFonts w:hint="eastAsia"/>
          <w:spacing w:val="2"/>
        </w:rPr>
        <w:t>1、采购内容:</w:t>
      </w:r>
      <w:r>
        <w:rPr>
          <w:rFonts w:hint="eastAsia"/>
          <w:spacing w:val="2"/>
          <w:lang w:eastAsia="zh-CN"/>
        </w:rPr>
        <w:t>绥德县第二净水厂化验设备采购</w:t>
      </w:r>
      <w:r>
        <w:rPr>
          <w:rFonts w:hint="eastAsia"/>
          <w:spacing w:val="2"/>
        </w:rPr>
        <w:t>。</w:t>
      </w:r>
    </w:p>
    <w:p w14:paraId="14CF3317">
      <w:pPr>
        <w:pStyle w:val="32"/>
        <w:spacing w:before="182" w:line="357" w:lineRule="auto"/>
        <w:ind w:left="25" w:right="18" w:firstLine="476"/>
        <w:jc w:val="both"/>
        <w:rPr>
          <w:rFonts w:hint="eastAsia"/>
          <w:spacing w:val="2"/>
          <w:lang w:eastAsia="zh-CN"/>
        </w:rPr>
      </w:pPr>
      <w:r>
        <w:rPr>
          <w:rFonts w:hint="eastAsia"/>
          <w:spacing w:val="2"/>
        </w:rPr>
        <w:t>2、工程质量标准等服务要求:产品符合相关法律法规和相关技术规范标准等</w:t>
      </w:r>
      <w:r>
        <w:rPr>
          <w:rFonts w:hint="eastAsia"/>
          <w:spacing w:val="2"/>
          <w:lang w:eastAsia="zh-CN"/>
        </w:rPr>
        <w:t>。</w:t>
      </w:r>
    </w:p>
    <w:p w14:paraId="18927377">
      <w:pPr>
        <w:pStyle w:val="32"/>
        <w:spacing w:before="182" w:line="357" w:lineRule="auto"/>
        <w:ind w:left="25" w:right="18" w:firstLine="476"/>
        <w:jc w:val="both"/>
        <w:rPr>
          <w:rFonts w:hint="eastAsia" w:eastAsia="宋体"/>
          <w:spacing w:val="2"/>
          <w:lang w:eastAsia="zh-CN"/>
        </w:rPr>
      </w:pPr>
      <w:r>
        <w:rPr>
          <w:rFonts w:hint="eastAsia"/>
          <w:spacing w:val="2"/>
        </w:rPr>
        <w:t>3、项目验收方式:交付验收</w:t>
      </w:r>
      <w:r>
        <w:rPr>
          <w:rFonts w:hint="eastAsia"/>
          <w:spacing w:val="2"/>
          <w:lang w:eastAsia="zh-CN"/>
        </w:rPr>
        <w:t>。</w:t>
      </w:r>
    </w:p>
    <w:p w14:paraId="658CC2FE">
      <w:pPr>
        <w:pStyle w:val="32"/>
        <w:spacing w:before="182" w:line="357" w:lineRule="auto"/>
        <w:ind w:left="25" w:right="18" w:firstLine="476"/>
        <w:jc w:val="both"/>
        <w:rPr>
          <w:rFonts w:hint="eastAsia" w:eastAsia="宋体"/>
          <w:spacing w:val="2"/>
          <w:lang w:eastAsia="zh-CN"/>
        </w:rPr>
      </w:pPr>
      <w:r>
        <w:rPr>
          <w:rFonts w:hint="eastAsia"/>
          <w:spacing w:val="2"/>
        </w:rPr>
        <w:t>4、资金结算方式:非现金结算</w:t>
      </w:r>
      <w:r>
        <w:rPr>
          <w:rFonts w:hint="eastAsia"/>
          <w:spacing w:val="2"/>
          <w:lang w:eastAsia="zh-CN"/>
        </w:rPr>
        <w:t>。</w:t>
      </w:r>
    </w:p>
    <w:p w14:paraId="6CD19807">
      <w:pPr>
        <w:pStyle w:val="32"/>
        <w:spacing w:before="182" w:line="357" w:lineRule="auto"/>
        <w:ind w:left="25" w:right="18" w:firstLine="476"/>
        <w:jc w:val="both"/>
        <w:rPr>
          <w:rFonts w:hint="eastAsia" w:eastAsia="宋体"/>
          <w:spacing w:val="2"/>
          <w:lang w:eastAsia="zh-CN"/>
        </w:rPr>
      </w:pPr>
      <w:r>
        <w:rPr>
          <w:rFonts w:hint="eastAsia"/>
          <w:spacing w:val="2"/>
        </w:rPr>
        <w:t>5、项目</w:t>
      </w:r>
      <w:r>
        <w:rPr>
          <w:rFonts w:hint="eastAsia"/>
          <w:spacing w:val="2"/>
          <w:lang w:val="en-US" w:eastAsia="zh-CN"/>
        </w:rPr>
        <w:t>供货期</w:t>
      </w:r>
      <w:r>
        <w:rPr>
          <w:rFonts w:hint="eastAsia"/>
          <w:spacing w:val="2"/>
        </w:rPr>
        <w:t>:</w:t>
      </w:r>
      <w:r>
        <w:rPr>
          <w:rFonts w:hint="eastAsia"/>
          <w:spacing w:val="2"/>
          <w:lang w:val="en-US" w:eastAsia="zh-CN"/>
        </w:rPr>
        <w:t>十五天</w:t>
      </w:r>
      <w:r>
        <w:rPr>
          <w:rFonts w:hint="eastAsia"/>
          <w:spacing w:val="2"/>
          <w:lang w:eastAsia="zh-CN"/>
        </w:rPr>
        <w:t>。</w:t>
      </w:r>
    </w:p>
    <w:p w14:paraId="49561580">
      <w:pPr>
        <w:pStyle w:val="32"/>
        <w:spacing w:before="182" w:line="357" w:lineRule="auto"/>
        <w:ind w:left="25" w:right="18" w:firstLine="476"/>
        <w:jc w:val="both"/>
        <w:rPr>
          <w:rFonts w:hint="eastAsia"/>
          <w:spacing w:val="2"/>
        </w:rPr>
      </w:pPr>
      <w:r>
        <w:rPr>
          <w:rFonts w:hint="eastAsia"/>
          <w:spacing w:val="2"/>
        </w:rPr>
        <w:t>四、履约验收标准和方法</w:t>
      </w:r>
    </w:p>
    <w:p w14:paraId="253FD05E">
      <w:pPr>
        <w:pStyle w:val="32"/>
        <w:spacing w:before="182" w:line="357" w:lineRule="auto"/>
        <w:ind w:left="25" w:right="18" w:firstLine="476"/>
        <w:jc w:val="both"/>
        <w:rPr>
          <w:rFonts w:hint="eastAsia" w:eastAsia="宋体"/>
          <w:spacing w:val="2"/>
          <w:lang w:eastAsia="zh-CN"/>
        </w:rPr>
      </w:pPr>
      <w:r>
        <w:rPr>
          <w:rFonts w:hint="eastAsia"/>
          <w:spacing w:val="2"/>
        </w:rPr>
        <w:t>1、履约验收时间:货物交付时</w:t>
      </w:r>
      <w:r>
        <w:rPr>
          <w:rFonts w:hint="eastAsia"/>
          <w:spacing w:val="2"/>
          <w:lang w:eastAsia="zh-CN"/>
        </w:rPr>
        <w:t>。</w:t>
      </w:r>
    </w:p>
    <w:p w14:paraId="356B414C">
      <w:pPr>
        <w:pStyle w:val="32"/>
        <w:spacing w:before="182" w:line="357" w:lineRule="auto"/>
        <w:ind w:left="25" w:right="18" w:firstLine="476"/>
        <w:jc w:val="both"/>
        <w:rPr>
          <w:rFonts w:hint="eastAsia"/>
          <w:spacing w:val="2"/>
        </w:rPr>
      </w:pPr>
      <w:r>
        <w:rPr>
          <w:rFonts w:hint="eastAsia"/>
          <w:spacing w:val="2"/>
        </w:rPr>
        <w:t>2、履约验收主体:</w:t>
      </w:r>
      <w:r>
        <w:rPr>
          <w:rFonts w:hint="eastAsia"/>
          <w:spacing w:val="2"/>
          <w:lang w:eastAsia="zh-CN"/>
        </w:rPr>
        <w:t>榆林市绥德县城市管理执法局</w:t>
      </w:r>
      <w:r>
        <w:rPr>
          <w:rFonts w:hint="eastAsia"/>
          <w:spacing w:val="2"/>
        </w:rPr>
        <w:t>。</w:t>
      </w:r>
    </w:p>
    <w:p w14:paraId="344CBF82">
      <w:pPr>
        <w:pStyle w:val="32"/>
        <w:spacing w:before="182" w:line="357" w:lineRule="auto"/>
        <w:ind w:left="25" w:right="18" w:firstLine="476"/>
        <w:jc w:val="both"/>
        <w:rPr>
          <w:rFonts w:hint="eastAsia" w:eastAsia="宋体"/>
          <w:spacing w:val="2"/>
          <w:lang w:eastAsia="zh-CN"/>
        </w:rPr>
      </w:pPr>
      <w:r>
        <w:rPr>
          <w:rFonts w:hint="eastAsia"/>
          <w:spacing w:val="2"/>
        </w:rPr>
        <w:t>3、验收程序:</w:t>
      </w:r>
      <w:r>
        <w:rPr>
          <w:rFonts w:hint="eastAsia"/>
          <w:spacing w:val="2"/>
          <w:lang w:eastAsia="zh-CN"/>
        </w:rPr>
        <w:t>绥德县第二净水厂化验设备采购</w:t>
      </w:r>
      <w:r>
        <w:rPr>
          <w:rFonts w:hint="eastAsia"/>
          <w:spacing w:val="2"/>
        </w:rPr>
        <w:t>组织相关技术人员验收</w:t>
      </w:r>
      <w:r>
        <w:rPr>
          <w:rFonts w:hint="eastAsia"/>
          <w:spacing w:val="2"/>
          <w:lang w:eastAsia="zh-CN"/>
        </w:rPr>
        <w:t>。</w:t>
      </w:r>
    </w:p>
    <w:p w14:paraId="1CB33781">
      <w:pPr>
        <w:pStyle w:val="32"/>
        <w:spacing w:before="182" w:line="357" w:lineRule="auto"/>
        <w:ind w:left="25" w:right="18" w:firstLine="476"/>
        <w:jc w:val="both"/>
        <w:rPr>
          <w:rFonts w:hint="eastAsia" w:eastAsia="宋体"/>
          <w:spacing w:val="2"/>
          <w:lang w:eastAsia="zh-CN"/>
        </w:rPr>
      </w:pPr>
      <w:r>
        <w:rPr>
          <w:rFonts w:hint="eastAsia"/>
          <w:spacing w:val="2"/>
        </w:rPr>
        <w:t>4、验收方式:一次性验收</w:t>
      </w:r>
      <w:r>
        <w:rPr>
          <w:rFonts w:hint="eastAsia"/>
          <w:spacing w:val="2"/>
          <w:lang w:eastAsia="zh-CN"/>
        </w:rPr>
        <w:t>。</w:t>
      </w:r>
    </w:p>
    <w:p w14:paraId="15127755">
      <w:pPr>
        <w:pStyle w:val="32"/>
        <w:spacing w:before="182" w:line="357" w:lineRule="auto"/>
        <w:ind w:left="25" w:right="18" w:firstLine="476"/>
        <w:jc w:val="both"/>
        <w:rPr>
          <w:rFonts w:hint="eastAsia"/>
          <w:spacing w:val="2"/>
        </w:rPr>
      </w:pPr>
      <w:r>
        <w:rPr>
          <w:rFonts w:hint="eastAsia"/>
          <w:spacing w:val="2"/>
        </w:rPr>
        <w:t>五、付款方式</w:t>
      </w:r>
    </w:p>
    <w:p w14:paraId="5927969C">
      <w:pPr>
        <w:pStyle w:val="32"/>
        <w:spacing w:before="182" w:line="357" w:lineRule="auto"/>
        <w:ind w:left="25" w:right="18" w:firstLine="795" w:firstLineChars="326"/>
        <w:jc w:val="both"/>
        <w:rPr>
          <w:rFonts w:hint="eastAsia" w:ascii="楷体" w:hAnsi="楷体" w:eastAsia="楷体" w:cs="楷体"/>
          <w:i w:val="0"/>
          <w:iCs w:val="0"/>
          <w:snapToGrid w:val="0"/>
          <w:color w:val="000000"/>
          <w:kern w:val="0"/>
          <w:sz w:val="22"/>
          <w:szCs w:val="22"/>
          <w:u w:val="none"/>
          <w:lang w:val="en-US" w:eastAsia="zh-CN" w:bidi="ar"/>
        </w:rPr>
      </w:pPr>
      <w:bookmarkStart w:id="68" w:name="bookmark9"/>
      <w:bookmarkEnd w:id="68"/>
      <w:bookmarkStart w:id="69" w:name="_Toc11085"/>
      <w:r>
        <w:rPr>
          <w:rFonts w:hint="eastAsia"/>
          <w:spacing w:val="2"/>
          <w:lang w:val="en-US" w:eastAsia="zh-CN"/>
        </w:rPr>
        <w:t>安装完成调试合格后一次性付清</w:t>
      </w:r>
      <w:r>
        <w:rPr>
          <w:rFonts w:hint="eastAsia" w:ascii="楷体" w:hAnsi="楷体" w:eastAsia="楷体" w:cs="楷体"/>
          <w:i w:val="0"/>
          <w:iCs w:val="0"/>
          <w:snapToGrid w:val="0"/>
          <w:color w:val="000000"/>
          <w:kern w:val="0"/>
          <w:sz w:val="22"/>
          <w:szCs w:val="22"/>
          <w:u w:val="none"/>
          <w:lang w:val="en-US" w:eastAsia="zh-CN" w:bidi="ar"/>
        </w:rPr>
        <w:br w:type="page"/>
      </w:r>
    </w:p>
    <w:tbl>
      <w:tblPr>
        <w:tblStyle w:val="16"/>
        <w:tblW w:w="95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6"/>
        <w:gridCol w:w="1641"/>
        <w:gridCol w:w="5224"/>
        <w:gridCol w:w="882"/>
        <w:gridCol w:w="947"/>
      </w:tblGrid>
      <w:tr w14:paraId="61E83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 w:hRule="atLeast"/>
        </w:trPr>
        <w:tc>
          <w:tcPr>
            <w:tcW w:w="9540" w:type="dxa"/>
            <w:gridSpan w:val="5"/>
            <w:tcBorders>
              <w:top w:val="nil"/>
              <w:left w:val="nil"/>
              <w:bottom w:val="nil"/>
              <w:right w:val="nil"/>
            </w:tcBorders>
            <w:shd w:val="clear" w:color="auto" w:fill="auto"/>
            <w:noWrap/>
            <w:vAlign w:val="center"/>
          </w:tcPr>
          <w:p w14:paraId="78FD8C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（一）理化、微生物专业精密检测仪器</w:t>
            </w:r>
          </w:p>
        </w:tc>
      </w:tr>
      <w:tr w14:paraId="7C373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EC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E4B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名称</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63E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技术参数</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22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单位</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72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数量</w:t>
            </w:r>
          </w:p>
        </w:tc>
      </w:tr>
      <w:tr w14:paraId="7F5C0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7"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E56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788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紫外可见分光光度计</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334C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波长范围190-1100nm；光谱带宽≤2nm；波长精度±0.5nm；透射比精度±0.3%T；氘灯、钨灯双光源；自动波长扫描；RS232/USB接口；含比色皿4只、配套软件</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24F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EBD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4594A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B4C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1A2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CODmn测定仪</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B794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测量范围0-10mg/L；示值误差±5%；消解模块温度100℃±1℃；自动定时；含专用反应瓶、滴定装置</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F8D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861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1EEE0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4"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0BD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A90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便携式溶解氧测定仪</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CF88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测量范围0-20mg/L；分辨率0.01mg/L；精度±0.1mg/L；极谱法传感器；自动温度补偿0-50℃；防水IP67；含保护套、校准液</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938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3E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2973B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4"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B88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15E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配套pH电极</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0F7E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测量范围0-14pH；分辨率0.01pH；精度±0.01pH；复合玻璃电极；温度补偿0-60℃；BNC接口；含保护液、校准缓冲液</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5C4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支</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57D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1EB02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15E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1B7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三目显微镜</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5CC5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观察头：铰链式双目，30°倾斜，360°旋转；瞳距调节： 55-75 mm；总放大倍数：40×–1600×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03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C1D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40E93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F05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B19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配套ORP电极</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F20F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测量范围±1999mV；分辨率1mV；精度±1mV；铂金电极；响应时间≤30s；BNC接口；含保护液</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19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支</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906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5A51B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8DF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E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电热鼓风干燥箱</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0470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容积≥80L；温度RT+10-300℃；波动度±1℃；不锈钢内胆；鼓风循环；定时0-999min；超温保护；含搁板2块</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089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378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r>
      <w:tr w14:paraId="46012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DD2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478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电子天平(220g/0.1mg)</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A052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最大称量220g；可读性0.1mg；重复性≤0.1mg；线性误差≤0.2mg；RS232接口；含防风罩、校准砝码、防尘罩</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033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A68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53385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2E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EDB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电子天平(500g/1mg)</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874E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最大称量500g；可读性1mg；重复性≤1mg；线性误差≤2mg；RS232接口；含防风罩、校准砝码</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36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55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6D670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7"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F5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FA3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超纯水机</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D6D3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产水量≥15L/h；电阻率≥18.2MΩ·cm；TOC≤5ppb；0.22μm滤膜；紫外杀菌185/254nm双波长；自动冲洗；水质在线监测；含预过滤柱、纯化柱、超纯化柱</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7CC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57D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1D664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4"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A83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7B4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程控定量封口机</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557A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定量范围1-100mL；精度±1%；封口温度50-200℃可调；自动进样定量封口；批量处理；触控屏；含定量管路、封口膜卷</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5EB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2F6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51E76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4"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6E4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6B9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电导率仪</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3B39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测量范围0.01-200μS/cm；分辨率0.01μS/cm；精度±1%FS；自动温度补偿；电极常数0.01/0.1/1.0可选；含电极、校准液</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392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6B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1E306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499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E90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台式pH计</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1A80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测量范围0-14pH；分辨率0.01pH；精度±0.01pH；自动温度补偿；三点校准；含复合电极、支架、校准缓冲液</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E05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CF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2B70C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5EC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FA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浊度快速测定仪</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8D80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测量范围0-1000NTU；分辨率0.01NTU；精度±2%；90°散射光原理；自动量程切换；含比色皿4只、校准液</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A7E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488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2029E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72D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8AA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二氧化氯余氯测定仪</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869D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测量范围0-5mg/L；分辨率0.01mg/L；精度±3%；DPD比色法；自动零点校准；含比色瓶、试剂、校准液</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E5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0A7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04BAE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4"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D4A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DCB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混凝试验搅拌器</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ABF8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6联可编程；转速20-1000rpm；精度±1%；定时0-999min；梯度转速设定；自动投药；同步搅拌；含搅拌桨6支、投药杯6只</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024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0D0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46178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771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FC73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（二）便携式水质应急快速检测设备</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6650B">
            <w:pPr>
              <w:jc w:val="center"/>
              <w:rPr>
                <w:rFonts w:hint="eastAsia" w:ascii="宋体" w:hAnsi="宋体" w:eastAsia="宋体" w:cs="宋体"/>
                <w:i w:val="0"/>
                <w:iCs w:val="0"/>
                <w:color w:val="000000"/>
                <w:sz w:val="24"/>
                <w:szCs w:val="24"/>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02047">
            <w:pPr>
              <w:jc w:val="center"/>
              <w:rPr>
                <w:rFonts w:hint="eastAsia" w:ascii="宋体" w:hAnsi="宋体" w:eastAsia="宋体" w:cs="宋体"/>
                <w:i w:val="0"/>
                <w:iCs w:val="0"/>
                <w:color w:val="000000"/>
                <w:sz w:val="24"/>
                <w:szCs w:val="24"/>
                <w:u w:val="none"/>
              </w:rPr>
            </w:pPr>
          </w:p>
        </w:tc>
      </w:tr>
      <w:tr w14:paraId="1DF4E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73D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2D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名称</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C3B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技术参数</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AF8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单位</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449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数量</w:t>
            </w:r>
          </w:p>
        </w:tc>
      </w:tr>
      <w:tr w14:paraId="2315C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8"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5D5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17</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4B9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便携式常规9项检测箱</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8B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集成检测：浊度、余氯、色度、臭和味、pH、耗氧量、菌落总数(快速法)、总大肠菌群(快速法)、温度；浊度0-1000NTU/余氯0-5mg/L/pH0-14/色度0-70度；防护箱IP65防水防尘；含全套试剂、比色皿、取样器、校准液、操作手册</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0EF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B5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65170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954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4E5C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（三）实验室数字化管理系统</w:t>
            </w:r>
          </w:p>
        </w:tc>
      </w:tr>
      <w:tr w14:paraId="2E8E7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0A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4F0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名称</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CB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技术参数</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ECC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单位</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18D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数量</w:t>
            </w:r>
          </w:p>
        </w:tc>
      </w:tr>
      <w:tr w14:paraId="1FE2C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8"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1C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0AD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实验室数字化管理系统(LIMS)</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6CC3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模块：样品管理、检测任务分配、数据采集、质量控制、报告生成、历史追溯、设备管理、试剂耗材管理、人员权限管理；支持GB5749-2022标准限值自动比对；数据备份与恢复；审计追踪；网络版部署；含服务器端软件、客户端授权(≥5个)、数据库授权、接口预留；含安装调试、数据迁移、培训</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4E4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4BA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178EF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954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9587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（四）实验室基础设施</w:t>
            </w:r>
          </w:p>
        </w:tc>
      </w:tr>
      <w:tr w14:paraId="5C888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26E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55F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名称</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607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技术参数</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D06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单位</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64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数量</w:t>
            </w:r>
          </w:p>
        </w:tc>
      </w:tr>
      <w:tr w14:paraId="0F094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85E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19</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3B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通风柜</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1D76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1500*850*2350mm(含风机、弯管、管道、卡箍等)</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04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E63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72A6E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4"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46C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C7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高温台</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4D4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尺寸≥1500×750×800mm；全钢框架；台面实芯理化板≥12.7mm厚，耐酸碱耐高温≥200℃；承重≥300kg/m²；含试剂架、滴水架、洗眼器接口</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013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组</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6B3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79BBF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4"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DDC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21</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E95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实验边台(4200×750×800mm)</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AC80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全钢框架；台面实芯理化板≥12.7mm厚；承重≥300kg/m²；含试剂架、滴水架、洗眼器接口；柜体钢木结构，可调脚</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93A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组</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02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4BCD2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9AD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22</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A7B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前处理装置</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E341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前置过滤、活性炭、软化预处理，适配超纯水主机</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916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50D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645EE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EA5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069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医用冷藏箱</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96E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容积330L，控温2–8℃，数显温控，低温报警，内胆防腐</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B7D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73A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257A8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B4C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7FA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高压蒸汽灭菌器</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1D9C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04不锈钢台面≥1.5mm厚；全不锈钢框架；220v-3300w 121℃，50 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65A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CB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0F7B6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64E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748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隔水式培养箱</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7901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细菌培养，BS不锈钢内胆、数显，控温范围：室温+5°C-65°C，容积：42L。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9C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46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61885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51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26</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3EE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药品柜</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1F45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尺寸≥900×450×1800mm；全钢结构；层板可调≥3层；耐腐蚀涂层；带锁；通风接口预留</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70F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个</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18E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52DEB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EEC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1BD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玻皿柜</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769D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尺寸≥900×450×1800mm；全钢结构；玻璃门可视；层板可调≥4层；防尘设计；带锁</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2CC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个</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010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370F8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45F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28</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D00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超净工作台</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EE7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不锈钢单人单面，垂直送风。微生检测平台。304不锈钢台面≥1.5mm厚；全不锈钢框架；承重≥500kg/m²；含下层置物架</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5EF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090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67101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E13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29</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9DF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实验边台(3500×750×800mm)</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60EF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全钢框架；台面实芯理化板≥12.7mm厚；承重≥300kg/m²；含试剂架、滴水架；柜体钢木结构，可调脚</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361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组</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06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56E03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A68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C65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实验边台(2000×750×800mm)</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8883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全钢框架；台面实芯理化板≥12.7mm厚；承重≥300kg/m²；含滴水架；柜体钢木结构，可调脚</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21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组</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D93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629CC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1A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31</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79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不锈钢操作台</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EE47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尺寸≥1500×750×800mm；304不锈钢台面≥1.5mm厚；全不锈钢框架；承重≥500kg/m²；含下层置物架</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C7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组</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A84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2F54F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771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40A3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（五）辅助配套设施</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EF0E">
            <w:pPr>
              <w:jc w:val="center"/>
              <w:rPr>
                <w:rFonts w:hint="eastAsia" w:ascii="宋体" w:hAnsi="宋体" w:eastAsia="宋体" w:cs="宋体"/>
                <w:i w:val="0"/>
                <w:iCs w:val="0"/>
                <w:color w:val="000000"/>
                <w:sz w:val="24"/>
                <w:szCs w:val="24"/>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301BC">
            <w:pPr>
              <w:jc w:val="center"/>
              <w:rPr>
                <w:rFonts w:hint="eastAsia" w:ascii="宋体" w:hAnsi="宋体" w:eastAsia="宋体" w:cs="宋体"/>
                <w:i w:val="0"/>
                <w:iCs w:val="0"/>
                <w:color w:val="000000"/>
                <w:sz w:val="24"/>
                <w:szCs w:val="24"/>
                <w:u w:val="none"/>
              </w:rPr>
            </w:pPr>
          </w:p>
        </w:tc>
      </w:tr>
      <w:tr w14:paraId="0E5EA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2FA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342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名称</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28D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技术参数</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C42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单位</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76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数量</w:t>
            </w:r>
          </w:p>
        </w:tc>
      </w:tr>
      <w:tr w14:paraId="17C67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8A9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0A8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实验凳</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B74B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升降范围400-600mm；PU发泡座面；五爪不锈钢底座；带脚轮；承重≥120kg</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49C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把</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243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r>
      <w:tr w14:paraId="59A67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8DF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33</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77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专用防水插座</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DF8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10A/250V；防水IP66；86型面板；阻燃PC材质；含底盒</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D90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个</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31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r>
      <w:tr w14:paraId="0A44C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754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34</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88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滴水架</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950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304不锈钢；直径≥25mm；高度≥400mm；含底座</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2D0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个</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C2C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r>
      <w:tr w14:paraId="7FB9E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11A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35</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E4A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紧急冲淋洗眼器</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9557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不锈钢材质；冲淋流量≥11.4L/min；洗眼流量≥1.5L/min；踏板操作；含防尘盖</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DB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台</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D5B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1E936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74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60C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试剂架</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9F3C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全钢材质；长度≥1200mm；层板可调≥2层；承重≥50kg/层；含固定支架</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D27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组</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7E8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r>
      <w:tr w14:paraId="7803A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3EA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2C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废液收集桶</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90FD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HDPE材质；容量≥25L；耐腐蚀；带盖密封；含废液标识</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5B9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个</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4FD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r>
      <w:tr w14:paraId="07228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90C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38</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B1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样品架</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D84D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304不锈钢；50孔位；可调节孔径；含底座</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B42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个</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DF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r>
      <w:tr w14:paraId="65A3F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8F4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39</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9A5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计时器</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4887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电子数显；最大计时99h59min；磁吸底座；含电池</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62C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个</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88E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r>
      <w:tr w14:paraId="605E7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80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40</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BB8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温度计</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AB85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测量范围-50-300℃；精度±1℃；探头长度≥150mm；不锈钢</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3C5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支</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5DC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r>
      <w:tr w14:paraId="30C73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FD3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41</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1A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量筒</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C3A7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高硼硅玻璃；100/250/500/1000mL各2只；A级精度</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9E2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65B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76954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BE4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42</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0D4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烧杯</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48DF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高硼硅玻璃；50/100/250/500/1000mL各4只；A级精度</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9A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A45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01BA5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5C8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43</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36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容量瓶</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E14E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高硼硅玻璃；50/100/250/500/1000mL各2只；A级；含瓶塞</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778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A9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60BCD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CA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44</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91F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移液管</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559F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高硼硅玻璃；1/2/5/10/25mL各4支；A级精度</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84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953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4B189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4EC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45</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15B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滴定管</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7CD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高硼硅玻璃；25/50mL各2支；A级精度；含滴定架</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E5F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715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72926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4C1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46</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2C7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比色管</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E82D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高硼硅玻璃；10/25/50mL各4支；纳氏比色管；含塞</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C4F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4C0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3DBED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FD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47</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D77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试剂瓶</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FAF6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高硼硅玻璃/棕色；100/250/500/1000mL各4只；含磨口塞</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D23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9BF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22249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31E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48</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11A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洗瓶</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633F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PE材质；250/500mL各4只；耐酸碱</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974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3A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78434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06F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49</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2B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药匙</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9315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不锈钢；大/中/小各2把；双面设计</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243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2A1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2E3FB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BF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B2E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玻璃棒</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A824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高硼硅玻璃；200/300mm各10支</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6CB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7F4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3C904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ADA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51</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43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滤纸</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9878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定性/定量各2盒；中速/慢速；Φ90/110mm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A19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92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15E1D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2B8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52</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051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称量纸</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B07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防静电；60×60/100×100mm各2包</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2DE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B89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r w14:paraId="2C74F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199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53</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B1C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实验室专用垃圾桶</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622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不锈钢；脚踏式；容量≥15L；带盖密封</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4E0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个</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036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r>
      <w:tr w14:paraId="1745F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6C4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54</w:t>
            </w:r>
          </w:p>
        </w:tc>
        <w:tc>
          <w:tcPr>
            <w:tcW w:w="1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8B5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安全防护用品套装</w:t>
            </w:r>
          </w:p>
        </w:tc>
        <w:tc>
          <w:tcPr>
            <w:tcW w:w="5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428F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含防护眼镜4副、防护手套(乳胶/丁腈)各2盒、实验服4件、口罩2盒、急救箱1个</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90E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套</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F9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r>
    </w:tbl>
    <w:p w14:paraId="22493CCF">
      <w:pPr>
        <w:rPr>
          <w:rFonts w:hint="eastAsia" w:ascii="楷体" w:hAnsi="楷体" w:eastAsia="楷体" w:cs="楷体"/>
          <w:i w:val="0"/>
          <w:iCs w:val="0"/>
          <w:snapToGrid w:val="0"/>
          <w:color w:val="000000"/>
          <w:kern w:val="0"/>
          <w:sz w:val="22"/>
          <w:szCs w:val="22"/>
          <w:u w:val="none"/>
          <w:lang w:val="en-US" w:eastAsia="zh-CN" w:bidi="ar"/>
        </w:rPr>
      </w:pPr>
    </w:p>
    <w:p w14:paraId="6FE411F2">
      <w:pPr>
        <w:keepNext w:val="0"/>
        <w:keepLines w:val="0"/>
        <w:widowControl/>
        <w:suppressLineNumbers w:val="0"/>
        <w:jc w:val="left"/>
        <w:textAlignment w:val="center"/>
        <w:rPr>
          <w:rFonts w:hint="eastAsia" w:ascii="楷体" w:hAnsi="楷体" w:eastAsia="楷体" w:cs="楷体"/>
          <w:i w:val="0"/>
          <w:iCs w:val="0"/>
          <w:snapToGrid w:val="0"/>
          <w:color w:val="000000"/>
          <w:kern w:val="0"/>
          <w:sz w:val="22"/>
          <w:szCs w:val="22"/>
          <w:u w:val="none"/>
          <w:lang w:val="en-US" w:eastAsia="zh-CN" w:bidi="ar"/>
        </w:rPr>
      </w:pPr>
    </w:p>
    <w:p w14:paraId="6D5B1114">
      <w:pPr>
        <w:rPr>
          <w:rFonts w:ascii="宋体" w:hAnsi="宋体" w:eastAsia="宋体" w:cs="宋体"/>
          <w:b/>
          <w:bCs/>
          <w:spacing w:val="5"/>
          <w:sz w:val="35"/>
          <w:szCs w:val="35"/>
        </w:rPr>
      </w:pPr>
      <w:bookmarkStart w:id="70" w:name="_Toc23821"/>
      <w:r>
        <w:rPr>
          <w:rFonts w:ascii="宋体" w:hAnsi="宋体" w:eastAsia="宋体" w:cs="宋体"/>
          <w:b/>
          <w:bCs/>
          <w:spacing w:val="5"/>
          <w:sz w:val="35"/>
          <w:szCs w:val="35"/>
        </w:rPr>
        <w:br w:type="page"/>
      </w:r>
    </w:p>
    <w:p w14:paraId="348CCF50">
      <w:pPr>
        <w:spacing w:before="138" w:line="225" w:lineRule="auto"/>
        <w:jc w:val="center"/>
        <w:outlineLvl w:val="0"/>
        <w:rPr>
          <w:rFonts w:ascii="宋体" w:hAnsi="宋体" w:eastAsia="宋体" w:cs="宋体"/>
          <w:sz w:val="35"/>
          <w:szCs w:val="35"/>
        </w:rPr>
      </w:pPr>
      <w:r>
        <w:rPr>
          <w:rFonts w:ascii="宋体" w:hAnsi="宋体" w:eastAsia="宋体" w:cs="宋体"/>
          <w:b/>
          <w:bCs/>
          <w:spacing w:val="5"/>
          <w:sz w:val="35"/>
          <w:szCs w:val="35"/>
        </w:rPr>
        <w:t>第七部分</w:t>
      </w:r>
      <w:r>
        <w:rPr>
          <w:rFonts w:ascii="宋体" w:hAnsi="宋体" w:eastAsia="宋体" w:cs="宋体"/>
          <w:spacing w:val="5"/>
          <w:sz w:val="35"/>
          <w:szCs w:val="35"/>
        </w:rPr>
        <w:t xml:space="preserve">  </w:t>
      </w:r>
      <w:r>
        <w:rPr>
          <w:rFonts w:ascii="宋体" w:hAnsi="宋体" w:eastAsia="宋体" w:cs="宋体"/>
          <w:b/>
          <w:bCs/>
          <w:spacing w:val="5"/>
          <w:sz w:val="35"/>
          <w:szCs w:val="35"/>
        </w:rPr>
        <w:t>评审方法</w:t>
      </w:r>
      <w:bookmarkEnd w:id="69"/>
      <w:bookmarkEnd w:id="70"/>
    </w:p>
    <w:p w14:paraId="02E7D22E">
      <w:pPr>
        <w:spacing w:before="78" w:line="220" w:lineRule="auto"/>
        <w:ind w:left="522"/>
        <w:rPr>
          <w:rFonts w:ascii="宋体" w:hAnsi="宋体" w:eastAsia="宋体" w:cs="宋体"/>
          <w:sz w:val="24"/>
          <w:szCs w:val="24"/>
        </w:rPr>
      </w:pPr>
      <w:r>
        <w:rPr>
          <w:rFonts w:ascii="宋体" w:hAnsi="宋体" w:eastAsia="宋体" w:cs="宋体"/>
          <w:spacing w:val="-3"/>
          <w:sz w:val="24"/>
          <w:szCs w:val="24"/>
        </w:rPr>
        <w:t>一、评审方法</w:t>
      </w:r>
    </w:p>
    <w:p w14:paraId="2E2DC189">
      <w:pPr>
        <w:spacing w:before="292" w:line="446" w:lineRule="auto"/>
        <w:ind w:left="278" w:right="42" w:firstLine="241"/>
        <w:jc w:val="both"/>
        <w:rPr>
          <w:rFonts w:ascii="宋体" w:hAnsi="宋体" w:eastAsia="宋体" w:cs="宋体"/>
          <w:sz w:val="24"/>
          <w:szCs w:val="24"/>
        </w:rPr>
      </w:pPr>
      <w:r>
        <w:rPr>
          <w:rFonts w:ascii="宋体" w:hAnsi="宋体" w:eastAsia="宋体" w:cs="宋体"/>
          <w:spacing w:val="-3"/>
          <w:sz w:val="24"/>
          <w:szCs w:val="24"/>
        </w:rPr>
        <w:t>按照中华人民共和国财政部令第 74 号--《政府采购非采购采购</w:t>
      </w:r>
      <w:r>
        <w:rPr>
          <w:rFonts w:ascii="宋体" w:hAnsi="宋体" w:eastAsia="宋体" w:cs="宋体"/>
          <w:spacing w:val="-4"/>
          <w:sz w:val="24"/>
          <w:szCs w:val="24"/>
        </w:rPr>
        <w:t>方式管理办法》</w:t>
      </w:r>
      <w:r>
        <w:rPr>
          <w:rFonts w:ascii="宋体" w:hAnsi="宋体" w:eastAsia="宋体" w:cs="宋体"/>
          <w:sz w:val="24"/>
          <w:szCs w:val="24"/>
        </w:rPr>
        <w:t xml:space="preserve"> </w:t>
      </w:r>
      <w:r>
        <w:rPr>
          <w:rFonts w:ascii="宋体" w:hAnsi="宋体" w:eastAsia="宋体" w:cs="宋体"/>
          <w:spacing w:val="-3"/>
          <w:sz w:val="24"/>
          <w:szCs w:val="24"/>
        </w:rPr>
        <w:t>的规定，本次评审采用最低评标价法，即质量和服务均能满足谈判文件要求的供</w:t>
      </w:r>
      <w:r>
        <w:rPr>
          <w:rFonts w:ascii="宋体" w:hAnsi="宋体" w:eastAsia="宋体" w:cs="宋体"/>
          <w:sz w:val="24"/>
          <w:szCs w:val="24"/>
        </w:rPr>
        <w:t>应商中，按照最后报价由低到高的顺序依次</w:t>
      </w:r>
      <w:r>
        <w:rPr>
          <w:rFonts w:ascii="宋体" w:hAnsi="宋体" w:eastAsia="宋体" w:cs="宋体"/>
          <w:spacing w:val="-1"/>
          <w:sz w:val="24"/>
          <w:szCs w:val="24"/>
        </w:rPr>
        <w:t>排序，推荐成交候选人。</w:t>
      </w:r>
    </w:p>
    <w:p w14:paraId="2BB63DC2">
      <w:pPr>
        <w:spacing w:line="220" w:lineRule="auto"/>
        <w:ind w:left="522"/>
        <w:rPr>
          <w:rFonts w:ascii="宋体" w:hAnsi="宋体" w:eastAsia="宋体" w:cs="宋体"/>
          <w:sz w:val="24"/>
          <w:szCs w:val="24"/>
        </w:rPr>
      </w:pPr>
      <w:r>
        <w:rPr>
          <w:rFonts w:ascii="宋体" w:hAnsi="宋体" w:eastAsia="宋体" w:cs="宋体"/>
          <w:spacing w:val="-3"/>
          <w:sz w:val="24"/>
          <w:szCs w:val="24"/>
        </w:rPr>
        <w:t>二、评审程序</w:t>
      </w:r>
    </w:p>
    <w:p w14:paraId="204CA321">
      <w:pPr>
        <w:spacing w:before="294" w:line="446" w:lineRule="auto"/>
        <w:ind w:left="290" w:right="268" w:firstLine="229"/>
        <w:rPr>
          <w:rFonts w:ascii="宋体" w:hAnsi="宋体" w:eastAsia="宋体" w:cs="宋体"/>
          <w:sz w:val="24"/>
          <w:szCs w:val="24"/>
        </w:rPr>
      </w:pPr>
      <w:r>
        <w:rPr>
          <w:rFonts w:ascii="宋体" w:hAnsi="宋体" w:eastAsia="宋体" w:cs="宋体"/>
          <w:spacing w:val="-3"/>
          <w:sz w:val="24"/>
          <w:szCs w:val="24"/>
        </w:rPr>
        <w:t>按照资格审查、符合性审查、谈判、最终报价推荐成交候选单位等步</w:t>
      </w:r>
      <w:r>
        <w:rPr>
          <w:rFonts w:ascii="宋体" w:hAnsi="宋体" w:eastAsia="宋体" w:cs="宋体"/>
          <w:spacing w:val="-4"/>
          <w:sz w:val="24"/>
          <w:szCs w:val="24"/>
        </w:rPr>
        <w:t>骤进行评</w:t>
      </w:r>
      <w:r>
        <w:rPr>
          <w:rFonts w:ascii="宋体" w:hAnsi="宋体" w:eastAsia="宋体" w:cs="宋体"/>
          <w:sz w:val="24"/>
          <w:szCs w:val="24"/>
        </w:rPr>
        <w:t xml:space="preserve"> </w:t>
      </w:r>
      <w:r>
        <w:rPr>
          <w:rFonts w:ascii="宋体" w:hAnsi="宋体" w:eastAsia="宋体" w:cs="宋体"/>
          <w:spacing w:val="-3"/>
          <w:sz w:val="24"/>
          <w:szCs w:val="24"/>
        </w:rPr>
        <w:t>审，资格性审查由采购人和代理机构共同审查，符合</w:t>
      </w:r>
      <w:r>
        <w:rPr>
          <w:rFonts w:ascii="宋体" w:hAnsi="宋体" w:eastAsia="宋体" w:cs="宋体"/>
          <w:spacing w:val="-4"/>
          <w:sz w:val="24"/>
          <w:szCs w:val="24"/>
        </w:rPr>
        <w:t>性审查由谈判小组审查。在</w:t>
      </w:r>
      <w:r>
        <w:rPr>
          <w:rFonts w:ascii="宋体" w:hAnsi="宋体" w:eastAsia="宋体" w:cs="宋体"/>
          <w:spacing w:val="-1"/>
          <w:sz w:val="24"/>
          <w:szCs w:val="24"/>
        </w:rPr>
        <w:t>上一步评审中被废标者，不进入下一步的评审。</w:t>
      </w:r>
    </w:p>
    <w:p w14:paraId="4DBDA859">
      <w:pPr>
        <w:spacing w:before="152" w:line="219" w:lineRule="auto"/>
        <w:ind w:left="295"/>
        <w:rPr>
          <w:rFonts w:ascii="宋体" w:hAnsi="宋体" w:eastAsia="宋体" w:cs="宋体"/>
          <w:sz w:val="24"/>
          <w:szCs w:val="24"/>
        </w:rPr>
      </w:pPr>
      <w:r>
        <w:rPr>
          <w:rFonts w:ascii="宋体" w:hAnsi="宋体" w:eastAsia="宋体" w:cs="宋体"/>
          <w:spacing w:val="-2"/>
          <w:sz w:val="24"/>
          <w:szCs w:val="24"/>
        </w:rPr>
        <w:t>1、对竞争性谈判响应文件的符合性审查：</w:t>
      </w:r>
    </w:p>
    <w:p w14:paraId="17EB8877">
      <w:pPr>
        <w:spacing w:before="183" w:line="360" w:lineRule="auto"/>
        <w:ind w:left="279" w:right="268"/>
        <w:rPr>
          <w:rFonts w:ascii="宋体" w:hAnsi="宋体" w:eastAsia="宋体" w:cs="宋体"/>
          <w:sz w:val="24"/>
          <w:szCs w:val="24"/>
        </w:rPr>
      </w:pPr>
      <w:r>
        <w:rPr>
          <w:rFonts w:ascii="宋体" w:hAnsi="宋体" w:eastAsia="宋体" w:cs="宋体"/>
          <w:spacing w:val="-3"/>
          <w:sz w:val="24"/>
          <w:szCs w:val="24"/>
        </w:rPr>
        <w:t>按照以下内容对竞争性谈判响应文件符合性审查，一项不合格其投标即为无效投</w:t>
      </w:r>
      <w:r>
        <w:rPr>
          <w:rFonts w:ascii="宋体" w:hAnsi="宋体" w:eastAsia="宋体" w:cs="宋体"/>
          <w:spacing w:val="-6"/>
          <w:sz w:val="24"/>
          <w:szCs w:val="24"/>
        </w:rPr>
        <w:t>标。</w:t>
      </w:r>
    </w:p>
    <w:p w14:paraId="4688B4C8">
      <w:pPr>
        <w:spacing w:before="1" w:line="219" w:lineRule="auto"/>
        <w:ind w:left="3958"/>
        <w:rPr>
          <w:rFonts w:ascii="宋体" w:hAnsi="宋体" w:eastAsia="宋体" w:cs="宋体"/>
          <w:sz w:val="24"/>
          <w:szCs w:val="24"/>
        </w:rPr>
      </w:pPr>
      <w:r>
        <w:rPr>
          <w:rFonts w:ascii="宋体" w:hAnsi="宋体" w:eastAsia="宋体" w:cs="宋体"/>
          <w:b/>
          <w:bCs/>
          <w:spacing w:val="-6"/>
          <w:sz w:val="24"/>
          <w:szCs w:val="24"/>
        </w:rPr>
        <w:t>资格性审查</w:t>
      </w:r>
    </w:p>
    <w:p w14:paraId="20C6F501">
      <w:pPr>
        <w:spacing w:line="68" w:lineRule="exact"/>
      </w:pPr>
    </w:p>
    <w:tbl>
      <w:tblPr>
        <w:tblStyle w:val="31"/>
        <w:tblW w:w="88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3"/>
        <w:gridCol w:w="6961"/>
        <w:gridCol w:w="1164"/>
      </w:tblGrid>
      <w:tr w14:paraId="1C2C3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713" w:type="dxa"/>
            <w:vAlign w:val="top"/>
          </w:tcPr>
          <w:p w14:paraId="707B1DDF">
            <w:pPr>
              <w:spacing w:line="271" w:lineRule="auto"/>
              <w:rPr>
                <w:rFonts w:ascii="Arial"/>
                <w:sz w:val="21"/>
              </w:rPr>
            </w:pPr>
          </w:p>
          <w:p w14:paraId="47092D0A">
            <w:pPr>
              <w:pStyle w:val="32"/>
              <w:spacing w:before="78" w:line="221" w:lineRule="auto"/>
              <w:ind w:left="121"/>
            </w:pPr>
            <w:r>
              <w:rPr>
                <w:b/>
                <w:bCs/>
                <w:spacing w:val="-7"/>
              </w:rPr>
              <w:t>序号</w:t>
            </w:r>
          </w:p>
        </w:tc>
        <w:tc>
          <w:tcPr>
            <w:tcW w:w="6961" w:type="dxa"/>
            <w:vAlign w:val="top"/>
          </w:tcPr>
          <w:p w14:paraId="262092DA">
            <w:pPr>
              <w:spacing w:line="274" w:lineRule="auto"/>
              <w:rPr>
                <w:rFonts w:ascii="Arial"/>
                <w:sz w:val="21"/>
              </w:rPr>
            </w:pPr>
          </w:p>
          <w:p w14:paraId="36F143D3">
            <w:pPr>
              <w:pStyle w:val="32"/>
              <w:spacing w:before="78" w:line="219" w:lineRule="auto"/>
              <w:ind w:left="3016"/>
            </w:pPr>
            <w:r>
              <w:rPr>
                <w:b/>
                <w:bCs/>
                <w:spacing w:val="-8"/>
              </w:rPr>
              <w:t>审查因素</w:t>
            </w:r>
          </w:p>
        </w:tc>
        <w:tc>
          <w:tcPr>
            <w:tcW w:w="1164" w:type="dxa"/>
            <w:vAlign w:val="top"/>
          </w:tcPr>
          <w:p w14:paraId="3B81BA03">
            <w:pPr>
              <w:pStyle w:val="32"/>
              <w:spacing w:before="118" w:line="314" w:lineRule="auto"/>
              <w:ind w:left="470" w:right="219" w:hanging="232"/>
            </w:pPr>
            <w:r>
              <w:rPr>
                <w:b/>
                <w:bCs/>
                <w:spacing w:val="-9"/>
              </w:rPr>
              <w:t>审查标</w:t>
            </w:r>
            <w:r>
              <w:t xml:space="preserve"> </w:t>
            </w:r>
            <w:r>
              <w:rPr>
                <w:b/>
                <w:bCs/>
                <w:spacing w:val="-3"/>
              </w:rPr>
              <w:t>准</w:t>
            </w:r>
          </w:p>
        </w:tc>
      </w:tr>
      <w:tr w14:paraId="4DC65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8" w:hRule="atLeast"/>
        </w:trPr>
        <w:tc>
          <w:tcPr>
            <w:tcW w:w="713" w:type="dxa"/>
            <w:vAlign w:val="top"/>
          </w:tcPr>
          <w:p w14:paraId="54D8BD52">
            <w:pPr>
              <w:spacing w:line="261" w:lineRule="auto"/>
              <w:rPr>
                <w:rFonts w:ascii="Arial"/>
                <w:sz w:val="21"/>
              </w:rPr>
            </w:pPr>
          </w:p>
          <w:p w14:paraId="247EAB15">
            <w:pPr>
              <w:spacing w:line="262" w:lineRule="auto"/>
              <w:rPr>
                <w:rFonts w:ascii="Arial"/>
                <w:sz w:val="21"/>
              </w:rPr>
            </w:pPr>
          </w:p>
          <w:p w14:paraId="6416AEFB">
            <w:pPr>
              <w:spacing w:line="262" w:lineRule="auto"/>
              <w:rPr>
                <w:rFonts w:ascii="Arial"/>
                <w:sz w:val="21"/>
              </w:rPr>
            </w:pPr>
          </w:p>
          <w:p w14:paraId="0732E207">
            <w:pPr>
              <w:spacing w:line="262" w:lineRule="auto"/>
              <w:rPr>
                <w:rFonts w:ascii="Arial"/>
                <w:sz w:val="21"/>
              </w:rPr>
            </w:pPr>
          </w:p>
          <w:p w14:paraId="2B19AFB2">
            <w:pPr>
              <w:spacing w:line="262" w:lineRule="auto"/>
              <w:rPr>
                <w:rFonts w:ascii="Arial"/>
                <w:sz w:val="21"/>
              </w:rPr>
            </w:pPr>
          </w:p>
          <w:p w14:paraId="2DAE003D">
            <w:pPr>
              <w:spacing w:line="262" w:lineRule="auto"/>
              <w:rPr>
                <w:rFonts w:ascii="Arial"/>
                <w:sz w:val="21"/>
              </w:rPr>
            </w:pPr>
          </w:p>
          <w:p w14:paraId="4460A457">
            <w:pPr>
              <w:spacing w:line="262" w:lineRule="auto"/>
              <w:rPr>
                <w:rFonts w:ascii="Arial"/>
                <w:sz w:val="21"/>
              </w:rPr>
            </w:pPr>
          </w:p>
          <w:p w14:paraId="59C9E0C8">
            <w:pPr>
              <w:spacing w:line="262" w:lineRule="auto"/>
              <w:rPr>
                <w:rFonts w:ascii="Arial"/>
                <w:sz w:val="21"/>
              </w:rPr>
            </w:pPr>
          </w:p>
          <w:p w14:paraId="37B058BE">
            <w:pPr>
              <w:spacing w:line="262" w:lineRule="auto"/>
              <w:rPr>
                <w:rFonts w:ascii="Arial"/>
                <w:sz w:val="21"/>
              </w:rPr>
            </w:pPr>
          </w:p>
          <w:p w14:paraId="79972EF8">
            <w:pPr>
              <w:pStyle w:val="32"/>
              <w:spacing w:before="78" w:line="241" w:lineRule="auto"/>
              <w:ind w:left="374"/>
            </w:pPr>
            <w:r>
              <w:t>1</w:t>
            </w:r>
          </w:p>
        </w:tc>
        <w:tc>
          <w:tcPr>
            <w:tcW w:w="6961" w:type="dxa"/>
            <w:vAlign w:val="top"/>
          </w:tcPr>
          <w:p w14:paraId="7D517BB7">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right="193"/>
              <w:textAlignment w:val="baseline"/>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（1）供应商为具有独立承担民事责任能力的法人、事业法人、 其他组织或自然人。企业法人应提供合法有效的标识有统一社会 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i w:val="0"/>
                <w:iCs w:val="0"/>
                <w:caps w:val="0"/>
                <w:color w:val="auto"/>
                <w:spacing w:val="0"/>
                <w:kern w:val="0"/>
                <w:sz w:val="24"/>
                <w:szCs w:val="24"/>
                <w:shd w:val="clear" w:color="auto" w:fill="FFFFFF"/>
                <w:lang w:val="en-US" w:eastAsia="zh-CN" w:bidi="ar-SA"/>
              </w:rPr>
              <w:t>（2）参加政府采购活动前 3 年内经营活动中没有重大违法记录声明书；投标时限内“信用中国”(www.creditchina.gov.cn)网站生成的带水印信用报告，供应商不得为“信用中国 ”网站 （www.creditchina.gov.cn）中列入重大税收违法失信主体、政府采购严重违法失信行为记录名单 ，不得为中国政府采购网 （www.ccgp.gov.cn）政府采购严重违法失信行为记录名单中被财政部门禁止参加政府采购活动的供应商（提供查询结果网页截 图并加盖供应商公章）；同时提供榆林市政府采购货物类项目供应商信用承诺书。</w:t>
            </w:r>
            <w:r>
              <w:rPr>
                <w:rFonts w:hint="eastAsia" w:ascii="宋体" w:hAnsi="宋体" w:eastAsia="宋体" w:cs="宋体"/>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i w:val="0"/>
                <w:iCs w:val="0"/>
                <w:caps w:val="0"/>
                <w:color w:val="auto"/>
                <w:spacing w:val="0"/>
                <w:kern w:val="0"/>
                <w:sz w:val="24"/>
                <w:szCs w:val="24"/>
                <w:shd w:val="clear" w:color="auto" w:fill="FFFFFF"/>
                <w:lang w:val="en-US" w:eastAsia="zh-CN" w:bidi="ar-SA"/>
              </w:rPr>
              <w:t>（3）财务状况报告：经会计事务所或审计机构出具的2025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i w:val="0"/>
                <w:iCs w:val="0"/>
                <w:caps w:val="0"/>
                <w:color w:val="auto"/>
                <w:spacing w:val="0"/>
                <w:kern w:val="0"/>
                <w:sz w:val="24"/>
                <w:szCs w:val="24"/>
                <w:shd w:val="clear" w:color="auto" w:fill="FFFFFF"/>
                <w:lang w:val="en-US" w:eastAsia="zh-CN" w:bidi="ar-SA"/>
              </w:rPr>
              <w:t>（4）税收缴纳证明：提供 2025 年 1 月 至投标截止时间止任意一个月完税证明，完税证明上应有税务机关的公章（加盖公章复印件）；依法免税的供应商应提供相关文件证明；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i w:val="0"/>
                <w:iCs w:val="0"/>
                <w:caps w:val="0"/>
                <w:color w:val="auto"/>
                <w:spacing w:val="0"/>
                <w:kern w:val="0"/>
                <w:sz w:val="24"/>
                <w:szCs w:val="24"/>
                <w:shd w:val="clear" w:color="auto" w:fill="FFFFFF"/>
                <w:lang w:val="en-US" w:eastAsia="zh-CN" w:bidi="ar-SA"/>
              </w:rPr>
              <w:t>（5）社会保障资金缴纳证明：提供 2025 年1 月至投标截止时间止任意一个月的社会保障资金缴存单据或社保机构开具的社会保险参保缴费情况证明；依法不需要缴纳社会保障资金的应提供相关文件证明；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i w:val="0"/>
                <w:iCs w:val="0"/>
                <w:caps w:val="0"/>
                <w:color w:val="auto"/>
                <w:spacing w:val="0"/>
                <w:kern w:val="0"/>
                <w:sz w:val="24"/>
                <w:szCs w:val="24"/>
                <w:shd w:val="clear" w:color="auto" w:fill="FFFFFF"/>
                <w:lang w:val="en-US" w:eastAsia="zh-CN" w:bidi="ar-SA"/>
              </w:rPr>
              <w:t>（6）提供具有履行合同所必需的设备和专业技术能力的证明资料或承诺书；</w:t>
            </w:r>
            <w:r>
              <w:rPr>
                <w:rFonts w:hint="eastAsia" w:ascii="宋体" w:hAnsi="宋体" w:eastAsia="宋体" w:cs="宋体"/>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i w:val="0"/>
                <w:iCs w:val="0"/>
                <w:caps w:val="0"/>
                <w:color w:val="auto"/>
                <w:spacing w:val="0"/>
                <w:kern w:val="0"/>
                <w:sz w:val="24"/>
                <w:szCs w:val="24"/>
                <w:shd w:val="clear" w:color="auto" w:fill="FFFFFF"/>
                <w:lang w:val="en-US" w:eastAsia="zh-CN" w:bidi="ar-SA"/>
              </w:rPr>
              <w:t>（7）本项目以“投标信用承诺书 ”代替投标保证金；</w:t>
            </w:r>
            <w:r>
              <w:rPr>
                <w:rFonts w:hint="eastAsia" w:ascii="宋体" w:hAnsi="宋体" w:eastAsia="宋体" w:cs="宋体"/>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i w:val="0"/>
                <w:iCs w:val="0"/>
                <w:caps w:val="0"/>
                <w:color w:val="auto"/>
                <w:spacing w:val="0"/>
                <w:kern w:val="0"/>
                <w:sz w:val="24"/>
                <w:szCs w:val="24"/>
                <w:shd w:val="clear" w:color="auto" w:fill="FFFFFF"/>
                <w:lang w:val="en-US" w:eastAsia="zh-CN" w:bidi="ar-SA"/>
              </w:rPr>
              <w:t>（8）本项目不接受联合体投标，单位负责人为同一人或者存在直接控股、管理关系的不同供应商，不得参加同一合同项下的政府采购活动；</w:t>
            </w:r>
            <w:r>
              <w:rPr>
                <w:rFonts w:hint="eastAsia" w:ascii="宋体" w:hAnsi="宋体" w:eastAsia="宋体" w:cs="宋体"/>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i w:val="0"/>
                <w:iCs w:val="0"/>
                <w:caps w:val="0"/>
                <w:color w:val="auto"/>
                <w:spacing w:val="0"/>
                <w:kern w:val="0"/>
                <w:sz w:val="24"/>
                <w:szCs w:val="24"/>
                <w:shd w:val="clear" w:color="auto" w:fill="FFFFFF"/>
                <w:lang w:val="en-US" w:eastAsia="zh-CN" w:bidi="ar-SA"/>
              </w:rPr>
              <w:t>（9）本项目专门面向中小企业采购，供应商须提供货物类中小企业声明函。</w:t>
            </w:r>
          </w:p>
        </w:tc>
        <w:tc>
          <w:tcPr>
            <w:tcW w:w="1164" w:type="dxa"/>
            <w:vAlign w:val="top"/>
          </w:tcPr>
          <w:p w14:paraId="2E85A476">
            <w:pPr>
              <w:spacing w:line="276" w:lineRule="auto"/>
              <w:rPr>
                <w:rFonts w:ascii="Arial"/>
                <w:sz w:val="21"/>
              </w:rPr>
            </w:pPr>
          </w:p>
          <w:p w14:paraId="754CFFE6">
            <w:pPr>
              <w:spacing w:line="276" w:lineRule="auto"/>
              <w:rPr>
                <w:rFonts w:ascii="Arial"/>
                <w:sz w:val="21"/>
              </w:rPr>
            </w:pPr>
          </w:p>
          <w:p w14:paraId="77B5DF77">
            <w:pPr>
              <w:spacing w:line="276" w:lineRule="auto"/>
              <w:rPr>
                <w:rFonts w:ascii="Arial"/>
                <w:sz w:val="21"/>
              </w:rPr>
            </w:pPr>
          </w:p>
          <w:p w14:paraId="64A377BE">
            <w:pPr>
              <w:spacing w:line="277" w:lineRule="auto"/>
              <w:rPr>
                <w:rFonts w:ascii="Arial"/>
                <w:sz w:val="21"/>
              </w:rPr>
            </w:pPr>
          </w:p>
          <w:p w14:paraId="79DE5139">
            <w:pPr>
              <w:spacing w:line="277" w:lineRule="auto"/>
              <w:rPr>
                <w:rFonts w:ascii="Arial"/>
                <w:sz w:val="21"/>
              </w:rPr>
            </w:pPr>
          </w:p>
          <w:p w14:paraId="2014500E">
            <w:pPr>
              <w:spacing w:line="277" w:lineRule="auto"/>
              <w:rPr>
                <w:rFonts w:ascii="Arial"/>
                <w:sz w:val="21"/>
              </w:rPr>
            </w:pPr>
          </w:p>
          <w:p w14:paraId="30420D60">
            <w:pPr>
              <w:pStyle w:val="32"/>
              <w:spacing w:before="78" w:line="221" w:lineRule="auto"/>
              <w:ind w:left="128"/>
            </w:pPr>
            <w:r>
              <w:rPr>
                <w:spacing w:val="-8"/>
              </w:rPr>
              <w:t>响应文</w:t>
            </w:r>
          </w:p>
          <w:p w14:paraId="23E4A416">
            <w:pPr>
              <w:pStyle w:val="32"/>
              <w:spacing w:before="180" w:line="219" w:lineRule="auto"/>
              <w:ind w:left="115"/>
            </w:pPr>
            <w:r>
              <w:rPr>
                <w:spacing w:val="-3"/>
              </w:rPr>
              <w:t>件中所</w:t>
            </w:r>
          </w:p>
          <w:p w14:paraId="6750D3A2">
            <w:pPr>
              <w:pStyle w:val="32"/>
              <w:spacing w:before="182" w:line="219" w:lineRule="auto"/>
              <w:ind w:left="134"/>
            </w:pPr>
            <w:r>
              <w:rPr>
                <w:spacing w:val="-10"/>
              </w:rPr>
              <w:t>附加盖</w:t>
            </w:r>
          </w:p>
          <w:p w14:paraId="10BF1466">
            <w:pPr>
              <w:pStyle w:val="32"/>
              <w:spacing w:before="183" w:line="219" w:lineRule="auto"/>
              <w:ind w:left="123"/>
            </w:pPr>
            <w:r>
              <w:rPr>
                <w:spacing w:val="-6"/>
              </w:rPr>
              <w:t>公章证</w:t>
            </w:r>
          </w:p>
          <w:p w14:paraId="3118B80D">
            <w:pPr>
              <w:pStyle w:val="32"/>
              <w:spacing w:before="184" w:line="219" w:lineRule="auto"/>
              <w:ind w:left="138"/>
            </w:pPr>
            <w:r>
              <w:rPr>
                <w:spacing w:val="-11"/>
              </w:rPr>
              <w:t>明资料</w:t>
            </w:r>
          </w:p>
        </w:tc>
      </w:tr>
    </w:tbl>
    <w:p w14:paraId="11F03C39">
      <w:pPr>
        <w:spacing w:line="91" w:lineRule="auto"/>
        <w:rPr>
          <w:rFonts w:ascii="Arial"/>
          <w:sz w:val="2"/>
        </w:rPr>
      </w:pPr>
    </w:p>
    <w:p w14:paraId="574CC66E">
      <w:pPr>
        <w:spacing w:before="113" w:line="219" w:lineRule="auto"/>
        <w:ind w:left="3829"/>
        <w:rPr>
          <w:rFonts w:ascii="宋体" w:hAnsi="宋体" w:eastAsia="宋体" w:cs="宋体"/>
          <w:sz w:val="24"/>
          <w:szCs w:val="24"/>
        </w:rPr>
      </w:pPr>
      <w:r>
        <w:rPr>
          <w:rFonts w:ascii="宋体" w:hAnsi="宋体" w:eastAsia="宋体" w:cs="宋体"/>
          <w:b/>
          <w:bCs/>
          <w:spacing w:val="-4"/>
          <w:sz w:val="24"/>
          <w:szCs w:val="24"/>
        </w:rPr>
        <w:t>符合性审查</w:t>
      </w:r>
    </w:p>
    <w:tbl>
      <w:tblPr>
        <w:tblStyle w:val="31"/>
        <w:tblpPr w:leftFromText="180" w:rightFromText="180" w:vertAnchor="text" w:horzAnchor="page" w:tblpX="1196" w:tblpY="618"/>
        <w:tblOverlap w:val="never"/>
        <w:tblW w:w="929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9"/>
        <w:gridCol w:w="2849"/>
        <w:gridCol w:w="5562"/>
      </w:tblGrid>
      <w:tr w14:paraId="5BD8E3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879" w:type="dxa"/>
            <w:shd w:val="clear" w:color="auto" w:fill="D8D8D8"/>
            <w:noWrap w:val="0"/>
            <w:vAlign w:val="top"/>
          </w:tcPr>
          <w:p w14:paraId="23DA7EF2">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序号</w:t>
            </w:r>
          </w:p>
        </w:tc>
        <w:tc>
          <w:tcPr>
            <w:tcW w:w="2849" w:type="dxa"/>
            <w:shd w:val="clear" w:color="auto" w:fill="D8D8D8"/>
            <w:noWrap w:val="0"/>
            <w:vAlign w:val="top"/>
          </w:tcPr>
          <w:p w14:paraId="5C86BEE1">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符合性审查项</w:t>
            </w:r>
          </w:p>
        </w:tc>
        <w:tc>
          <w:tcPr>
            <w:tcW w:w="5562" w:type="dxa"/>
            <w:shd w:val="clear" w:color="auto" w:fill="D8D8D8"/>
            <w:noWrap w:val="0"/>
            <w:vAlign w:val="top"/>
          </w:tcPr>
          <w:p w14:paraId="36B71FCA">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通过条件</w:t>
            </w:r>
          </w:p>
        </w:tc>
      </w:tr>
      <w:tr w14:paraId="4C711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1" w:hRule="atLeast"/>
        </w:trPr>
        <w:tc>
          <w:tcPr>
            <w:tcW w:w="879" w:type="dxa"/>
            <w:noWrap w:val="0"/>
            <w:vAlign w:val="top"/>
          </w:tcPr>
          <w:p w14:paraId="3CAFF66A">
            <w:pPr>
              <w:spacing w:line="410" w:lineRule="auto"/>
              <w:rPr>
                <w:rFonts w:hint="eastAsia" w:ascii="宋体" w:hAnsi="宋体" w:eastAsia="宋体" w:cs="宋体"/>
                <w:color w:val="auto"/>
              </w:rPr>
            </w:pPr>
          </w:p>
          <w:p w14:paraId="3207D079">
            <w:pPr>
              <w:spacing w:before="75" w:line="192" w:lineRule="auto"/>
              <w:ind w:left="404"/>
              <w:rPr>
                <w:rFonts w:hint="eastAsia" w:ascii="宋体" w:hAnsi="宋体" w:eastAsia="宋体" w:cs="宋体"/>
                <w:color w:val="auto"/>
                <w:sz w:val="23"/>
                <w:szCs w:val="23"/>
              </w:rPr>
            </w:pPr>
            <w:r>
              <w:rPr>
                <w:rFonts w:hint="eastAsia" w:ascii="宋体" w:hAnsi="宋体" w:eastAsia="宋体" w:cs="宋体"/>
                <w:color w:val="auto"/>
                <w:sz w:val="23"/>
                <w:szCs w:val="23"/>
              </w:rPr>
              <w:t>1</w:t>
            </w:r>
          </w:p>
        </w:tc>
        <w:tc>
          <w:tcPr>
            <w:tcW w:w="2849" w:type="dxa"/>
            <w:noWrap w:val="0"/>
            <w:vAlign w:val="top"/>
          </w:tcPr>
          <w:p w14:paraId="52625A12">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p>
          <w:p w14:paraId="7F655726">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谈判响应文件项目名称、 项目编号、标段</w:t>
            </w:r>
          </w:p>
        </w:tc>
        <w:tc>
          <w:tcPr>
            <w:tcW w:w="5562" w:type="dxa"/>
            <w:noWrap w:val="0"/>
            <w:vAlign w:val="top"/>
          </w:tcPr>
          <w:p w14:paraId="1A7A9D1F">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p>
          <w:p w14:paraId="2AA6A1BC">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谈判响应文件中的项目名称、项目编号、标段与本项目完全一致，且无遗漏。</w:t>
            </w:r>
          </w:p>
        </w:tc>
      </w:tr>
      <w:tr w14:paraId="4F90B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4" w:hRule="atLeast"/>
        </w:trPr>
        <w:tc>
          <w:tcPr>
            <w:tcW w:w="879" w:type="dxa"/>
            <w:noWrap w:val="0"/>
            <w:vAlign w:val="top"/>
          </w:tcPr>
          <w:p w14:paraId="10283FED">
            <w:pPr>
              <w:spacing w:line="257" w:lineRule="auto"/>
              <w:rPr>
                <w:rFonts w:hint="eastAsia" w:ascii="宋体" w:hAnsi="宋体" w:eastAsia="宋体" w:cs="宋体"/>
                <w:color w:val="auto"/>
              </w:rPr>
            </w:pPr>
          </w:p>
          <w:p w14:paraId="3D37C33C">
            <w:pPr>
              <w:spacing w:line="257" w:lineRule="auto"/>
              <w:rPr>
                <w:rFonts w:hint="eastAsia" w:ascii="宋体" w:hAnsi="宋体" w:eastAsia="宋体" w:cs="宋体"/>
                <w:color w:val="auto"/>
              </w:rPr>
            </w:pPr>
          </w:p>
          <w:p w14:paraId="61C8F1FA">
            <w:pPr>
              <w:spacing w:line="257" w:lineRule="auto"/>
              <w:rPr>
                <w:rFonts w:hint="eastAsia" w:ascii="宋体" w:hAnsi="宋体" w:eastAsia="宋体" w:cs="宋体"/>
                <w:color w:val="auto"/>
              </w:rPr>
            </w:pPr>
          </w:p>
          <w:p w14:paraId="1C90E9DE">
            <w:pPr>
              <w:spacing w:line="258" w:lineRule="auto"/>
              <w:rPr>
                <w:rFonts w:hint="eastAsia" w:ascii="宋体" w:hAnsi="宋体" w:eastAsia="宋体" w:cs="宋体"/>
                <w:color w:val="auto"/>
              </w:rPr>
            </w:pPr>
          </w:p>
          <w:p w14:paraId="5F24C041">
            <w:pPr>
              <w:spacing w:line="258" w:lineRule="auto"/>
              <w:rPr>
                <w:rFonts w:hint="eastAsia" w:ascii="宋体" w:hAnsi="宋体" w:eastAsia="宋体" w:cs="宋体"/>
                <w:color w:val="auto"/>
              </w:rPr>
            </w:pPr>
          </w:p>
          <w:p w14:paraId="2BE92132">
            <w:pPr>
              <w:spacing w:before="75" w:line="192" w:lineRule="auto"/>
              <w:ind w:left="389"/>
              <w:rPr>
                <w:rFonts w:hint="eastAsia" w:ascii="宋体" w:hAnsi="宋体" w:eastAsia="宋体" w:cs="宋体"/>
                <w:color w:val="auto"/>
                <w:sz w:val="23"/>
                <w:szCs w:val="23"/>
              </w:rPr>
            </w:pPr>
            <w:r>
              <w:rPr>
                <w:rFonts w:hint="eastAsia" w:ascii="宋体" w:hAnsi="宋体" w:eastAsia="宋体" w:cs="宋体"/>
                <w:color w:val="auto"/>
                <w:sz w:val="23"/>
                <w:szCs w:val="23"/>
              </w:rPr>
              <w:t>2</w:t>
            </w:r>
          </w:p>
        </w:tc>
        <w:tc>
          <w:tcPr>
            <w:tcW w:w="2849" w:type="dxa"/>
            <w:noWrap w:val="0"/>
            <w:vAlign w:val="top"/>
          </w:tcPr>
          <w:p w14:paraId="54F5A183">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p>
          <w:p w14:paraId="5AFA0D13">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p>
          <w:p w14:paraId="53467E54">
            <w:pPr>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u w:val="none"/>
              </w:rPr>
            </w:pPr>
          </w:p>
          <w:p w14:paraId="27CC25A9">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p>
          <w:p w14:paraId="12716451">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谈判响应文件组成</w:t>
            </w:r>
          </w:p>
        </w:tc>
        <w:tc>
          <w:tcPr>
            <w:tcW w:w="5562" w:type="dxa"/>
            <w:noWrap w:val="0"/>
            <w:vAlign w:val="top"/>
          </w:tcPr>
          <w:p w14:paraId="454CFEB7">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谈判响应文件应包含以下内容：</w:t>
            </w:r>
          </w:p>
          <w:p w14:paraId="1C8114F3">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(1) 响应函；</w:t>
            </w:r>
          </w:p>
          <w:p w14:paraId="7AF67DA0">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(2) 第一次谈判报价表、分项报价表 (竞争性谈判文件未作要求的除外) 、商务条款响应/偏离表；</w:t>
            </w:r>
            <w:r>
              <w:rPr>
                <w:rFonts w:hint="eastAsia" w:ascii="宋体" w:hAnsi="宋体" w:eastAsia="宋体" w:cs="宋体"/>
                <w:color w:val="auto"/>
                <w:kern w:val="0"/>
                <w:sz w:val="24"/>
                <w:szCs w:val="24"/>
                <w:u w:val="none"/>
                <w:lang w:val="en-US" w:eastAsia="zh-CN"/>
              </w:rPr>
              <w:t>技术</w:t>
            </w:r>
            <w:r>
              <w:rPr>
                <w:rFonts w:hint="eastAsia" w:ascii="宋体" w:hAnsi="宋体" w:eastAsia="宋体" w:cs="宋体"/>
                <w:color w:val="auto"/>
                <w:kern w:val="0"/>
                <w:sz w:val="24"/>
                <w:szCs w:val="24"/>
                <w:u w:val="none"/>
              </w:rPr>
              <w:t>条款响应/偏离表；</w:t>
            </w:r>
          </w:p>
          <w:p w14:paraId="4F0986E2">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(3) 资格证明文件；</w:t>
            </w:r>
          </w:p>
          <w:p w14:paraId="25F4A6D2">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(4) 供应商概况；</w:t>
            </w:r>
          </w:p>
          <w:p w14:paraId="695BC653">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(5) 供应商参加政府采购活动承诺书；</w:t>
            </w:r>
          </w:p>
          <w:p w14:paraId="75B2E3C8">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(6) 响应方案。</w:t>
            </w:r>
          </w:p>
        </w:tc>
      </w:tr>
      <w:tr w14:paraId="4C83A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79" w:type="dxa"/>
            <w:noWrap w:val="0"/>
            <w:vAlign w:val="top"/>
          </w:tcPr>
          <w:p w14:paraId="4A2EAD16">
            <w:pPr>
              <w:spacing w:before="215" w:line="190" w:lineRule="auto"/>
              <w:ind w:left="391"/>
              <w:rPr>
                <w:rFonts w:hint="eastAsia" w:ascii="宋体" w:hAnsi="宋体" w:eastAsia="宋体" w:cs="宋体"/>
                <w:color w:val="auto"/>
                <w:sz w:val="23"/>
                <w:szCs w:val="23"/>
              </w:rPr>
            </w:pPr>
            <w:r>
              <w:rPr>
                <w:rFonts w:hint="eastAsia" w:ascii="宋体" w:hAnsi="宋体" w:eastAsia="宋体" w:cs="宋体"/>
                <w:color w:val="auto"/>
                <w:sz w:val="23"/>
                <w:szCs w:val="23"/>
              </w:rPr>
              <w:t>3</w:t>
            </w:r>
          </w:p>
        </w:tc>
        <w:tc>
          <w:tcPr>
            <w:tcW w:w="2849" w:type="dxa"/>
            <w:noWrap w:val="0"/>
            <w:vAlign w:val="top"/>
          </w:tcPr>
          <w:p w14:paraId="41B42EAC">
            <w:pPr>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谈判响应文件签署、盖章</w:t>
            </w:r>
          </w:p>
        </w:tc>
        <w:tc>
          <w:tcPr>
            <w:tcW w:w="5562" w:type="dxa"/>
            <w:noWrap w:val="0"/>
            <w:vAlign w:val="top"/>
          </w:tcPr>
          <w:p w14:paraId="0819A1AE">
            <w:pPr>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签署、盖章符合谈判文件要求，且无遗漏。</w:t>
            </w:r>
          </w:p>
        </w:tc>
      </w:tr>
      <w:tr w14:paraId="0E6A9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79" w:type="dxa"/>
            <w:noWrap w:val="0"/>
            <w:vAlign w:val="top"/>
          </w:tcPr>
          <w:p w14:paraId="7D6281B2">
            <w:pPr>
              <w:spacing w:before="213" w:line="192" w:lineRule="auto"/>
              <w:ind w:left="385"/>
              <w:rPr>
                <w:rFonts w:hint="eastAsia" w:ascii="宋体" w:hAnsi="宋体" w:eastAsia="宋体" w:cs="宋体"/>
                <w:color w:val="auto"/>
                <w:sz w:val="23"/>
                <w:szCs w:val="23"/>
              </w:rPr>
            </w:pPr>
            <w:r>
              <w:rPr>
                <w:rFonts w:hint="eastAsia" w:ascii="宋体" w:hAnsi="宋体" w:eastAsia="宋体" w:cs="宋体"/>
                <w:color w:val="auto"/>
                <w:sz w:val="23"/>
                <w:szCs w:val="23"/>
              </w:rPr>
              <w:t>4</w:t>
            </w:r>
          </w:p>
        </w:tc>
        <w:tc>
          <w:tcPr>
            <w:tcW w:w="2849" w:type="dxa"/>
            <w:noWrap w:val="0"/>
            <w:vAlign w:val="top"/>
          </w:tcPr>
          <w:p w14:paraId="011F81E1">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谈判响应文件有效期</w:t>
            </w:r>
          </w:p>
        </w:tc>
        <w:tc>
          <w:tcPr>
            <w:tcW w:w="5562" w:type="dxa"/>
            <w:noWrap w:val="0"/>
            <w:vAlign w:val="center"/>
          </w:tcPr>
          <w:p w14:paraId="0BDDF20A">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符合谈判文件的要求。</w:t>
            </w:r>
          </w:p>
        </w:tc>
      </w:tr>
      <w:tr w14:paraId="51463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4" w:hRule="atLeast"/>
        </w:trPr>
        <w:tc>
          <w:tcPr>
            <w:tcW w:w="879" w:type="dxa"/>
            <w:noWrap w:val="0"/>
            <w:vAlign w:val="top"/>
          </w:tcPr>
          <w:p w14:paraId="2148C7EE">
            <w:pPr>
              <w:spacing w:before="252" w:line="189" w:lineRule="auto"/>
              <w:ind w:left="391"/>
              <w:rPr>
                <w:rFonts w:hint="eastAsia" w:ascii="宋体" w:hAnsi="宋体" w:eastAsia="宋体" w:cs="宋体"/>
                <w:color w:val="auto"/>
                <w:sz w:val="23"/>
                <w:szCs w:val="23"/>
              </w:rPr>
            </w:pPr>
            <w:r>
              <w:rPr>
                <w:rFonts w:hint="eastAsia" w:ascii="宋体" w:hAnsi="宋体" w:eastAsia="宋体" w:cs="宋体"/>
                <w:color w:val="auto"/>
                <w:sz w:val="23"/>
                <w:szCs w:val="23"/>
              </w:rPr>
              <w:t>5</w:t>
            </w:r>
          </w:p>
        </w:tc>
        <w:tc>
          <w:tcPr>
            <w:tcW w:w="2849" w:type="dxa"/>
            <w:noWrap w:val="0"/>
            <w:vAlign w:val="center"/>
          </w:tcPr>
          <w:p w14:paraId="7500119E">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谈判响应文件的语言及计量单位</w:t>
            </w:r>
          </w:p>
        </w:tc>
        <w:tc>
          <w:tcPr>
            <w:tcW w:w="5562" w:type="dxa"/>
            <w:noWrap w:val="0"/>
            <w:vAlign w:val="center"/>
          </w:tcPr>
          <w:p w14:paraId="259D099A">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均符合谈判文件的要求。</w:t>
            </w:r>
          </w:p>
        </w:tc>
      </w:tr>
      <w:tr w14:paraId="419A3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4" w:hRule="atLeast"/>
        </w:trPr>
        <w:tc>
          <w:tcPr>
            <w:tcW w:w="879" w:type="dxa"/>
            <w:noWrap w:val="0"/>
            <w:vAlign w:val="top"/>
          </w:tcPr>
          <w:p w14:paraId="3AF92787">
            <w:pPr>
              <w:spacing w:line="270" w:lineRule="auto"/>
              <w:rPr>
                <w:rFonts w:hint="eastAsia" w:ascii="宋体" w:hAnsi="宋体" w:eastAsia="宋体" w:cs="宋体"/>
                <w:color w:val="auto"/>
              </w:rPr>
            </w:pPr>
          </w:p>
          <w:p w14:paraId="3940102E">
            <w:pPr>
              <w:spacing w:line="271" w:lineRule="auto"/>
              <w:rPr>
                <w:rFonts w:hint="eastAsia" w:ascii="宋体" w:hAnsi="宋体" w:eastAsia="宋体" w:cs="宋体"/>
                <w:color w:val="auto"/>
              </w:rPr>
            </w:pPr>
          </w:p>
          <w:p w14:paraId="03B045A3">
            <w:pPr>
              <w:spacing w:line="271" w:lineRule="auto"/>
              <w:rPr>
                <w:rFonts w:hint="eastAsia" w:ascii="宋体" w:hAnsi="宋体" w:eastAsia="宋体" w:cs="宋体"/>
                <w:color w:val="auto"/>
              </w:rPr>
            </w:pPr>
          </w:p>
          <w:p w14:paraId="43671DD6">
            <w:pPr>
              <w:spacing w:before="75" w:line="190" w:lineRule="auto"/>
              <w:ind w:left="388"/>
              <w:rPr>
                <w:rFonts w:hint="eastAsia" w:ascii="宋体" w:hAnsi="宋体" w:eastAsia="宋体" w:cs="宋体"/>
                <w:color w:val="auto"/>
                <w:sz w:val="23"/>
                <w:szCs w:val="23"/>
              </w:rPr>
            </w:pPr>
            <w:r>
              <w:rPr>
                <w:rFonts w:hint="eastAsia" w:ascii="宋体" w:hAnsi="宋体" w:eastAsia="宋体" w:cs="宋体"/>
                <w:color w:val="auto"/>
                <w:sz w:val="23"/>
                <w:szCs w:val="23"/>
              </w:rPr>
              <w:t>6</w:t>
            </w:r>
          </w:p>
        </w:tc>
        <w:tc>
          <w:tcPr>
            <w:tcW w:w="2849" w:type="dxa"/>
            <w:noWrap w:val="0"/>
            <w:vAlign w:val="center"/>
          </w:tcPr>
          <w:p w14:paraId="1DFD27EA">
            <w:pPr>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u w:val="none"/>
              </w:rPr>
            </w:pPr>
          </w:p>
          <w:p w14:paraId="1F847772">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谈判报价</w:t>
            </w:r>
          </w:p>
        </w:tc>
        <w:tc>
          <w:tcPr>
            <w:tcW w:w="5562" w:type="dxa"/>
            <w:noWrap w:val="0"/>
            <w:vAlign w:val="top"/>
          </w:tcPr>
          <w:p w14:paraId="34F3C789">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同时满足以下条款：</w:t>
            </w:r>
          </w:p>
          <w:p w14:paraId="2D60F1C6">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(1) 谈判报价符合唯一性要求；</w:t>
            </w:r>
          </w:p>
          <w:p w14:paraId="629EDBA2">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(2) 第一次谈判报价表填写符合要求；</w:t>
            </w:r>
          </w:p>
          <w:p w14:paraId="2C323600">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(3) 报价货币符合竞争性谈判文件要求；</w:t>
            </w:r>
          </w:p>
          <w:p w14:paraId="27F6E73B">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(4) 未超出采购预算或竞争性谈判文件规定的最高限价。</w:t>
            </w:r>
          </w:p>
        </w:tc>
      </w:tr>
      <w:tr w14:paraId="60A8C7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879" w:type="dxa"/>
            <w:noWrap w:val="0"/>
            <w:vAlign w:val="top"/>
          </w:tcPr>
          <w:p w14:paraId="66BC75AC">
            <w:pPr>
              <w:spacing w:before="253" w:line="189" w:lineRule="auto"/>
              <w:ind w:left="392"/>
              <w:rPr>
                <w:rFonts w:hint="eastAsia" w:ascii="宋体" w:hAnsi="宋体" w:eastAsia="宋体" w:cs="宋体"/>
                <w:color w:val="auto"/>
                <w:sz w:val="23"/>
                <w:szCs w:val="23"/>
              </w:rPr>
            </w:pPr>
            <w:r>
              <w:rPr>
                <w:rFonts w:hint="eastAsia" w:ascii="宋体" w:hAnsi="宋体" w:eastAsia="宋体" w:cs="宋体"/>
                <w:color w:val="auto"/>
                <w:sz w:val="23"/>
                <w:szCs w:val="23"/>
              </w:rPr>
              <w:t>7</w:t>
            </w:r>
          </w:p>
        </w:tc>
        <w:tc>
          <w:tcPr>
            <w:tcW w:w="2849" w:type="dxa"/>
            <w:noWrap w:val="0"/>
            <w:vAlign w:val="center"/>
          </w:tcPr>
          <w:p w14:paraId="59DE1F8E">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p>
          <w:p w14:paraId="55BD30B5">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实质性条款响应</w:t>
            </w:r>
          </w:p>
        </w:tc>
        <w:tc>
          <w:tcPr>
            <w:tcW w:w="5562" w:type="dxa"/>
            <w:noWrap w:val="0"/>
            <w:vAlign w:val="top"/>
          </w:tcPr>
          <w:p w14:paraId="00A1057D">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lang w:eastAsia="zh-CN"/>
              </w:rPr>
            </w:pPr>
            <w:r>
              <w:rPr>
                <w:rFonts w:hint="eastAsia" w:ascii="宋体" w:hAnsi="宋体" w:eastAsia="宋体" w:cs="宋体"/>
                <w:color w:val="auto"/>
                <w:kern w:val="0"/>
                <w:sz w:val="24"/>
                <w:szCs w:val="24"/>
                <w:u w:val="none"/>
                <w:lang w:eastAsia="zh-CN"/>
              </w:rPr>
              <w:t>对竞争性谈判文件做出了实质性响应没有重大缺项漏项,无明显不符合技术规格、技术标 准的要求的。</w:t>
            </w:r>
          </w:p>
        </w:tc>
      </w:tr>
      <w:tr w14:paraId="3842BC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79" w:type="dxa"/>
            <w:noWrap w:val="0"/>
            <w:vAlign w:val="top"/>
          </w:tcPr>
          <w:p w14:paraId="02C6FDD7">
            <w:pPr>
              <w:spacing w:before="216" w:line="190" w:lineRule="auto"/>
              <w:ind w:left="387"/>
              <w:rPr>
                <w:rFonts w:hint="eastAsia" w:ascii="宋体" w:hAnsi="宋体" w:eastAsia="宋体" w:cs="宋体"/>
                <w:color w:val="auto"/>
                <w:sz w:val="23"/>
                <w:szCs w:val="23"/>
              </w:rPr>
            </w:pPr>
            <w:r>
              <w:rPr>
                <w:rFonts w:hint="eastAsia" w:ascii="宋体" w:hAnsi="宋体" w:eastAsia="宋体" w:cs="宋体"/>
                <w:color w:val="auto"/>
                <w:sz w:val="23"/>
                <w:szCs w:val="23"/>
              </w:rPr>
              <w:t>8</w:t>
            </w:r>
          </w:p>
        </w:tc>
        <w:tc>
          <w:tcPr>
            <w:tcW w:w="2849" w:type="dxa"/>
            <w:noWrap w:val="0"/>
            <w:vAlign w:val="center"/>
          </w:tcPr>
          <w:p w14:paraId="38789082">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p>
          <w:p w14:paraId="5D78273B">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合同条款</w:t>
            </w:r>
          </w:p>
        </w:tc>
        <w:tc>
          <w:tcPr>
            <w:tcW w:w="5562" w:type="dxa"/>
            <w:noWrap w:val="0"/>
            <w:vAlign w:val="top"/>
          </w:tcPr>
          <w:p w14:paraId="4D2880CC">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p>
          <w:p w14:paraId="46708C57">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完全理解并接受谈判文件合同基本条款的要求。</w:t>
            </w:r>
          </w:p>
        </w:tc>
      </w:tr>
      <w:tr w14:paraId="2AB32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4" w:hRule="atLeast"/>
        </w:trPr>
        <w:tc>
          <w:tcPr>
            <w:tcW w:w="879" w:type="dxa"/>
            <w:noWrap w:val="0"/>
            <w:vAlign w:val="top"/>
          </w:tcPr>
          <w:p w14:paraId="06DBC747">
            <w:pPr>
              <w:spacing w:line="247" w:lineRule="auto"/>
              <w:rPr>
                <w:rFonts w:hint="eastAsia" w:ascii="宋体" w:hAnsi="宋体" w:eastAsia="宋体" w:cs="宋体"/>
                <w:color w:val="auto"/>
              </w:rPr>
            </w:pPr>
          </w:p>
          <w:p w14:paraId="2531D532">
            <w:pPr>
              <w:spacing w:line="248" w:lineRule="auto"/>
              <w:rPr>
                <w:rFonts w:hint="eastAsia" w:ascii="宋体" w:hAnsi="宋体" w:eastAsia="宋体" w:cs="宋体"/>
                <w:color w:val="auto"/>
              </w:rPr>
            </w:pPr>
          </w:p>
          <w:p w14:paraId="56B7258E">
            <w:pPr>
              <w:spacing w:before="75" w:line="190" w:lineRule="auto"/>
              <w:ind w:left="387"/>
              <w:rPr>
                <w:rFonts w:hint="eastAsia" w:ascii="宋体" w:hAnsi="宋体" w:eastAsia="宋体" w:cs="宋体"/>
                <w:color w:val="auto"/>
                <w:sz w:val="23"/>
                <w:szCs w:val="23"/>
              </w:rPr>
            </w:pPr>
            <w:r>
              <w:rPr>
                <w:rFonts w:hint="eastAsia" w:ascii="宋体" w:hAnsi="宋体" w:eastAsia="宋体" w:cs="宋体"/>
                <w:color w:val="auto"/>
                <w:sz w:val="23"/>
                <w:szCs w:val="23"/>
              </w:rPr>
              <w:t>9</w:t>
            </w:r>
          </w:p>
        </w:tc>
        <w:tc>
          <w:tcPr>
            <w:tcW w:w="2849" w:type="dxa"/>
            <w:noWrap w:val="0"/>
            <w:vAlign w:val="center"/>
          </w:tcPr>
          <w:p w14:paraId="05A7B82C">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p>
          <w:p w14:paraId="6FA47BA4">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其他</w:t>
            </w:r>
          </w:p>
        </w:tc>
        <w:tc>
          <w:tcPr>
            <w:tcW w:w="5562" w:type="dxa"/>
            <w:noWrap w:val="0"/>
            <w:vAlign w:val="top"/>
          </w:tcPr>
          <w:p w14:paraId="773555BF">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完全理解并接受法律法规和谈判文件对供应商的 各项须知、规约要求和责任义务，没有出现法律法 规或谈判文件明确规定的其他被视为“无效响应” 的情形。</w:t>
            </w:r>
          </w:p>
        </w:tc>
      </w:tr>
      <w:tr w14:paraId="7EF42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879" w:type="dxa"/>
            <w:noWrap w:val="0"/>
            <w:vAlign w:val="top"/>
          </w:tcPr>
          <w:p w14:paraId="74C64928">
            <w:pPr>
              <w:spacing w:before="214" w:line="191" w:lineRule="auto"/>
              <w:rPr>
                <w:rFonts w:hint="eastAsia" w:ascii="宋体" w:hAnsi="宋体" w:eastAsia="宋体" w:cs="宋体"/>
                <w:color w:val="auto"/>
                <w:spacing w:val="-10"/>
                <w:sz w:val="23"/>
                <w:szCs w:val="23"/>
              </w:rPr>
            </w:pPr>
          </w:p>
          <w:p w14:paraId="25810165">
            <w:pPr>
              <w:spacing w:before="214" w:line="191" w:lineRule="auto"/>
              <w:ind w:firstLine="210" w:firstLineChars="100"/>
              <w:rPr>
                <w:rFonts w:hint="eastAsia" w:ascii="宋体" w:hAnsi="宋体" w:eastAsia="宋体" w:cs="宋体"/>
                <w:color w:val="auto"/>
                <w:sz w:val="23"/>
                <w:szCs w:val="23"/>
              </w:rPr>
            </w:pPr>
            <w:r>
              <w:rPr>
                <w:rFonts w:hint="eastAsia" w:ascii="宋体" w:hAnsi="宋体" w:eastAsia="宋体" w:cs="宋体"/>
                <w:color w:val="auto"/>
                <w:spacing w:val="-10"/>
                <w:sz w:val="23"/>
                <w:szCs w:val="23"/>
              </w:rPr>
              <w:t>1</w:t>
            </w:r>
            <w:r>
              <w:rPr>
                <w:rFonts w:hint="eastAsia" w:ascii="宋体" w:hAnsi="宋体" w:eastAsia="宋体" w:cs="宋体"/>
                <w:color w:val="auto"/>
                <w:spacing w:val="-8"/>
                <w:sz w:val="23"/>
                <w:szCs w:val="23"/>
              </w:rPr>
              <w:t>0</w:t>
            </w:r>
          </w:p>
        </w:tc>
        <w:tc>
          <w:tcPr>
            <w:tcW w:w="2849" w:type="dxa"/>
            <w:noWrap w:val="0"/>
            <w:vAlign w:val="center"/>
          </w:tcPr>
          <w:p w14:paraId="66EB74AA">
            <w:pPr>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u w:val="none"/>
              </w:rPr>
            </w:pPr>
          </w:p>
          <w:p w14:paraId="67AD1473">
            <w:pPr>
              <w:pageBreakBefore w:val="0"/>
              <w:widowControl/>
              <w:kinsoku/>
              <w:wordWrap/>
              <w:overflowPunct/>
              <w:topLinePunct w:val="0"/>
              <w:autoSpaceDE/>
              <w:autoSpaceDN/>
              <w:bidi w:val="0"/>
              <w:adjustRightInd/>
              <w:snapToGrid/>
              <w:spacing w:line="360" w:lineRule="auto"/>
              <w:ind w:firstLine="960" w:firstLineChars="400"/>
              <w:jc w:val="both"/>
              <w:textAlignment w:val="auto"/>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lang w:val="en-US" w:eastAsia="zh-CN"/>
              </w:rPr>
              <w:t>响应</w:t>
            </w:r>
            <w:r>
              <w:rPr>
                <w:rFonts w:hint="eastAsia" w:ascii="宋体" w:hAnsi="宋体" w:eastAsia="宋体" w:cs="宋体"/>
                <w:color w:val="auto"/>
                <w:kern w:val="0"/>
                <w:sz w:val="24"/>
                <w:szCs w:val="24"/>
                <w:u w:val="none"/>
              </w:rPr>
              <w:t>方案</w:t>
            </w:r>
          </w:p>
        </w:tc>
        <w:tc>
          <w:tcPr>
            <w:tcW w:w="5562" w:type="dxa"/>
            <w:noWrap w:val="0"/>
            <w:vAlign w:val="top"/>
          </w:tcPr>
          <w:p w14:paraId="4540F29F">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u w:val="none"/>
                <w:lang w:eastAsia="zh-CN"/>
              </w:rPr>
            </w:pPr>
            <w:r>
              <w:rPr>
                <w:rFonts w:hint="eastAsia" w:ascii="宋体" w:hAnsi="宋体" w:eastAsia="宋体" w:cs="宋体"/>
                <w:color w:val="auto"/>
                <w:kern w:val="0"/>
                <w:sz w:val="24"/>
                <w:szCs w:val="24"/>
                <w:u w:val="none"/>
                <w:lang w:val="en-US" w:eastAsia="zh-CN"/>
              </w:rPr>
              <w:t>响应</w:t>
            </w:r>
            <w:r>
              <w:rPr>
                <w:rFonts w:hint="eastAsia" w:ascii="宋体" w:hAnsi="宋体" w:eastAsia="宋体" w:cs="宋体"/>
                <w:color w:val="auto"/>
                <w:kern w:val="0"/>
                <w:sz w:val="24"/>
                <w:szCs w:val="24"/>
                <w:u w:val="none"/>
              </w:rPr>
              <w:t>方案切合实际，针对本项目的采购需求编写</w:t>
            </w:r>
            <w:r>
              <w:rPr>
                <w:rFonts w:hint="eastAsia" w:ascii="宋体" w:hAnsi="宋体" w:eastAsia="宋体" w:cs="宋体"/>
                <w:color w:val="auto"/>
                <w:kern w:val="0"/>
                <w:sz w:val="24"/>
                <w:szCs w:val="24"/>
                <w:u w:val="none"/>
                <w:lang w:val="en-US" w:eastAsia="zh-CN"/>
              </w:rPr>
              <w:t>响应</w:t>
            </w:r>
            <w:r>
              <w:rPr>
                <w:rFonts w:hint="eastAsia" w:ascii="宋体" w:hAnsi="宋体" w:eastAsia="宋体" w:cs="宋体"/>
                <w:color w:val="auto"/>
                <w:kern w:val="0"/>
                <w:sz w:val="24"/>
                <w:szCs w:val="24"/>
                <w:u w:val="none"/>
              </w:rPr>
              <w:t>方案至少包括</w:t>
            </w:r>
            <w:r>
              <w:rPr>
                <w:rFonts w:hint="eastAsia" w:ascii="宋体" w:hAnsi="宋体" w:eastAsia="宋体" w:cs="宋体"/>
                <w:i w:val="0"/>
                <w:iCs w:val="0"/>
                <w:color w:val="auto"/>
                <w:kern w:val="0"/>
                <w:sz w:val="24"/>
                <w:szCs w:val="24"/>
                <w:u w:val="none"/>
                <w:lang w:val="en-US" w:eastAsia="zh-CN" w:bidi="ar"/>
              </w:rPr>
              <w:t>1.</w:t>
            </w:r>
            <w:r>
              <w:rPr>
                <w:rFonts w:hint="eastAsia" w:hAnsi="宋体" w:cs="宋体"/>
                <w:i w:val="0"/>
                <w:iCs w:val="0"/>
                <w:color w:val="auto"/>
                <w:kern w:val="0"/>
                <w:sz w:val="24"/>
                <w:szCs w:val="24"/>
                <w:u w:val="none"/>
                <w:lang w:val="en-US" w:eastAsia="zh-CN" w:bidi="ar"/>
              </w:rPr>
              <w:t>设备</w:t>
            </w:r>
            <w:r>
              <w:rPr>
                <w:rFonts w:hint="eastAsia" w:ascii="宋体" w:hAnsi="宋体" w:eastAsia="宋体" w:cs="宋体"/>
                <w:snapToGrid w:val="0"/>
                <w:color w:val="auto"/>
                <w:sz w:val="24"/>
                <w:szCs w:val="24"/>
              </w:rPr>
              <w:t>技术参数要求</w:t>
            </w:r>
            <w:r>
              <w:rPr>
                <w:rFonts w:hint="eastAsia" w:hAnsi="宋体" w:cs="宋体"/>
                <w:i w:val="0"/>
                <w:iCs w:val="0"/>
                <w:color w:val="auto"/>
                <w:kern w:val="0"/>
                <w:sz w:val="24"/>
                <w:szCs w:val="24"/>
                <w:u w:val="none"/>
                <w:lang w:val="en-US" w:eastAsia="zh-CN" w:bidi="ar"/>
              </w:rPr>
              <w:t>2</w:t>
            </w:r>
            <w:r>
              <w:rPr>
                <w:rFonts w:hint="eastAsia" w:ascii="宋体" w:hAnsi="宋体" w:eastAsia="宋体" w:cs="宋体"/>
                <w:i w:val="0"/>
                <w:iCs w:val="0"/>
                <w:color w:val="auto"/>
                <w:kern w:val="0"/>
                <w:sz w:val="24"/>
                <w:szCs w:val="24"/>
                <w:u w:val="none"/>
                <w:lang w:val="en-US" w:eastAsia="zh-CN" w:bidi="ar"/>
              </w:rPr>
              <w:t>.投标产品符合项目需求且设备技术参数满足，产品整体功能和性能满足技术要求、产品有详细的使用说明介绍，符合相关国家标准和行业标准，3.</w:t>
            </w:r>
            <w:r>
              <w:rPr>
                <w:rFonts w:hint="eastAsia" w:ascii="宋体" w:hAnsi="宋体" w:eastAsia="宋体" w:cs="宋体"/>
                <w:snapToGrid w:val="0"/>
                <w:color w:val="auto"/>
                <w:sz w:val="24"/>
                <w:szCs w:val="24"/>
              </w:rPr>
              <w:t>项目进度安排</w:t>
            </w:r>
            <w:r>
              <w:rPr>
                <w:rFonts w:hint="eastAsia" w:ascii="宋体" w:hAnsi="宋体" w:eastAsia="宋体" w:cs="宋体"/>
                <w:color w:val="auto"/>
                <w:kern w:val="0"/>
                <w:sz w:val="24"/>
                <w:szCs w:val="24"/>
                <w:u w:val="none"/>
                <w:lang w:val="en-US" w:eastAsia="zh-CN"/>
              </w:rPr>
              <w:t>服务方案的完整性和可操作性。4.</w:t>
            </w:r>
            <w:r>
              <w:rPr>
                <w:rFonts w:hint="eastAsia" w:hAnsi="宋体" w:cs="宋体"/>
                <w:color w:val="auto"/>
                <w:sz w:val="24"/>
                <w:szCs w:val="24"/>
                <w:lang w:eastAsia="zh-CN" w:bidi="ar"/>
              </w:rPr>
              <w:t>供货方案（</w:t>
            </w:r>
            <w:r>
              <w:rPr>
                <w:rFonts w:hint="eastAsia" w:ascii="宋体" w:hAnsi="宋体" w:eastAsia="宋体" w:cs="宋体"/>
                <w:color w:val="auto"/>
                <w:sz w:val="24"/>
                <w:szCs w:val="24"/>
                <w:lang w:bidi="ar"/>
              </w:rPr>
              <w:t>对投标人提供的供货方案进行综合评价，其中包括但不限于：①货物筹备方案；②货物配送进度计划；③货物配送具体方案措施；④货物交接具体方案；⑤到货后仓储保障措施</w:t>
            </w:r>
            <w:r>
              <w:rPr>
                <w:rFonts w:hint="eastAsia" w:hAnsi="宋体" w:cs="宋体"/>
                <w:color w:val="auto"/>
                <w:sz w:val="24"/>
                <w:szCs w:val="24"/>
                <w:lang w:eastAsia="zh-CN" w:bidi="ar"/>
              </w:rPr>
              <w:t>）</w:t>
            </w:r>
            <w:r>
              <w:rPr>
                <w:rFonts w:hint="eastAsia" w:ascii="宋体" w:hAnsi="宋体" w:eastAsia="宋体" w:cs="宋体"/>
                <w:color w:val="auto"/>
                <w:kern w:val="0"/>
                <w:sz w:val="24"/>
                <w:szCs w:val="24"/>
                <w:u w:val="none"/>
              </w:rPr>
              <w:t>。</w:t>
            </w:r>
            <w:r>
              <w:rPr>
                <w:rFonts w:hint="eastAsia" w:ascii="宋体" w:hAnsi="宋体" w:eastAsia="宋体" w:cs="宋体"/>
                <w:color w:val="auto"/>
                <w:kern w:val="0"/>
                <w:sz w:val="24"/>
                <w:szCs w:val="24"/>
                <w:u w:val="none"/>
                <w:lang w:val="en-US" w:eastAsia="zh-CN"/>
              </w:rPr>
              <w:t>5.</w:t>
            </w:r>
            <w:r>
              <w:rPr>
                <w:rFonts w:hint="eastAsia" w:ascii="宋体" w:hAnsi="宋体" w:eastAsia="宋体" w:cs="宋体"/>
                <w:color w:val="auto"/>
                <w:sz w:val="24"/>
                <w:szCs w:val="24"/>
                <w:lang w:bidi="ar"/>
              </w:rPr>
              <w:t>应急预案及措施</w:t>
            </w:r>
            <w:r>
              <w:rPr>
                <w:rFonts w:hint="eastAsia" w:ascii="宋体" w:hAnsi="宋体" w:eastAsia="宋体" w:cs="宋体"/>
                <w:color w:val="auto"/>
                <w:sz w:val="24"/>
                <w:szCs w:val="24"/>
                <w:lang w:eastAsia="zh-CN" w:bidi="ar"/>
              </w:rPr>
              <w:t>。</w:t>
            </w:r>
          </w:p>
        </w:tc>
      </w:tr>
    </w:tbl>
    <w:p w14:paraId="64BFB3B8">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kern w:val="0"/>
          <w:sz w:val="24"/>
        </w:rPr>
      </w:pPr>
      <w:r>
        <w:rPr>
          <w:rFonts w:hint="eastAsia" w:ascii="宋体" w:hAnsi="宋体" w:eastAsia="宋体" w:cs="宋体"/>
          <w:b/>
          <w:bCs/>
          <w:kern w:val="0"/>
          <w:sz w:val="24"/>
        </w:rPr>
        <w:t>一．评审方法</w:t>
      </w:r>
    </w:p>
    <w:p w14:paraId="786D901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lang w:val="en-US" w:eastAsia="zh-CN"/>
        </w:rPr>
        <w:t>1、</w:t>
      </w:r>
      <w:r>
        <w:rPr>
          <w:rFonts w:hint="eastAsia" w:ascii="宋体" w:hAnsi="宋体" w:eastAsia="宋体" w:cs="宋体"/>
          <w:kern w:val="0"/>
          <w:sz w:val="24"/>
        </w:rPr>
        <w:t>按照中华人民共和国财政部令第74号--《政府采购非招标采购方式管理办法》的规定，本次评审采用最低评标价法，即质量和服务均能满足谈判文件要求的</w:t>
      </w:r>
      <w:r>
        <w:rPr>
          <w:rFonts w:hint="eastAsia" w:ascii="宋体" w:hAnsi="宋体" w:eastAsia="宋体" w:cs="宋体"/>
          <w:kern w:val="0"/>
          <w:sz w:val="24"/>
          <w:lang w:eastAsia="zh-CN"/>
        </w:rPr>
        <w:t>供应商</w:t>
      </w:r>
      <w:r>
        <w:rPr>
          <w:rFonts w:hint="eastAsia" w:ascii="宋体" w:hAnsi="宋体" w:eastAsia="宋体" w:cs="宋体"/>
          <w:kern w:val="0"/>
          <w:sz w:val="24"/>
        </w:rPr>
        <w:t>中，按照最后报价由低到高的顺序依次排序，推荐成交候选人。</w:t>
      </w:r>
    </w:p>
    <w:p w14:paraId="77AF99CF">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二．评审程序</w:t>
      </w:r>
    </w:p>
    <w:p w14:paraId="7548A05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2.1 评审程序：实行步骤评审制，前一步骤评审不合格的供应商，不再进入下一步骤的评审。</w:t>
      </w:r>
    </w:p>
    <w:p w14:paraId="6C062CE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bookmarkStart w:id="71" w:name="_Toc1097"/>
      <w:r>
        <w:rPr>
          <w:rFonts w:hint="eastAsia" w:ascii="宋体" w:hAnsi="宋体" w:eastAsia="宋体" w:cs="宋体"/>
          <w:kern w:val="0"/>
          <w:sz w:val="24"/>
          <w:szCs w:val="24"/>
        </w:rPr>
        <w:t>2.2 步骤程序</w:t>
      </w:r>
      <w:bookmarkEnd w:id="71"/>
    </w:p>
    <w:p w14:paraId="4EDF17C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2.2.1 谈判响应文件的资格性检查 (由代理机构协助采购人在投标供应商投标文件解密成功开标结束后进行审查)</w:t>
      </w:r>
    </w:p>
    <w:p w14:paraId="0AEB4D9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按照资审、符合性审查、谈判、最终报价推荐成交候选单位等步骤进行评审，资格性审查由采购人和代理机构共同审查，符合性审查由谈判小组审查。在上一步评审中被废标者，不进入下一步的评审。</w:t>
      </w:r>
    </w:p>
    <w:p w14:paraId="0C87452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2.2.2 谈判响应文件的符合性检查</w:t>
      </w:r>
    </w:p>
    <w:p w14:paraId="19D5890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lang w:val="en-US" w:eastAsia="zh-CN"/>
        </w:rPr>
      </w:pPr>
      <w:r>
        <w:rPr>
          <w:rFonts w:hint="eastAsia" w:ascii="宋体" w:hAnsi="宋体" w:eastAsia="宋体" w:cs="宋体"/>
          <w:kern w:val="0"/>
          <w:sz w:val="24"/>
          <w:szCs w:val="24"/>
        </w:rPr>
        <w:t>谈判小组依据竞争性谈判文件的规定，对谈判响应文件的有效性、完整性和对竞争性谈判文件的响应程度进行审查，以确定是否对竞争性谈判文件的全部实质性要求做出响应。谈判小组要审查每份谈判响应文件是否实质上响应了竞争性谈判文件的要求。实质上没有响应竞争性谈判文件要求的投标作无效投标处理。谈判小组应告知有关供应商未通过审查的原因，供应商不得通过修正或撤销不符之处而使其成为实质上响应。</w:t>
      </w:r>
    </w:p>
    <w:p w14:paraId="7809638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2.2.3 谈判及澄清有关问题</w:t>
      </w:r>
    </w:p>
    <w:p w14:paraId="39C2E59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对谈判响应文件中含义不明确、同类问题表述不一致或者有明显文字和计算错误的内容，谈判小组可以要求供应商作出必要的澄清、说明或者纠正。供应商的澄清、说明或者补正应当采用书面形式，由其授权代表签字。并不得超出谈判响应文件的范围或者改变谈判响应文件的实质性内容。供应商在规定的澄清时限 (期限) 内，未能答复或者拒绝答复澄清、说明或者补正内容的，谈判小组将根据其谈判响应文件，按最 大采购风险进行评审。</w:t>
      </w:r>
    </w:p>
    <w:p w14:paraId="4334828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2.2.4 谈判小组集中与初审合格的供应商单一进行谈判。</w:t>
      </w:r>
    </w:p>
    <w:p w14:paraId="2B5E1FB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2.2.5 供应商根据谈判小组提供的竞争性谈判文件变动内容及要求提供承诺与澄清说明。</w:t>
      </w:r>
    </w:p>
    <w:p w14:paraId="5760C13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2.2.6 最终报价</w:t>
      </w:r>
    </w:p>
    <w:p w14:paraId="01DBB7A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2.2.6.1 竞争性谈判文件能够详细列明采购标的技术、服务要求的，谈判结束后，所有通过资格性审查和符合性审查供应商进入最终报价阶段。在规定时间(系统默认二次报价时间为20分钟) 内提交最终报价，最终报价是供应商谈判响应文件的有效组成部分。  (最终报价相同时，可进行多次报价)</w:t>
      </w:r>
    </w:p>
    <w:p w14:paraId="54A3103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2.2.6.2 竞争性谈判文件不能详细列明采购标的技术、服务要求，需经谈判由供应商提供最终实施方案或解决方案的，谈判结束后，谈判小组应当按照少数服从多数的原则投票推荐 3 家以上供应商的实施方案或者解决方案，并要求其在规定时间内提交最终报价。</w:t>
      </w:r>
    </w:p>
    <w:p w14:paraId="650515E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2.2.6.3 供应商应使用 CA 锁在自带电脑上登录全国公共资源交易中心平台 (陕西省) (http://xxxq.sxggzyiy.cn/)上选择“电子交易平台一政府采购交易系统一企业 端”进行登录，登录后选择“交易乙方”身份进入，进入菜单“采购业务-我的项目- 项目流程-网上报价。对第一成交候选供应商的最终报价出现明显低于或高于同业同期市场平均价的情形时，谈判小组应当在评审意见中详细说明推荐理由。</w:t>
      </w:r>
    </w:p>
    <w:p w14:paraId="586D17D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2.2.7 价格折扣 </w:t>
      </w:r>
    </w:p>
    <w:p w14:paraId="5CAF626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2.2.7.1 对参与谈判且符合《陕西省财政厅关于落实政府采购支持中小企业政策有关事项的通知》(陕财办采函〔2022〕10 号) 榆林市财政局关于转发《陕西省财政厅关于落实政府采购支持中小企业政策有关事项的通知》榆政财采发〔2022〕16 号) 《榆林市财政局关于进一步加大政府采购支持中小企业力度的通知》(榆政财采发〔2022〕10 号)《陕西省财政厅关于进一步加大政府采购支持中小企业力度的通知》 陕财办采〔2022〕5 号) 的小微企业报价给予20%的扣除，用扣除后的价格参加评审。 货物服务采购项目联合协议或者分包意向协议约定小微企业的合同金额占到合同的30%以上的，对联合体或者大中型企业的报价给予 6%的扣除，用扣除后的价格参加评审。专门面向中小企业采购的项目或者采购包，不再执行价格评审优惠的扶持政策。</w:t>
      </w:r>
    </w:p>
    <w:p w14:paraId="70938C3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2.2.7.2 谈判小组应审查供应商是否具备“落实政府采购政策”的资格，如不符 合相关文件要求或供应商未提供相关声明，供应商不可以享受价格折扣优惠政策。</w:t>
      </w:r>
    </w:p>
    <w:p w14:paraId="4AEE9AB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2.2.7.3 供应商按照《政府采购促进中小企业发展管理办法》规定提供声明函内 容不实的，属于提供虚假材料谋取中标、成交，依照《中华人民共和国政府采购法》 等国家有关规定追究相应责任。适用招标投标法的政府采购工程建设项目，</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按照本办法规定提供声明函内容不实的，属于弄虚作假骗取中标，依照《中华人民共和国招标投标法》等国家有关规定追究相应责任。</w:t>
      </w:r>
    </w:p>
    <w:p w14:paraId="431B19A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2.2.8 采用最低评标价法：对于经初审合格的所有供应商，由谈判小组各成员依据其谈判响应文件，从产品质量及售后服务和能力均能满足竞争性谈判文件要求的供应商中，按上述“2.2.7 价格折扣”规则对最后报价做必要的价格扣除，按扣除后的价格由低到高的顺序推荐三名成交候选人，扣除后的价格只用做推荐成交候选人，最终的成交价格以供应商的最终报价为准。</w:t>
      </w:r>
    </w:p>
    <w:p w14:paraId="2CFE492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2.2.9 谈判小组一致认为最终报价明显不合理或者低于成本，无法保证质量和不能诚信履约时，可按无效谈判处理。</w:t>
      </w:r>
    </w:p>
    <w:p w14:paraId="0D6D0A9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2.2.10 编写评审报告</w:t>
      </w:r>
    </w:p>
    <w:p w14:paraId="15A76C1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2.2.10.1 应根据全体谈判小组成员签字的原始评标记录和评审结果编写评审报告。评审报告应包括：谈判公告刊登的媒体名称、开标日期和地点；供应商名单和谈判小组成员名单；评标方法和标准；开标记录和评审情况及说明</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包括无效供应商名单及原因；评审结果，确定的成交候选人名单或者经采购人委托直接确定的成交人；其他需要说明的情况，包括评审过程中供应商根据谈判小组要求进行的澄清、说明或 者补正，谈判小组成员的更换等。</w:t>
      </w:r>
    </w:p>
    <w:p w14:paraId="25800AA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2.2.10.2 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p>
    <w:p w14:paraId="4D47755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2.2.10.3 谈判小组向采购人提出评审报告，并推荐一至三名成交候选人，标明排列顺序。</w:t>
      </w:r>
    </w:p>
    <w:p w14:paraId="09523D9F">
      <w:pPr>
        <w:spacing w:before="124" w:line="355" w:lineRule="auto"/>
        <w:ind w:left="27" w:right="39" w:firstLine="477"/>
        <w:rPr>
          <w:rFonts w:ascii="宋体" w:hAnsi="宋体" w:eastAsia="宋体" w:cs="宋体"/>
          <w:sz w:val="24"/>
          <w:szCs w:val="24"/>
        </w:rPr>
      </w:pPr>
      <w:r>
        <w:rPr>
          <w:rFonts w:ascii="宋体" w:hAnsi="宋体" w:eastAsia="宋体" w:cs="宋体"/>
          <w:spacing w:val="2"/>
          <w:sz w:val="24"/>
          <w:szCs w:val="24"/>
        </w:rPr>
        <w:t>监狱和戒毒企业须提供由省级以上监狱管理局、戒毒管理局</w:t>
      </w:r>
      <w:r>
        <w:rPr>
          <w:rFonts w:ascii="Calibri" w:hAnsi="Calibri" w:eastAsia="Calibri" w:cs="Calibri"/>
          <w:spacing w:val="2"/>
          <w:sz w:val="24"/>
          <w:szCs w:val="24"/>
        </w:rPr>
        <w:t>(</w:t>
      </w:r>
      <w:r>
        <w:rPr>
          <w:rFonts w:ascii="宋体" w:hAnsi="宋体" w:eastAsia="宋体" w:cs="宋体"/>
          <w:spacing w:val="2"/>
          <w:sz w:val="24"/>
          <w:szCs w:val="24"/>
        </w:rPr>
        <w:t>含新</w:t>
      </w:r>
      <w:r>
        <w:rPr>
          <w:rFonts w:ascii="宋体" w:hAnsi="宋体" w:eastAsia="宋体" w:cs="宋体"/>
          <w:spacing w:val="1"/>
          <w:sz w:val="24"/>
          <w:szCs w:val="24"/>
        </w:rPr>
        <w:t>疆生产建</w:t>
      </w:r>
      <w:r>
        <w:rPr>
          <w:rFonts w:ascii="宋体" w:hAnsi="宋体" w:eastAsia="宋体" w:cs="宋体"/>
          <w:sz w:val="24"/>
          <w:szCs w:val="24"/>
        </w:rPr>
        <w:t xml:space="preserve"> </w:t>
      </w:r>
      <w:r>
        <w:rPr>
          <w:rFonts w:ascii="宋体" w:hAnsi="宋体" w:eastAsia="宋体" w:cs="宋体"/>
          <w:spacing w:val="-1"/>
          <w:sz w:val="24"/>
          <w:szCs w:val="24"/>
        </w:rPr>
        <w:t>设兵团</w:t>
      </w:r>
      <w:r>
        <w:rPr>
          <w:rFonts w:ascii="Calibri" w:hAnsi="Calibri" w:eastAsia="Calibri" w:cs="Calibri"/>
          <w:spacing w:val="-1"/>
          <w:sz w:val="24"/>
          <w:szCs w:val="24"/>
        </w:rPr>
        <w:t>)</w:t>
      </w:r>
      <w:r>
        <w:rPr>
          <w:rFonts w:ascii="宋体" w:hAnsi="宋体" w:eastAsia="宋体" w:cs="宋体"/>
          <w:spacing w:val="-1"/>
          <w:sz w:val="24"/>
          <w:szCs w:val="24"/>
        </w:rPr>
        <w:t>出具的属于监狱企业的证明文件。</w:t>
      </w:r>
    </w:p>
    <w:p w14:paraId="180A639C">
      <w:pPr>
        <w:spacing w:before="7" w:line="352" w:lineRule="auto"/>
        <w:ind w:left="22" w:firstLine="480"/>
        <w:rPr>
          <w:rFonts w:ascii="宋体" w:hAnsi="宋体" w:eastAsia="宋体" w:cs="宋体"/>
          <w:sz w:val="24"/>
          <w:szCs w:val="24"/>
        </w:rPr>
      </w:pPr>
      <w:r>
        <w:rPr>
          <w:rFonts w:ascii="宋体" w:hAnsi="宋体" w:eastAsia="宋体" w:cs="宋体"/>
          <w:spacing w:val="-5"/>
          <w:sz w:val="24"/>
          <w:szCs w:val="24"/>
        </w:rPr>
        <w:t>根据《财政部</w:t>
      </w:r>
      <w:r>
        <w:rPr>
          <w:rFonts w:ascii="宋体" w:hAnsi="宋体" w:eastAsia="宋体" w:cs="宋体"/>
          <w:spacing w:val="33"/>
          <w:sz w:val="24"/>
          <w:szCs w:val="24"/>
        </w:rPr>
        <w:t xml:space="preserve"> </w:t>
      </w:r>
      <w:r>
        <w:rPr>
          <w:rFonts w:ascii="宋体" w:hAnsi="宋体" w:eastAsia="宋体" w:cs="宋体"/>
          <w:spacing w:val="-5"/>
          <w:sz w:val="24"/>
          <w:szCs w:val="24"/>
        </w:rPr>
        <w:t>民政部</w:t>
      </w:r>
      <w:r>
        <w:rPr>
          <w:rFonts w:ascii="宋体" w:hAnsi="宋体" w:eastAsia="宋体" w:cs="宋体"/>
          <w:spacing w:val="32"/>
          <w:sz w:val="24"/>
          <w:szCs w:val="24"/>
        </w:rPr>
        <w:t xml:space="preserve"> </w:t>
      </w:r>
      <w:r>
        <w:rPr>
          <w:rFonts w:ascii="宋体" w:hAnsi="宋体" w:eastAsia="宋体" w:cs="宋体"/>
          <w:spacing w:val="-5"/>
          <w:sz w:val="24"/>
          <w:szCs w:val="24"/>
        </w:rPr>
        <w:t>中国残疾人联合会关于促进残疾</w:t>
      </w:r>
      <w:r>
        <w:rPr>
          <w:rFonts w:ascii="宋体" w:hAnsi="宋体" w:eastAsia="宋体" w:cs="宋体"/>
          <w:spacing w:val="-6"/>
          <w:sz w:val="24"/>
          <w:szCs w:val="24"/>
        </w:rPr>
        <w:t>人就业政府采购政策</w:t>
      </w:r>
      <w:r>
        <w:rPr>
          <w:rFonts w:ascii="宋体" w:hAnsi="宋体" w:eastAsia="宋体" w:cs="宋体"/>
          <w:sz w:val="24"/>
          <w:szCs w:val="24"/>
        </w:rPr>
        <w:t xml:space="preserve"> </w:t>
      </w:r>
      <w:r>
        <w:rPr>
          <w:rFonts w:ascii="宋体" w:hAnsi="宋体" w:eastAsia="宋体" w:cs="宋体"/>
          <w:spacing w:val="-8"/>
          <w:sz w:val="24"/>
          <w:szCs w:val="24"/>
        </w:rPr>
        <w:t>的通知》（财库〔</w:t>
      </w:r>
      <w:r>
        <w:rPr>
          <w:rFonts w:ascii="Calibri" w:hAnsi="Calibri" w:eastAsia="Calibri" w:cs="Calibri"/>
          <w:spacing w:val="-8"/>
          <w:sz w:val="24"/>
          <w:szCs w:val="24"/>
        </w:rPr>
        <w:t>2017</w:t>
      </w:r>
      <w:r>
        <w:rPr>
          <w:rFonts w:ascii="宋体" w:hAnsi="宋体" w:eastAsia="宋体" w:cs="宋体"/>
          <w:spacing w:val="-8"/>
          <w:sz w:val="24"/>
          <w:szCs w:val="24"/>
        </w:rPr>
        <w:t>〕，符合条件的残疾人福利性单位在参加政府</w:t>
      </w:r>
      <w:r>
        <w:rPr>
          <w:rFonts w:ascii="宋体" w:hAnsi="宋体" w:eastAsia="宋体" w:cs="宋体"/>
          <w:spacing w:val="-9"/>
          <w:sz w:val="24"/>
          <w:szCs w:val="24"/>
        </w:rPr>
        <w:t>采购活动时，</w:t>
      </w:r>
      <w:r>
        <w:rPr>
          <w:rFonts w:ascii="宋体" w:hAnsi="宋体" w:eastAsia="宋体" w:cs="宋体"/>
          <w:sz w:val="24"/>
          <w:szCs w:val="24"/>
        </w:rPr>
        <w:t xml:space="preserve"> </w:t>
      </w:r>
      <w:r>
        <w:rPr>
          <w:rFonts w:ascii="宋体" w:hAnsi="宋体" w:eastAsia="宋体" w:cs="宋体"/>
          <w:spacing w:val="-4"/>
          <w:sz w:val="24"/>
          <w:szCs w:val="24"/>
        </w:rPr>
        <w:t>应当提供本通知规定的《残疾人福利性单位声</w:t>
      </w:r>
      <w:r>
        <w:rPr>
          <w:rFonts w:ascii="宋体" w:hAnsi="宋体" w:eastAsia="宋体" w:cs="宋体"/>
          <w:spacing w:val="-5"/>
          <w:sz w:val="24"/>
          <w:szCs w:val="24"/>
        </w:rPr>
        <w:t>明函》（见附件</w:t>
      </w:r>
      <w:r>
        <w:rPr>
          <w:rFonts w:ascii="宋体" w:hAnsi="宋体" w:eastAsia="宋体" w:cs="宋体"/>
          <w:spacing w:val="-53"/>
          <w:sz w:val="24"/>
          <w:szCs w:val="24"/>
        </w:rPr>
        <w:t>），</w:t>
      </w:r>
      <w:r>
        <w:rPr>
          <w:rFonts w:ascii="宋体" w:hAnsi="宋体" w:eastAsia="宋体" w:cs="宋体"/>
          <w:spacing w:val="-5"/>
          <w:sz w:val="24"/>
          <w:szCs w:val="24"/>
        </w:rPr>
        <w:t>并对声明的真</w:t>
      </w:r>
      <w:r>
        <w:rPr>
          <w:rFonts w:ascii="宋体" w:hAnsi="宋体" w:eastAsia="宋体" w:cs="宋体"/>
          <w:sz w:val="24"/>
          <w:szCs w:val="24"/>
        </w:rPr>
        <w:t xml:space="preserve">  </w:t>
      </w:r>
      <w:r>
        <w:rPr>
          <w:rFonts w:ascii="宋体" w:hAnsi="宋体" w:eastAsia="宋体" w:cs="宋体"/>
          <w:spacing w:val="-3"/>
          <w:sz w:val="24"/>
          <w:szCs w:val="24"/>
        </w:rPr>
        <w:t>实性负责。中标、成交供应商为残疾人福利性单位的，采购人或者其委托的采购</w:t>
      </w:r>
      <w:r>
        <w:rPr>
          <w:rFonts w:ascii="宋体" w:hAnsi="宋体" w:eastAsia="宋体" w:cs="宋体"/>
          <w:spacing w:val="1"/>
          <w:sz w:val="24"/>
          <w:szCs w:val="24"/>
        </w:rPr>
        <w:t xml:space="preserve"> </w:t>
      </w:r>
      <w:r>
        <w:rPr>
          <w:rFonts w:ascii="宋体" w:hAnsi="宋体" w:eastAsia="宋体" w:cs="宋体"/>
          <w:spacing w:val="-4"/>
          <w:sz w:val="24"/>
          <w:szCs w:val="24"/>
        </w:rPr>
        <w:t>代理机构应当随中标、成交结果同时公告其《残疾人福利性单位声明函》，接受</w:t>
      </w:r>
      <w:r>
        <w:rPr>
          <w:rFonts w:ascii="宋体" w:hAnsi="宋体" w:eastAsia="宋体" w:cs="宋体"/>
          <w:spacing w:val="10"/>
          <w:sz w:val="24"/>
          <w:szCs w:val="24"/>
        </w:rPr>
        <w:t xml:space="preserve"> </w:t>
      </w:r>
      <w:r>
        <w:rPr>
          <w:rFonts w:ascii="宋体" w:hAnsi="宋体" w:eastAsia="宋体" w:cs="宋体"/>
          <w:spacing w:val="-3"/>
          <w:sz w:val="24"/>
          <w:szCs w:val="24"/>
        </w:rPr>
        <w:t>社会监督。供应商提供的《残疾人福利性单位声明函》与事实不符的，依照《政</w:t>
      </w:r>
      <w:r>
        <w:rPr>
          <w:rFonts w:ascii="宋体" w:hAnsi="宋体" w:eastAsia="宋体" w:cs="宋体"/>
          <w:spacing w:val="1"/>
          <w:sz w:val="24"/>
          <w:szCs w:val="24"/>
        </w:rPr>
        <w:t xml:space="preserve"> </w:t>
      </w:r>
      <w:r>
        <w:rPr>
          <w:rFonts w:ascii="宋体" w:hAnsi="宋体" w:eastAsia="宋体" w:cs="宋体"/>
          <w:spacing w:val="-1"/>
          <w:sz w:val="24"/>
          <w:szCs w:val="24"/>
        </w:rPr>
        <w:t>府采购法》第七十七条第一款的规定追究法律责任。</w:t>
      </w:r>
    </w:p>
    <w:p w14:paraId="5AB77E9D">
      <w:pPr>
        <w:spacing w:line="220" w:lineRule="auto"/>
        <w:ind w:left="23"/>
        <w:rPr>
          <w:rFonts w:ascii="宋体" w:hAnsi="宋体" w:eastAsia="宋体" w:cs="宋体"/>
          <w:sz w:val="24"/>
          <w:szCs w:val="24"/>
        </w:rPr>
      </w:pPr>
      <w:r>
        <w:rPr>
          <w:rFonts w:ascii="宋体" w:hAnsi="宋体" w:eastAsia="宋体" w:cs="宋体"/>
          <w:b/>
          <w:bCs/>
          <w:spacing w:val="-4"/>
          <w:sz w:val="24"/>
          <w:szCs w:val="24"/>
        </w:rPr>
        <w:t>三、谈判方法</w:t>
      </w:r>
    </w:p>
    <w:p w14:paraId="7FDF4D2A">
      <w:pPr>
        <w:spacing w:before="105" w:line="324" w:lineRule="auto"/>
        <w:ind w:left="22" w:right="39" w:firstLine="498"/>
        <w:rPr>
          <w:rFonts w:ascii="宋体" w:hAnsi="宋体" w:eastAsia="宋体" w:cs="宋体"/>
          <w:sz w:val="24"/>
          <w:szCs w:val="24"/>
        </w:rPr>
      </w:pPr>
      <w:r>
        <w:rPr>
          <w:rFonts w:ascii="宋体" w:hAnsi="宋体" w:eastAsia="宋体" w:cs="宋体"/>
          <w:sz w:val="24"/>
          <w:szCs w:val="24"/>
        </w:rPr>
        <w:t>1、谈判原则：按照财政部令《第 74 号》文件精神，谈判方式应采取</w:t>
      </w:r>
      <w:r>
        <w:rPr>
          <w:rFonts w:ascii="宋体" w:hAnsi="宋体" w:eastAsia="宋体" w:cs="宋体"/>
          <w:spacing w:val="-1"/>
          <w:sz w:val="24"/>
          <w:szCs w:val="24"/>
        </w:rPr>
        <w:t>“符</w:t>
      </w:r>
      <w:r>
        <w:rPr>
          <w:rFonts w:ascii="宋体" w:hAnsi="宋体" w:eastAsia="宋体" w:cs="宋体"/>
          <w:sz w:val="24"/>
          <w:szCs w:val="24"/>
        </w:rPr>
        <w:t xml:space="preserve"> </w:t>
      </w:r>
      <w:r>
        <w:rPr>
          <w:rFonts w:ascii="宋体" w:hAnsi="宋体" w:eastAsia="宋体" w:cs="宋体"/>
          <w:spacing w:val="-3"/>
          <w:sz w:val="24"/>
          <w:szCs w:val="24"/>
        </w:rPr>
        <w:t>合采购需求情况下，坚持低价优先原则。”谈判小组应当从质量和服务均能满足</w:t>
      </w:r>
      <w:r>
        <w:rPr>
          <w:rFonts w:ascii="宋体" w:hAnsi="宋体" w:eastAsia="宋体" w:cs="宋体"/>
          <w:spacing w:val="1"/>
          <w:sz w:val="24"/>
          <w:szCs w:val="24"/>
        </w:rPr>
        <w:t xml:space="preserve"> </w:t>
      </w:r>
      <w:r>
        <w:rPr>
          <w:rFonts w:ascii="宋体" w:hAnsi="宋体" w:eastAsia="宋体" w:cs="宋体"/>
          <w:spacing w:val="-3"/>
          <w:sz w:val="24"/>
          <w:szCs w:val="24"/>
        </w:rPr>
        <w:t>谈判文件实质性要求的供应商中，按照最后报价由低到高的顺序推荐成交候选供</w:t>
      </w:r>
      <w:r>
        <w:rPr>
          <w:rFonts w:ascii="宋体" w:hAnsi="宋体" w:eastAsia="宋体" w:cs="宋体"/>
          <w:spacing w:val="1"/>
          <w:sz w:val="24"/>
          <w:szCs w:val="24"/>
        </w:rPr>
        <w:t xml:space="preserve"> </w:t>
      </w:r>
      <w:r>
        <w:rPr>
          <w:rFonts w:ascii="宋体" w:hAnsi="宋体" w:eastAsia="宋体" w:cs="宋体"/>
          <w:spacing w:val="-1"/>
          <w:sz w:val="24"/>
          <w:szCs w:val="24"/>
        </w:rPr>
        <w:t>应商，经采购人确认，以供应商的最低报价作为成交价格。</w:t>
      </w:r>
    </w:p>
    <w:p w14:paraId="421AA6C4">
      <w:pPr>
        <w:spacing w:before="184" w:line="313" w:lineRule="auto"/>
        <w:ind w:left="23" w:right="39" w:firstLine="482"/>
        <w:rPr>
          <w:rFonts w:ascii="宋体" w:hAnsi="宋体" w:eastAsia="宋体" w:cs="宋体"/>
          <w:sz w:val="24"/>
          <w:szCs w:val="24"/>
        </w:rPr>
      </w:pPr>
      <w:r>
        <w:rPr>
          <w:rFonts w:ascii="宋体" w:hAnsi="宋体" w:eastAsia="宋体" w:cs="宋体"/>
          <w:sz w:val="24"/>
          <w:szCs w:val="24"/>
        </w:rPr>
        <w:t>2、谈判程序：分步评审，每一步评审不符合者，不进入下一步评审。由谈</w:t>
      </w:r>
      <w:r>
        <w:rPr>
          <w:rFonts w:ascii="宋体" w:hAnsi="宋体" w:eastAsia="宋体" w:cs="宋体"/>
          <w:spacing w:val="10"/>
          <w:sz w:val="24"/>
          <w:szCs w:val="24"/>
        </w:rPr>
        <w:t xml:space="preserve"> </w:t>
      </w:r>
      <w:r>
        <w:rPr>
          <w:rFonts w:ascii="宋体" w:hAnsi="宋体" w:eastAsia="宋体" w:cs="宋体"/>
          <w:spacing w:val="-3"/>
          <w:sz w:val="24"/>
          <w:szCs w:val="24"/>
        </w:rPr>
        <w:t>判小组成员集中与单一参加谈判的供应商分别进行谈判，可以进行多轮报价，直</w:t>
      </w:r>
      <w:r>
        <w:rPr>
          <w:rFonts w:ascii="宋体" w:hAnsi="宋体" w:eastAsia="宋体" w:cs="宋体"/>
          <w:spacing w:val="1"/>
          <w:sz w:val="24"/>
          <w:szCs w:val="24"/>
        </w:rPr>
        <w:t xml:space="preserve"> </w:t>
      </w:r>
      <w:r>
        <w:rPr>
          <w:rFonts w:ascii="宋体" w:hAnsi="宋体" w:eastAsia="宋体" w:cs="宋体"/>
          <w:spacing w:val="-2"/>
          <w:sz w:val="24"/>
          <w:szCs w:val="24"/>
        </w:rPr>
        <w:t>至采购方满意为止。</w:t>
      </w:r>
    </w:p>
    <w:p w14:paraId="2802428B">
      <w:pPr>
        <w:spacing w:before="184" w:line="289" w:lineRule="auto"/>
        <w:ind w:left="22" w:right="42" w:firstLine="485"/>
        <w:rPr>
          <w:rFonts w:ascii="宋体" w:hAnsi="宋体" w:eastAsia="宋体" w:cs="宋体"/>
          <w:sz w:val="24"/>
          <w:szCs w:val="24"/>
        </w:rPr>
      </w:pPr>
      <w:r>
        <w:rPr>
          <w:rFonts w:ascii="宋体" w:hAnsi="宋体" w:eastAsia="宋体" w:cs="宋体"/>
          <w:sz w:val="24"/>
          <w:szCs w:val="24"/>
        </w:rPr>
        <w:t>3、竞争性谈判确定的最终价格及服务等仍不能满足采购人的要求，采购人</w:t>
      </w:r>
      <w:r>
        <w:rPr>
          <w:rFonts w:ascii="宋体" w:hAnsi="宋体" w:eastAsia="宋体" w:cs="宋体"/>
          <w:spacing w:val="8"/>
          <w:sz w:val="24"/>
          <w:szCs w:val="24"/>
        </w:rPr>
        <w:t xml:space="preserve"> </w:t>
      </w:r>
      <w:r>
        <w:rPr>
          <w:rFonts w:ascii="宋体" w:hAnsi="宋体" w:eastAsia="宋体" w:cs="宋体"/>
          <w:spacing w:val="-1"/>
          <w:sz w:val="24"/>
          <w:szCs w:val="24"/>
        </w:rPr>
        <w:t>及谈判小组将保留最终放弃本次谈判的权利。</w:t>
      </w:r>
    </w:p>
    <w:p w14:paraId="5855FCF7">
      <w:pPr>
        <w:spacing w:before="183" w:line="221" w:lineRule="auto"/>
        <w:ind w:left="46"/>
        <w:rPr>
          <w:rFonts w:ascii="宋体" w:hAnsi="宋体" w:eastAsia="宋体" w:cs="宋体"/>
          <w:sz w:val="24"/>
          <w:szCs w:val="24"/>
        </w:rPr>
      </w:pPr>
      <w:r>
        <w:rPr>
          <w:rFonts w:ascii="宋体" w:hAnsi="宋体" w:eastAsia="宋体" w:cs="宋体"/>
          <w:b/>
          <w:bCs/>
          <w:spacing w:val="-9"/>
          <w:sz w:val="24"/>
          <w:szCs w:val="24"/>
        </w:rPr>
        <w:t>四、成交：</w:t>
      </w:r>
    </w:p>
    <w:p w14:paraId="2A4ECB3B">
      <w:pPr>
        <w:spacing w:before="181" w:line="218" w:lineRule="auto"/>
        <w:ind w:left="41"/>
        <w:rPr>
          <w:rFonts w:ascii="宋体" w:hAnsi="宋体" w:eastAsia="宋体" w:cs="宋体"/>
          <w:sz w:val="24"/>
          <w:szCs w:val="24"/>
        </w:rPr>
      </w:pPr>
      <w:r>
        <w:rPr>
          <w:rFonts w:ascii="宋体" w:hAnsi="宋体" w:eastAsia="宋体" w:cs="宋体"/>
          <w:spacing w:val="-2"/>
          <w:sz w:val="24"/>
          <w:szCs w:val="24"/>
        </w:rPr>
        <w:t>1、评审结果报告由全体评委签字确认。</w:t>
      </w:r>
    </w:p>
    <w:p w14:paraId="266B15A3">
      <w:pPr>
        <w:spacing w:before="185" w:line="289" w:lineRule="auto"/>
        <w:ind w:left="22" w:right="39" w:firstLine="3"/>
        <w:rPr>
          <w:rFonts w:ascii="宋体" w:hAnsi="宋体" w:eastAsia="宋体" w:cs="宋体"/>
          <w:sz w:val="24"/>
          <w:szCs w:val="24"/>
        </w:rPr>
        <w:sectPr>
          <w:footerReference r:id="rId13" w:type="default"/>
          <w:pgSz w:w="11906" w:h="16839"/>
          <w:pgMar w:top="1431" w:right="1759" w:bottom="1373" w:left="1785" w:header="0" w:footer="1208" w:gutter="0"/>
          <w:pgNumType w:fmt="decimal"/>
          <w:cols w:space="720" w:num="1"/>
        </w:sectPr>
      </w:pPr>
      <w:r>
        <w:rPr>
          <w:rFonts w:ascii="宋体" w:hAnsi="宋体" w:eastAsia="宋体" w:cs="宋体"/>
          <w:sz w:val="24"/>
          <w:szCs w:val="24"/>
        </w:rPr>
        <w:t>2、采购人根据谈判报告中推荐的成交候选人排列顺序确定成交人，以复函通知</w:t>
      </w:r>
      <w:r>
        <w:rPr>
          <w:rFonts w:ascii="宋体" w:hAnsi="宋体" w:eastAsia="宋体" w:cs="宋体"/>
          <w:spacing w:val="13"/>
          <w:sz w:val="24"/>
          <w:szCs w:val="24"/>
        </w:rPr>
        <w:t xml:space="preserve"> </w:t>
      </w:r>
      <w:r>
        <w:rPr>
          <w:rFonts w:ascii="宋体" w:hAnsi="宋体" w:eastAsia="宋体" w:cs="宋体"/>
          <w:spacing w:val="-2"/>
          <w:sz w:val="24"/>
          <w:szCs w:val="24"/>
        </w:rPr>
        <w:t>采购代理公司。</w:t>
      </w:r>
    </w:p>
    <w:p w14:paraId="025F61FA">
      <w:pPr>
        <w:spacing w:before="114" w:line="225" w:lineRule="auto"/>
        <w:jc w:val="center"/>
        <w:outlineLvl w:val="0"/>
        <w:rPr>
          <w:rFonts w:hint="default" w:ascii="宋体" w:hAnsi="宋体" w:eastAsia="宋体" w:cs="宋体"/>
          <w:sz w:val="35"/>
          <w:szCs w:val="35"/>
          <w:lang w:val="en-US" w:eastAsia="zh-CN"/>
        </w:rPr>
      </w:pPr>
      <w:bookmarkStart w:id="72" w:name="_Toc15343"/>
      <w:bookmarkStart w:id="73" w:name="_Toc25433"/>
      <w:bookmarkStart w:id="74" w:name="_Toc28069"/>
      <w:r>
        <w:rPr>
          <w:rFonts w:ascii="宋体" w:hAnsi="宋体" w:eastAsia="宋体" w:cs="宋体"/>
          <w:b/>
          <w:bCs/>
          <w:spacing w:val="6"/>
          <w:sz w:val="35"/>
          <w:szCs w:val="35"/>
        </w:rPr>
        <w:t>第八部分</w:t>
      </w:r>
      <w:r>
        <w:rPr>
          <w:rFonts w:ascii="宋体" w:hAnsi="宋体" w:eastAsia="宋体" w:cs="宋体"/>
          <w:spacing w:val="6"/>
          <w:sz w:val="35"/>
          <w:szCs w:val="35"/>
        </w:rPr>
        <w:t xml:space="preserve"> </w:t>
      </w:r>
      <w:r>
        <w:rPr>
          <w:rFonts w:hint="eastAsia" w:ascii="宋体" w:hAnsi="宋体" w:eastAsia="宋体" w:cs="宋体"/>
          <w:spacing w:val="6"/>
          <w:sz w:val="35"/>
          <w:szCs w:val="35"/>
          <w:lang w:val="en-US" w:eastAsia="zh-CN"/>
        </w:rPr>
        <w:t xml:space="preserve"> </w:t>
      </w:r>
      <w:r>
        <w:rPr>
          <w:rFonts w:ascii="宋体" w:hAnsi="宋体" w:eastAsia="宋体" w:cs="宋体"/>
          <w:b/>
          <w:bCs/>
          <w:spacing w:val="6"/>
          <w:sz w:val="35"/>
          <w:szCs w:val="35"/>
        </w:rPr>
        <w:t>竞争性谈判响应文件格式</w:t>
      </w:r>
      <w:bookmarkEnd w:id="72"/>
      <w:bookmarkEnd w:id="73"/>
      <w:bookmarkEnd w:id="74"/>
      <w:r>
        <w:rPr>
          <w:rFonts w:hint="eastAsia" w:ascii="宋体" w:hAnsi="宋体" w:eastAsia="宋体" w:cs="宋体"/>
          <w:b/>
          <w:bCs/>
          <w:spacing w:val="6"/>
          <w:sz w:val="35"/>
          <w:szCs w:val="35"/>
          <w:lang w:val="en-US" w:eastAsia="zh-CN"/>
        </w:rPr>
        <w:t>及构成</w:t>
      </w:r>
    </w:p>
    <w:p w14:paraId="6724B86B">
      <w:pPr>
        <w:pStyle w:val="4"/>
        <w:spacing w:line="329" w:lineRule="auto"/>
      </w:pPr>
    </w:p>
    <w:p w14:paraId="5FA7CB4C">
      <w:pPr>
        <w:pStyle w:val="4"/>
        <w:spacing w:line="330" w:lineRule="auto"/>
      </w:pPr>
    </w:p>
    <w:p w14:paraId="746A901C">
      <w:pPr>
        <w:spacing w:before="140" w:line="222" w:lineRule="auto"/>
        <w:ind w:right="18"/>
        <w:jc w:val="right"/>
        <w:rPr>
          <w:rFonts w:ascii="宋体" w:hAnsi="宋体" w:eastAsia="宋体" w:cs="宋体"/>
          <w:sz w:val="43"/>
          <w:szCs w:val="43"/>
        </w:rPr>
      </w:pPr>
      <w:r>
        <w:rPr>
          <w:rFonts w:ascii="宋体" w:hAnsi="宋体" w:eastAsia="宋体" w:cs="宋体"/>
          <w:b/>
          <w:bCs/>
          <w:spacing w:val="-2"/>
          <w:sz w:val="43"/>
          <w:szCs w:val="43"/>
        </w:rPr>
        <w:t>正/副本</w:t>
      </w:r>
    </w:p>
    <w:p w14:paraId="67CF647C">
      <w:pPr>
        <w:spacing w:before="184" w:line="219" w:lineRule="auto"/>
        <w:ind w:left="23"/>
        <w:rPr>
          <w:rFonts w:ascii="宋体" w:hAnsi="宋体" w:eastAsia="宋体" w:cs="宋体"/>
          <w:sz w:val="28"/>
          <w:szCs w:val="28"/>
        </w:rPr>
      </w:pPr>
      <w:r>
        <w:rPr>
          <w:rFonts w:ascii="宋体" w:hAnsi="宋体" w:eastAsia="宋体" w:cs="宋体"/>
          <w:b/>
          <w:bCs/>
          <w:spacing w:val="-4"/>
          <w:sz w:val="28"/>
          <w:szCs w:val="28"/>
        </w:rPr>
        <w:t>采购项目编号：</w:t>
      </w:r>
    </w:p>
    <w:p w14:paraId="010A89C2">
      <w:pPr>
        <w:pStyle w:val="4"/>
        <w:spacing w:line="297" w:lineRule="auto"/>
      </w:pPr>
    </w:p>
    <w:p w14:paraId="2A49CD1F">
      <w:pPr>
        <w:pStyle w:val="4"/>
        <w:spacing w:line="298" w:lineRule="auto"/>
      </w:pPr>
    </w:p>
    <w:p w14:paraId="6712344F">
      <w:pPr>
        <w:pStyle w:val="4"/>
        <w:spacing w:line="298" w:lineRule="auto"/>
      </w:pPr>
    </w:p>
    <w:p w14:paraId="2374699C">
      <w:pPr>
        <w:pStyle w:val="4"/>
        <w:spacing w:line="246" w:lineRule="auto"/>
        <w:jc w:val="center"/>
      </w:pPr>
      <w:r>
        <w:rPr>
          <w:rFonts w:hint="eastAsia" w:ascii="宋体" w:hAnsi="宋体" w:eastAsia="宋体" w:cs="宋体"/>
          <w:b/>
          <w:bCs/>
          <w:spacing w:val="-1"/>
          <w:sz w:val="52"/>
          <w:szCs w:val="52"/>
          <w:lang w:val="en-US" w:eastAsia="zh-CN"/>
        </w:rPr>
        <w:t>绥德县第二净水厂化验设备采购</w:t>
      </w:r>
    </w:p>
    <w:p w14:paraId="358183E6">
      <w:pPr>
        <w:pStyle w:val="4"/>
        <w:spacing w:line="246" w:lineRule="auto"/>
      </w:pPr>
    </w:p>
    <w:p w14:paraId="0D56991A">
      <w:pPr>
        <w:pStyle w:val="4"/>
        <w:spacing w:line="246" w:lineRule="auto"/>
      </w:pPr>
    </w:p>
    <w:p w14:paraId="01781939">
      <w:pPr>
        <w:pStyle w:val="4"/>
        <w:spacing w:line="246" w:lineRule="auto"/>
      </w:pPr>
    </w:p>
    <w:p w14:paraId="730209AC">
      <w:pPr>
        <w:pStyle w:val="4"/>
        <w:spacing w:line="246" w:lineRule="auto"/>
      </w:pPr>
    </w:p>
    <w:p w14:paraId="7FD4D4A2">
      <w:pPr>
        <w:pStyle w:val="4"/>
        <w:spacing w:line="246" w:lineRule="auto"/>
      </w:pPr>
    </w:p>
    <w:p w14:paraId="6C1868D4"/>
    <w:p w14:paraId="31DD62E9">
      <w:pPr>
        <w:spacing w:before="231" w:line="222" w:lineRule="auto"/>
        <w:ind w:left="950"/>
        <w:rPr>
          <w:rFonts w:ascii="宋体" w:hAnsi="宋体" w:eastAsia="宋体" w:cs="宋体"/>
          <w:sz w:val="71"/>
          <w:szCs w:val="71"/>
        </w:rPr>
      </w:pPr>
      <w:r>
        <w:rPr>
          <w:rFonts w:ascii="宋体" w:hAnsi="宋体" w:eastAsia="宋体" w:cs="宋体"/>
          <w:b/>
          <w:bCs/>
          <w:sz w:val="71"/>
          <w:szCs w:val="71"/>
        </w:rPr>
        <w:t>竞争性谈判响应文件</w:t>
      </w:r>
    </w:p>
    <w:p w14:paraId="08EAA572">
      <w:pPr>
        <w:pStyle w:val="4"/>
        <w:spacing w:line="246" w:lineRule="auto"/>
      </w:pPr>
    </w:p>
    <w:p w14:paraId="1AD6CE15">
      <w:pPr>
        <w:pStyle w:val="4"/>
        <w:spacing w:line="246" w:lineRule="auto"/>
      </w:pPr>
    </w:p>
    <w:p w14:paraId="6963084A">
      <w:pPr>
        <w:pStyle w:val="4"/>
        <w:spacing w:line="246" w:lineRule="auto"/>
      </w:pPr>
    </w:p>
    <w:p w14:paraId="7D64D897">
      <w:pPr>
        <w:pStyle w:val="4"/>
        <w:spacing w:line="246" w:lineRule="auto"/>
      </w:pPr>
    </w:p>
    <w:p w14:paraId="3199C6D5">
      <w:pPr>
        <w:pStyle w:val="4"/>
        <w:spacing w:line="246" w:lineRule="auto"/>
      </w:pPr>
    </w:p>
    <w:p w14:paraId="1770FD5E">
      <w:pPr>
        <w:pStyle w:val="4"/>
        <w:spacing w:line="246" w:lineRule="auto"/>
      </w:pPr>
    </w:p>
    <w:p w14:paraId="061549EA">
      <w:pPr>
        <w:pStyle w:val="4"/>
        <w:spacing w:line="247" w:lineRule="auto"/>
      </w:pPr>
    </w:p>
    <w:p w14:paraId="2B74A048">
      <w:pPr>
        <w:spacing w:before="92" w:line="219" w:lineRule="auto"/>
        <w:ind w:left="1577"/>
        <w:rPr>
          <w:rFonts w:ascii="宋体" w:hAnsi="宋体" w:eastAsia="宋体" w:cs="宋体"/>
          <w:sz w:val="28"/>
          <w:szCs w:val="28"/>
        </w:rPr>
      </w:pPr>
      <w:r>
        <w:rPr>
          <w:rFonts w:ascii="宋体" w:hAnsi="宋体" w:eastAsia="宋体" w:cs="宋体"/>
          <w:b/>
          <w:bCs/>
          <w:spacing w:val="2"/>
          <w:sz w:val="28"/>
          <w:szCs w:val="28"/>
        </w:rPr>
        <w:t>供应商</w:t>
      </w:r>
      <w:r>
        <w:rPr>
          <w:rFonts w:ascii="宋体" w:hAnsi="宋体" w:eastAsia="宋体" w:cs="宋体"/>
          <w:b/>
          <w:bCs/>
          <w:spacing w:val="-21"/>
          <w:sz w:val="28"/>
          <w:szCs w:val="28"/>
        </w:rPr>
        <w:t>：</w:t>
      </w:r>
      <w:r>
        <w:rPr>
          <w:rFonts w:ascii="宋体" w:hAnsi="宋体" w:eastAsia="宋体" w:cs="宋体"/>
          <w:sz w:val="28"/>
          <w:szCs w:val="28"/>
          <w:u w:val="single" w:color="auto"/>
        </w:rPr>
        <w:t xml:space="preserve">                     </w:t>
      </w:r>
      <w:r>
        <w:rPr>
          <w:rFonts w:ascii="宋体" w:hAnsi="宋体" w:eastAsia="宋体" w:cs="宋体"/>
          <w:b/>
          <w:bCs/>
          <w:spacing w:val="-21"/>
          <w:sz w:val="28"/>
          <w:szCs w:val="28"/>
        </w:rPr>
        <w:t>（</w:t>
      </w:r>
      <w:r>
        <w:rPr>
          <w:rFonts w:ascii="宋体" w:hAnsi="宋体" w:eastAsia="宋体" w:cs="宋体"/>
          <w:b/>
          <w:bCs/>
          <w:spacing w:val="2"/>
          <w:sz w:val="28"/>
          <w:szCs w:val="28"/>
        </w:rPr>
        <w:t>盖章）</w:t>
      </w:r>
    </w:p>
    <w:p w14:paraId="5DA0A004">
      <w:pPr>
        <w:pStyle w:val="4"/>
        <w:spacing w:line="273" w:lineRule="auto"/>
      </w:pPr>
    </w:p>
    <w:p w14:paraId="7AD99DFF">
      <w:pPr>
        <w:pStyle w:val="4"/>
        <w:spacing w:line="273" w:lineRule="auto"/>
      </w:pPr>
    </w:p>
    <w:p w14:paraId="0C0A69E3">
      <w:pPr>
        <w:pStyle w:val="4"/>
        <w:spacing w:line="273" w:lineRule="auto"/>
      </w:pPr>
    </w:p>
    <w:p w14:paraId="510112D7">
      <w:pPr>
        <w:spacing w:before="92" w:line="219" w:lineRule="auto"/>
        <w:ind w:left="585"/>
        <w:rPr>
          <w:rFonts w:ascii="宋体" w:hAnsi="宋体" w:eastAsia="宋体" w:cs="宋体"/>
          <w:sz w:val="28"/>
          <w:szCs w:val="28"/>
        </w:rPr>
      </w:pPr>
      <w:r>
        <w:rPr>
          <w:rFonts w:ascii="宋体" w:hAnsi="宋体" w:eastAsia="宋体" w:cs="宋体"/>
          <w:b/>
          <w:bCs/>
          <w:spacing w:val="-3"/>
          <w:sz w:val="28"/>
          <w:szCs w:val="28"/>
        </w:rPr>
        <w:t>法定代表人/负责人或被授权人（签字</w:t>
      </w:r>
      <w:r>
        <w:rPr>
          <w:rFonts w:hint="eastAsia" w:ascii="宋体" w:hAnsi="宋体" w:eastAsia="宋体" w:cs="宋体"/>
          <w:b/>
          <w:bCs/>
          <w:spacing w:val="-3"/>
          <w:sz w:val="28"/>
          <w:szCs w:val="28"/>
          <w:lang w:val="en-US" w:eastAsia="zh-CN"/>
        </w:rPr>
        <w:t>并</w:t>
      </w:r>
      <w:r>
        <w:rPr>
          <w:rFonts w:ascii="宋体" w:hAnsi="宋体" w:eastAsia="宋体" w:cs="宋体"/>
          <w:b/>
          <w:bCs/>
          <w:spacing w:val="-3"/>
          <w:sz w:val="28"/>
          <w:szCs w:val="28"/>
        </w:rPr>
        <w:t>盖章</w:t>
      </w:r>
      <w:r>
        <w:rPr>
          <w:rFonts w:ascii="宋体" w:hAnsi="宋体" w:eastAsia="宋体" w:cs="宋体"/>
          <w:b/>
          <w:bCs/>
          <w:spacing w:val="-78"/>
          <w:sz w:val="28"/>
          <w:szCs w:val="28"/>
        </w:rPr>
        <w:t>）：</w:t>
      </w:r>
      <w:r>
        <w:rPr>
          <w:rFonts w:ascii="宋体" w:hAnsi="宋体" w:eastAsia="宋体" w:cs="宋体"/>
          <w:spacing w:val="-118"/>
          <w:sz w:val="28"/>
          <w:szCs w:val="28"/>
        </w:rPr>
        <w:t xml:space="preserve"> </w:t>
      </w:r>
      <w:r>
        <w:rPr>
          <w:rFonts w:ascii="宋体" w:hAnsi="宋体" w:eastAsia="宋体" w:cs="宋体"/>
          <w:sz w:val="28"/>
          <w:szCs w:val="28"/>
          <w:u w:val="single" w:color="auto"/>
        </w:rPr>
        <w:t xml:space="preserve">      </w:t>
      </w:r>
    </w:p>
    <w:p w14:paraId="53700D40">
      <w:pPr>
        <w:pStyle w:val="4"/>
        <w:spacing w:line="273" w:lineRule="auto"/>
      </w:pPr>
    </w:p>
    <w:p w14:paraId="36F853D4">
      <w:pPr>
        <w:pStyle w:val="4"/>
        <w:spacing w:line="273" w:lineRule="auto"/>
      </w:pPr>
    </w:p>
    <w:p w14:paraId="290BAE1C">
      <w:pPr>
        <w:pStyle w:val="4"/>
        <w:spacing w:line="273" w:lineRule="auto"/>
      </w:pPr>
    </w:p>
    <w:p w14:paraId="4E02E80F">
      <w:pPr>
        <w:spacing w:before="91" w:line="220" w:lineRule="auto"/>
        <w:ind w:left="2777"/>
        <w:rPr>
          <w:rFonts w:ascii="宋体" w:hAnsi="宋体" w:eastAsia="宋体" w:cs="宋体"/>
          <w:sz w:val="28"/>
          <w:szCs w:val="28"/>
        </w:rPr>
      </w:pPr>
      <w:r>
        <w:rPr>
          <w:rFonts w:ascii="宋体" w:hAnsi="宋体" w:eastAsia="宋体" w:cs="宋体"/>
          <w:b/>
          <w:bCs/>
          <w:spacing w:val="-7"/>
          <w:sz w:val="28"/>
          <w:szCs w:val="28"/>
        </w:rPr>
        <w:t>二零二</w:t>
      </w:r>
      <w:r>
        <w:rPr>
          <w:rFonts w:hint="eastAsia" w:ascii="宋体" w:hAnsi="宋体" w:eastAsia="宋体" w:cs="宋体"/>
          <w:b/>
          <w:bCs/>
          <w:spacing w:val="-7"/>
          <w:sz w:val="28"/>
          <w:szCs w:val="28"/>
          <w:lang w:val="en-US" w:eastAsia="zh-CN"/>
        </w:rPr>
        <w:t>六</w:t>
      </w:r>
      <w:r>
        <w:rPr>
          <w:rFonts w:ascii="宋体" w:hAnsi="宋体" w:eastAsia="宋体" w:cs="宋体"/>
          <w:b/>
          <w:bCs/>
          <w:spacing w:val="-7"/>
          <w:sz w:val="28"/>
          <w:szCs w:val="28"/>
        </w:rPr>
        <w:t>年</w:t>
      </w:r>
      <w:r>
        <w:rPr>
          <w:rFonts w:ascii="宋体" w:hAnsi="宋体" w:eastAsia="宋体" w:cs="宋体"/>
          <w:spacing w:val="6"/>
          <w:sz w:val="28"/>
          <w:szCs w:val="28"/>
        </w:rPr>
        <w:t xml:space="preserve">   </w:t>
      </w:r>
      <w:r>
        <w:rPr>
          <w:rFonts w:ascii="宋体" w:hAnsi="宋体" w:eastAsia="宋体" w:cs="宋体"/>
          <w:b/>
          <w:bCs/>
          <w:spacing w:val="-7"/>
          <w:sz w:val="28"/>
          <w:szCs w:val="28"/>
        </w:rPr>
        <w:t>月</w:t>
      </w:r>
      <w:r>
        <w:rPr>
          <w:rFonts w:ascii="宋体" w:hAnsi="宋体" w:eastAsia="宋体" w:cs="宋体"/>
          <w:spacing w:val="20"/>
          <w:sz w:val="28"/>
          <w:szCs w:val="28"/>
        </w:rPr>
        <w:t xml:space="preserve">   </w:t>
      </w:r>
      <w:r>
        <w:rPr>
          <w:rFonts w:ascii="宋体" w:hAnsi="宋体" w:eastAsia="宋体" w:cs="宋体"/>
          <w:b/>
          <w:bCs/>
          <w:spacing w:val="-7"/>
          <w:sz w:val="28"/>
          <w:szCs w:val="28"/>
        </w:rPr>
        <w:t>日</w:t>
      </w:r>
    </w:p>
    <w:p w14:paraId="65639D2F">
      <w:pPr>
        <w:spacing w:line="220" w:lineRule="auto"/>
        <w:rPr>
          <w:rFonts w:ascii="宋体" w:hAnsi="宋体" w:eastAsia="宋体" w:cs="宋体"/>
          <w:sz w:val="28"/>
          <w:szCs w:val="28"/>
        </w:rPr>
        <w:sectPr>
          <w:footerReference r:id="rId14" w:type="default"/>
          <w:pgSz w:w="11906" w:h="16839"/>
          <w:pgMar w:top="1431" w:right="1785" w:bottom="1151" w:left="1785" w:header="0" w:footer="987" w:gutter="0"/>
          <w:pgNumType w:fmt="decimal"/>
          <w:cols w:space="720" w:num="1"/>
        </w:sectPr>
      </w:pPr>
    </w:p>
    <w:p w14:paraId="3D3F8F91">
      <w:pPr>
        <w:spacing w:before="101" w:line="225" w:lineRule="auto"/>
        <w:ind w:left="3607"/>
        <w:rPr>
          <w:rFonts w:ascii="宋体" w:hAnsi="宋体" w:eastAsia="宋体" w:cs="宋体"/>
          <w:sz w:val="43"/>
          <w:szCs w:val="43"/>
        </w:rPr>
      </w:pPr>
      <w:r>
        <w:rPr>
          <w:rFonts w:ascii="宋体" w:hAnsi="宋体" w:eastAsia="宋体" w:cs="宋体"/>
          <w:b/>
          <w:bCs/>
          <w:spacing w:val="-51"/>
          <w:sz w:val="43"/>
          <w:szCs w:val="43"/>
        </w:rPr>
        <w:t>目</w:t>
      </w:r>
      <w:r>
        <w:rPr>
          <w:rFonts w:ascii="宋体" w:hAnsi="宋体" w:eastAsia="宋体" w:cs="宋体"/>
          <w:spacing w:val="15"/>
          <w:sz w:val="43"/>
          <w:szCs w:val="43"/>
        </w:rPr>
        <w:t xml:space="preserve">  </w:t>
      </w:r>
      <w:r>
        <w:rPr>
          <w:rFonts w:ascii="宋体" w:hAnsi="宋体" w:eastAsia="宋体" w:cs="宋体"/>
          <w:b/>
          <w:bCs/>
          <w:spacing w:val="-51"/>
          <w:sz w:val="43"/>
          <w:szCs w:val="43"/>
        </w:rPr>
        <w:t>录</w:t>
      </w:r>
    </w:p>
    <w:p w14:paraId="7FC2326B">
      <w:pPr>
        <w:spacing w:before="161" w:line="224" w:lineRule="auto"/>
        <w:ind w:left="3231"/>
        <w:rPr>
          <w:rFonts w:ascii="宋体" w:hAnsi="宋体" w:eastAsia="宋体" w:cs="宋体"/>
          <w:sz w:val="31"/>
          <w:szCs w:val="31"/>
        </w:rPr>
      </w:pPr>
      <w:r>
        <w:rPr>
          <w:rFonts w:ascii="宋体" w:hAnsi="宋体" w:eastAsia="宋体" w:cs="宋体"/>
          <w:spacing w:val="4"/>
          <w:sz w:val="31"/>
          <w:szCs w:val="31"/>
        </w:rPr>
        <w:t>（格式自拟）</w:t>
      </w:r>
    </w:p>
    <w:p w14:paraId="403CFB0B">
      <w:pPr>
        <w:spacing w:line="224" w:lineRule="auto"/>
        <w:rPr>
          <w:rFonts w:ascii="宋体" w:hAnsi="宋体" w:eastAsia="宋体" w:cs="宋体"/>
          <w:color w:val="auto"/>
          <w:sz w:val="31"/>
          <w:szCs w:val="31"/>
        </w:rPr>
        <w:sectPr>
          <w:footerReference r:id="rId15" w:type="default"/>
          <w:pgSz w:w="11906" w:h="16839"/>
          <w:pgMar w:top="1431" w:right="1785" w:bottom="1099" w:left="1785" w:header="0" w:footer="934" w:gutter="0"/>
          <w:pgNumType w:fmt="decimal"/>
          <w:cols w:space="720" w:num="1"/>
        </w:sectPr>
      </w:pPr>
    </w:p>
    <w:p w14:paraId="116A6D9F">
      <w:pPr>
        <w:spacing w:before="163" w:line="226" w:lineRule="auto"/>
        <w:ind w:left="3382"/>
        <w:outlineLvl w:val="1"/>
        <w:rPr>
          <w:rFonts w:ascii="宋体" w:hAnsi="宋体" w:eastAsia="宋体" w:cs="宋体"/>
          <w:color w:val="auto"/>
          <w:sz w:val="31"/>
          <w:szCs w:val="31"/>
        </w:rPr>
      </w:pPr>
      <w:bookmarkStart w:id="75" w:name="_Toc3049"/>
      <w:r>
        <w:rPr>
          <w:rFonts w:ascii="宋体" w:hAnsi="宋体" w:eastAsia="宋体" w:cs="宋体"/>
          <w:b/>
          <w:bCs/>
          <w:color w:val="auto"/>
          <w:spacing w:val="3"/>
          <w:sz w:val="31"/>
          <w:szCs w:val="31"/>
        </w:rPr>
        <w:t>一、响应函</w:t>
      </w:r>
      <w:bookmarkEnd w:id="75"/>
    </w:p>
    <w:p w14:paraId="4479CA4D">
      <w:pPr>
        <w:spacing w:before="204" w:line="219" w:lineRule="auto"/>
        <w:ind w:left="23"/>
        <w:rPr>
          <w:rFonts w:hint="eastAsia" w:ascii="宋体" w:hAnsi="宋体" w:eastAsia="宋体" w:cs="宋体"/>
          <w:color w:val="auto"/>
          <w:sz w:val="24"/>
          <w:szCs w:val="24"/>
          <w:lang w:eastAsia="zh-CN"/>
        </w:rPr>
      </w:pPr>
      <w:r>
        <w:rPr>
          <w:rFonts w:ascii="宋体" w:hAnsi="宋体" w:eastAsia="宋体" w:cs="宋体"/>
          <w:color w:val="auto"/>
          <w:spacing w:val="-1"/>
          <w:sz w:val="24"/>
          <w:szCs w:val="24"/>
        </w:rPr>
        <w:t>致：</w:t>
      </w:r>
      <w:r>
        <w:rPr>
          <w:rFonts w:hint="eastAsia" w:ascii="宋体" w:hAnsi="宋体" w:eastAsia="宋体" w:cs="宋体"/>
          <w:color w:val="auto"/>
          <w:spacing w:val="-1"/>
          <w:sz w:val="24"/>
          <w:szCs w:val="24"/>
          <w:lang w:eastAsia="zh-CN"/>
        </w:rPr>
        <w:t>陕西盛誉恒正项目管理有限公司</w:t>
      </w:r>
    </w:p>
    <w:p w14:paraId="377226FB">
      <w:pPr>
        <w:tabs>
          <w:tab w:val="left" w:pos="2893"/>
        </w:tabs>
        <w:spacing w:before="193" w:line="308" w:lineRule="auto"/>
        <w:ind w:left="14" w:right="260" w:firstLine="549"/>
        <w:rPr>
          <w:rFonts w:ascii="宋体" w:hAnsi="宋体" w:eastAsia="宋体" w:cs="宋体"/>
          <w:color w:val="auto"/>
          <w:sz w:val="24"/>
          <w:szCs w:val="24"/>
        </w:rPr>
      </w:pPr>
      <w:r>
        <w:rPr>
          <w:rFonts w:ascii="宋体" w:hAnsi="宋体" w:eastAsia="宋体" w:cs="宋体"/>
          <w:color w:val="auto"/>
          <w:sz w:val="24"/>
          <w:szCs w:val="24"/>
        </w:rPr>
        <w:t xml:space="preserve">根据已收到贵方的采购项目编号为 </w:t>
      </w:r>
      <w:r>
        <w:rPr>
          <w:rFonts w:ascii="宋体" w:hAnsi="宋体" w:eastAsia="宋体" w:cs="宋体"/>
          <w:color w:val="auto"/>
          <w:sz w:val="24"/>
          <w:szCs w:val="24"/>
          <w:u w:val="single" w:color="auto"/>
        </w:rPr>
        <w:t xml:space="preserve">            </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
          <w:sz w:val="24"/>
          <w:szCs w:val="24"/>
        </w:rPr>
        <w:t>（采购项目编号）的</w:t>
      </w:r>
      <w:r>
        <w:rPr>
          <w:rFonts w:ascii="宋体" w:hAnsi="宋体" w:eastAsia="宋体" w:cs="宋体"/>
          <w:color w:val="auto"/>
          <w:sz w:val="24"/>
          <w:szCs w:val="24"/>
        </w:rPr>
        <w:t xml:space="preserve"> </w:t>
      </w:r>
      <w:r>
        <w:rPr>
          <w:rFonts w:ascii="宋体" w:hAnsi="宋体" w:eastAsia="宋体" w:cs="宋体"/>
          <w:color w:val="auto"/>
          <w:sz w:val="24"/>
          <w:szCs w:val="24"/>
          <w:u w:val="single" w:color="auto"/>
        </w:rPr>
        <w:tab/>
      </w:r>
      <w:r>
        <w:rPr>
          <w:rFonts w:ascii="宋体" w:hAnsi="宋体" w:eastAsia="宋体" w:cs="宋体"/>
          <w:color w:val="auto"/>
          <w:sz w:val="24"/>
          <w:szCs w:val="24"/>
        </w:rPr>
        <w:t>（采购项目名称）的竞争性谈判文件，签字代表</w:t>
      </w:r>
    </w:p>
    <w:p w14:paraId="19974188">
      <w:pPr>
        <w:tabs>
          <w:tab w:val="left" w:pos="1573"/>
        </w:tabs>
        <w:spacing w:line="305" w:lineRule="auto"/>
        <w:ind w:left="23" w:right="53" w:hanging="9"/>
        <w:rPr>
          <w:rFonts w:ascii="宋体" w:hAnsi="宋体" w:eastAsia="宋体" w:cs="宋体"/>
          <w:color w:val="auto"/>
          <w:sz w:val="24"/>
          <w:szCs w:val="24"/>
        </w:rPr>
      </w:pPr>
      <w:r>
        <w:rPr>
          <w:rFonts w:ascii="宋体" w:hAnsi="宋体" w:eastAsia="宋体" w:cs="宋体"/>
          <w:color w:val="auto"/>
          <w:sz w:val="24"/>
          <w:szCs w:val="24"/>
          <w:u w:val="single" w:color="auto"/>
        </w:rPr>
        <w:tab/>
      </w:r>
      <w:r>
        <w:rPr>
          <w:rFonts w:ascii="宋体" w:hAnsi="宋体" w:eastAsia="宋体" w:cs="宋体"/>
          <w:color w:val="auto"/>
          <w:sz w:val="24"/>
          <w:szCs w:val="24"/>
          <w:u w:val="single" w:color="auto"/>
        </w:rPr>
        <w:tab/>
      </w:r>
      <w:r>
        <w:rPr>
          <w:rFonts w:ascii="宋体" w:hAnsi="宋体" w:eastAsia="宋体" w:cs="宋体"/>
          <w:color w:val="auto"/>
          <w:spacing w:val="-68"/>
          <w:sz w:val="24"/>
          <w:szCs w:val="24"/>
        </w:rPr>
        <w:t xml:space="preserve"> </w:t>
      </w:r>
      <w:r>
        <w:rPr>
          <w:rFonts w:ascii="宋体" w:hAnsi="宋体" w:eastAsia="宋体" w:cs="宋体"/>
          <w:color w:val="auto"/>
          <w:spacing w:val="-7"/>
          <w:sz w:val="24"/>
          <w:szCs w:val="24"/>
        </w:rPr>
        <w:t xml:space="preserve">(全名、职务)经正式授权并代表 </w:t>
      </w:r>
      <w:r>
        <w:rPr>
          <w:rFonts w:ascii="宋体" w:hAnsi="宋体" w:eastAsia="宋体" w:cs="宋体"/>
          <w:color w:val="auto"/>
          <w:spacing w:val="-7"/>
          <w:sz w:val="24"/>
          <w:szCs w:val="24"/>
          <w:u w:val="single" w:color="auto"/>
        </w:rPr>
        <w:t xml:space="preserve">         </w:t>
      </w:r>
      <w:r>
        <w:rPr>
          <w:rFonts w:ascii="宋体" w:hAnsi="宋体" w:eastAsia="宋体" w:cs="宋体"/>
          <w:color w:val="auto"/>
          <w:spacing w:val="-8"/>
          <w:sz w:val="24"/>
          <w:szCs w:val="24"/>
          <w:u w:val="single" w:color="auto"/>
        </w:rPr>
        <w:t xml:space="preserve">               </w:t>
      </w:r>
      <w:r>
        <w:rPr>
          <w:rFonts w:ascii="宋体" w:hAnsi="宋体" w:eastAsia="宋体" w:cs="宋体"/>
          <w:color w:val="auto"/>
          <w:spacing w:val="-68"/>
          <w:sz w:val="24"/>
          <w:szCs w:val="24"/>
        </w:rPr>
        <w:t xml:space="preserve"> </w:t>
      </w:r>
      <w:r>
        <w:rPr>
          <w:rFonts w:ascii="宋体" w:hAnsi="宋体" w:eastAsia="宋体" w:cs="宋体"/>
          <w:color w:val="auto"/>
          <w:spacing w:val="-8"/>
          <w:sz w:val="24"/>
          <w:szCs w:val="24"/>
        </w:rPr>
        <w:t>(供应</w:t>
      </w:r>
      <w:r>
        <w:rPr>
          <w:rFonts w:ascii="宋体" w:hAnsi="宋体" w:eastAsia="宋体" w:cs="宋体"/>
          <w:color w:val="auto"/>
          <w:sz w:val="24"/>
          <w:szCs w:val="24"/>
        </w:rPr>
        <w:t xml:space="preserve"> </w:t>
      </w:r>
      <w:r>
        <w:rPr>
          <w:rFonts w:ascii="宋体" w:hAnsi="宋体" w:eastAsia="宋体" w:cs="宋体"/>
          <w:color w:val="auto"/>
          <w:spacing w:val="-3"/>
          <w:sz w:val="24"/>
          <w:szCs w:val="24"/>
        </w:rPr>
        <w:t>商名称、地址、统一社会信用代码）。为此，我方郑重声明以下几点，并愿</w:t>
      </w:r>
      <w:r>
        <w:rPr>
          <w:rFonts w:ascii="宋体" w:hAnsi="宋体" w:eastAsia="宋体" w:cs="宋体"/>
          <w:color w:val="auto"/>
          <w:spacing w:val="-4"/>
          <w:sz w:val="24"/>
          <w:szCs w:val="24"/>
        </w:rPr>
        <w:t>负法</w:t>
      </w:r>
      <w:r>
        <w:rPr>
          <w:rFonts w:ascii="宋体" w:hAnsi="宋体" w:eastAsia="宋体" w:cs="宋体"/>
          <w:color w:val="auto"/>
          <w:sz w:val="24"/>
          <w:szCs w:val="24"/>
        </w:rPr>
        <w:t xml:space="preserve"> </w:t>
      </w:r>
      <w:r>
        <w:rPr>
          <w:rFonts w:ascii="宋体" w:hAnsi="宋体" w:eastAsia="宋体" w:cs="宋体"/>
          <w:color w:val="auto"/>
          <w:spacing w:val="-3"/>
          <w:sz w:val="24"/>
          <w:szCs w:val="24"/>
        </w:rPr>
        <w:t>律责任。</w:t>
      </w:r>
    </w:p>
    <w:p w14:paraId="380B8EC2">
      <w:pPr>
        <w:spacing w:line="220" w:lineRule="auto"/>
        <w:ind w:left="545"/>
        <w:rPr>
          <w:rFonts w:ascii="宋体" w:hAnsi="宋体" w:eastAsia="宋体" w:cs="宋体"/>
          <w:color w:val="auto"/>
          <w:sz w:val="24"/>
          <w:szCs w:val="24"/>
        </w:rPr>
      </w:pPr>
      <w:r>
        <w:rPr>
          <w:rFonts w:ascii="宋体" w:hAnsi="宋体" w:eastAsia="宋体" w:cs="宋体"/>
          <w:color w:val="auto"/>
          <w:spacing w:val="-10"/>
          <w:sz w:val="24"/>
          <w:szCs w:val="24"/>
        </w:rPr>
        <w:t>(1)</w:t>
      </w:r>
      <w:r>
        <w:rPr>
          <w:rFonts w:ascii="宋体" w:hAnsi="宋体" w:eastAsia="宋体" w:cs="宋体"/>
          <w:color w:val="auto"/>
          <w:spacing w:val="8"/>
          <w:sz w:val="24"/>
          <w:szCs w:val="24"/>
        </w:rPr>
        <w:t xml:space="preserve"> </w:t>
      </w:r>
      <w:r>
        <w:rPr>
          <w:rFonts w:ascii="宋体" w:hAnsi="宋体" w:eastAsia="宋体" w:cs="宋体"/>
          <w:color w:val="auto"/>
          <w:spacing w:val="-10"/>
          <w:sz w:val="24"/>
          <w:szCs w:val="24"/>
        </w:rPr>
        <w:t>谈判函</w:t>
      </w:r>
    </w:p>
    <w:p w14:paraId="5A5C9B22">
      <w:pPr>
        <w:spacing w:before="181" w:line="218" w:lineRule="auto"/>
        <w:ind w:left="545"/>
        <w:rPr>
          <w:rFonts w:ascii="宋体" w:hAnsi="宋体" w:eastAsia="宋体" w:cs="宋体"/>
          <w:color w:val="auto"/>
          <w:sz w:val="24"/>
          <w:szCs w:val="24"/>
        </w:rPr>
      </w:pPr>
      <w:r>
        <w:rPr>
          <w:rFonts w:ascii="宋体" w:hAnsi="宋体" w:eastAsia="宋体" w:cs="宋体"/>
          <w:color w:val="auto"/>
          <w:spacing w:val="-6"/>
          <w:sz w:val="24"/>
          <w:szCs w:val="24"/>
        </w:rPr>
        <w:t>(2) 报价一览表</w:t>
      </w:r>
    </w:p>
    <w:p w14:paraId="422FDEEE">
      <w:pPr>
        <w:spacing w:before="185" w:line="219" w:lineRule="auto"/>
        <w:jc w:val="right"/>
        <w:rPr>
          <w:rFonts w:ascii="宋体" w:hAnsi="宋体" w:eastAsia="宋体" w:cs="宋体"/>
          <w:color w:val="auto"/>
          <w:sz w:val="24"/>
          <w:szCs w:val="24"/>
        </w:rPr>
      </w:pPr>
      <w:r>
        <w:rPr>
          <w:rFonts w:ascii="宋体" w:hAnsi="宋体" w:eastAsia="宋体" w:cs="宋体"/>
          <w:color w:val="auto"/>
          <w:spacing w:val="-3"/>
          <w:sz w:val="24"/>
          <w:szCs w:val="24"/>
        </w:rPr>
        <w:t>(3) 按供应商须知要求提供的全部文件和竞争性谈判文件要求的响应文件。</w:t>
      </w:r>
    </w:p>
    <w:p w14:paraId="2DCAC735">
      <w:pPr>
        <w:spacing w:before="183" w:line="219" w:lineRule="auto"/>
        <w:ind w:left="545"/>
        <w:rPr>
          <w:rFonts w:ascii="宋体" w:hAnsi="宋体" w:eastAsia="宋体" w:cs="宋体"/>
          <w:color w:val="auto"/>
          <w:sz w:val="24"/>
          <w:szCs w:val="24"/>
        </w:rPr>
      </w:pPr>
      <w:r>
        <w:rPr>
          <w:rFonts w:ascii="宋体" w:hAnsi="宋体" w:eastAsia="宋体" w:cs="宋体"/>
          <w:color w:val="auto"/>
          <w:spacing w:val="-4"/>
          <w:sz w:val="24"/>
          <w:szCs w:val="24"/>
        </w:rPr>
        <w:t>(4) 供应商资格证明文件。</w:t>
      </w:r>
    </w:p>
    <w:p w14:paraId="6C74E9E2">
      <w:pPr>
        <w:spacing w:before="183" w:line="219" w:lineRule="auto"/>
        <w:ind w:left="442"/>
        <w:rPr>
          <w:rFonts w:ascii="宋体" w:hAnsi="宋体" w:eastAsia="宋体" w:cs="宋体"/>
          <w:color w:val="auto"/>
          <w:sz w:val="24"/>
          <w:szCs w:val="24"/>
        </w:rPr>
      </w:pPr>
      <w:r>
        <w:rPr>
          <w:rFonts w:ascii="宋体" w:hAnsi="宋体" w:eastAsia="宋体" w:cs="宋体"/>
          <w:color w:val="auto"/>
          <w:spacing w:val="-1"/>
          <w:sz w:val="24"/>
          <w:szCs w:val="24"/>
        </w:rPr>
        <w:t>据此函，签字代表宣布同意如下：</w:t>
      </w:r>
    </w:p>
    <w:p w14:paraId="673F13E9">
      <w:pPr>
        <w:spacing w:before="185" w:line="289" w:lineRule="auto"/>
        <w:ind w:left="25" w:right="53" w:firstLine="435"/>
        <w:rPr>
          <w:rFonts w:ascii="宋体" w:hAnsi="宋体" w:eastAsia="宋体" w:cs="宋体"/>
          <w:color w:val="auto"/>
          <w:sz w:val="24"/>
          <w:szCs w:val="24"/>
        </w:rPr>
      </w:pPr>
      <w:r>
        <w:rPr>
          <w:rFonts w:ascii="宋体" w:hAnsi="宋体" w:eastAsia="宋体" w:cs="宋体"/>
          <w:color w:val="auto"/>
          <w:spacing w:val="-2"/>
          <w:sz w:val="24"/>
          <w:szCs w:val="24"/>
        </w:rPr>
        <w:t>1. 所附报价一览表中规定的谈判报价为：</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96"/>
          <w:sz w:val="24"/>
          <w:szCs w:val="24"/>
        </w:rPr>
        <w:t xml:space="preserve"> </w:t>
      </w:r>
      <w:r>
        <w:rPr>
          <w:rFonts w:ascii="宋体" w:hAnsi="宋体" w:eastAsia="宋体" w:cs="宋体"/>
          <w:color w:val="auto"/>
          <w:spacing w:val="-2"/>
          <w:sz w:val="24"/>
          <w:szCs w:val="24"/>
        </w:rPr>
        <w:t>元（即：</w:t>
      </w:r>
      <w:r>
        <w:rPr>
          <w:rFonts w:ascii="宋体" w:hAnsi="宋体" w:eastAsia="宋体" w:cs="宋体"/>
          <w:color w:val="auto"/>
          <w:spacing w:val="-2"/>
          <w:sz w:val="24"/>
          <w:szCs w:val="24"/>
          <w:u w:val="single" w:color="auto"/>
        </w:rPr>
        <w:t xml:space="preserve">         大写</w:t>
      </w:r>
      <w:r>
        <w:rPr>
          <w:rFonts w:ascii="宋体" w:hAnsi="宋体" w:eastAsia="宋体" w:cs="宋体"/>
          <w:color w:val="auto"/>
          <w:sz w:val="24"/>
          <w:szCs w:val="24"/>
        </w:rPr>
        <w:t xml:space="preserve"> </w:t>
      </w:r>
      <w:r>
        <w:rPr>
          <w:rFonts w:ascii="宋体" w:hAnsi="宋体" w:eastAsia="宋体" w:cs="宋体"/>
          <w:color w:val="auto"/>
          <w:spacing w:val="-3"/>
          <w:sz w:val="24"/>
          <w:szCs w:val="24"/>
          <w:u w:val="single" w:color="auto"/>
        </w:rPr>
        <w:t>金额</w:t>
      </w:r>
      <w:r>
        <w:rPr>
          <w:rFonts w:ascii="宋体" w:hAnsi="宋体" w:eastAsia="宋体" w:cs="宋体"/>
          <w:color w:val="auto"/>
          <w:spacing w:val="-53"/>
          <w:sz w:val="24"/>
          <w:szCs w:val="24"/>
        </w:rPr>
        <w:t>），</w:t>
      </w:r>
      <w:r>
        <w:rPr>
          <w:rFonts w:ascii="宋体" w:hAnsi="宋体" w:eastAsia="宋体" w:cs="宋体"/>
          <w:color w:val="auto"/>
          <w:spacing w:val="-3"/>
          <w:sz w:val="24"/>
          <w:szCs w:val="24"/>
        </w:rPr>
        <w:t>供货期</w:t>
      </w:r>
      <w:r>
        <w:rPr>
          <w:rFonts w:ascii="宋体" w:hAnsi="宋体" w:eastAsia="宋体" w:cs="宋体"/>
          <w:color w:val="auto"/>
          <w:spacing w:val="-3"/>
          <w:sz w:val="24"/>
          <w:szCs w:val="24"/>
          <w:u w:val="single" w:color="auto"/>
        </w:rPr>
        <w:t xml:space="preserve">         </w:t>
      </w:r>
      <w:r>
        <w:rPr>
          <w:rFonts w:ascii="宋体" w:hAnsi="宋体" w:eastAsia="宋体" w:cs="宋体"/>
          <w:color w:val="auto"/>
          <w:spacing w:val="-90"/>
          <w:sz w:val="24"/>
          <w:szCs w:val="24"/>
        </w:rPr>
        <w:t xml:space="preserve"> </w:t>
      </w:r>
      <w:r>
        <w:rPr>
          <w:rFonts w:ascii="宋体" w:hAnsi="宋体" w:eastAsia="宋体" w:cs="宋体"/>
          <w:color w:val="auto"/>
          <w:spacing w:val="-3"/>
          <w:sz w:val="24"/>
          <w:szCs w:val="24"/>
        </w:rPr>
        <w:t>；质保期</w:t>
      </w:r>
      <w:r>
        <w:rPr>
          <w:rFonts w:ascii="宋体" w:hAnsi="宋体" w:eastAsia="宋体" w:cs="宋体"/>
          <w:color w:val="auto"/>
          <w:sz w:val="24"/>
          <w:szCs w:val="24"/>
          <w:u w:val="single" w:color="auto"/>
        </w:rPr>
        <w:t xml:space="preserve">          </w:t>
      </w:r>
      <w:r>
        <w:rPr>
          <w:rFonts w:ascii="宋体" w:hAnsi="宋体" w:eastAsia="宋体" w:cs="宋体"/>
          <w:color w:val="auto"/>
          <w:spacing w:val="-3"/>
          <w:sz w:val="24"/>
          <w:szCs w:val="24"/>
        </w:rPr>
        <w:t>；</w:t>
      </w:r>
    </w:p>
    <w:p w14:paraId="57902E3D">
      <w:pPr>
        <w:spacing w:before="183" w:line="219" w:lineRule="auto"/>
        <w:ind w:left="446"/>
        <w:rPr>
          <w:rFonts w:ascii="宋体" w:hAnsi="宋体" w:eastAsia="宋体" w:cs="宋体"/>
          <w:color w:val="auto"/>
          <w:sz w:val="24"/>
          <w:szCs w:val="24"/>
        </w:rPr>
      </w:pPr>
      <w:r>
        <w:rPr>
          <w:rFonts w:ascii="宋体" w:hAnsi="宋体" w:eastAsia="宋体" w:cs="宋体"/>
          <w:color w:val="auto"/>
          <w:spacing w:val="-1"/>
          <w:sz w:val="24"/>
          <w:szCs w:val="24"/>
        </w:rPr>
        <w:t>2. 供应商将按竞争性谈判文件的规定履行合同责任和义务；</w:t>
      </w:r>
    </w:p>
    <w:p w14:paraId="66AA3D03">
      <w:pPr>
        <w:spacing w:before="184" w:line="313" w:lineRule="auto"/>
        <w:ind w:left="22" w:right="53" w:firstLine="425"/>
        <w:rPr>
          <w:rFonts w:ascii="宋体" w:hAnsi="宋体" w:eastAsia="宋体" w:cs="宋体"/>
          <w:color w:val="auto"/>
          <w:sz w:val="24"/>
          <w:szCs w:val="24"/>
        </w:rPr>
      </w:pPr>
      <w:r>
        <w:rPr>
          <w:rFonts w:ascii="宋体" w:hAnsi="宋体" w:eastAsia="宋体" w:cs="宋体"/>
          <w:color w:val="auto"/>
          <w:spacing w:val="2"/>
          <w:sz w:val="24"/>
          <w:szCs w:val="24"/>
        </w:rPr>
        <w:t>3. 供应商已详细审查全部竞争性谈判文件，包括修改文件（如有的话）以</w:t>
      </w:r>
      <w:r>
        <w:rPr>
          <w:rFonts w:ascii="宋体" w:hAnsi="宋体" w:eastAsia="宋体" w:cs="宋体"/>
          <w:color w:val="auto"/>
          <w:spacing w:val="3"/>
          <w:sz w:val="24"/>
          <w:szCs w:val="24"/>
        </w:rPr>
        <w:t xml:space="preserve"> </w:t>
      </w:r>
      <w:r>
        <w:rPr>
          <w:rFonts w:ascii="宋体" w:hAnsi="宋体" w:eastAsia="宋体" w:cs="宋体"/>
          <w:color w:val="auto"/>
          <w:spacing w:val="-3"/>
          <w:sz w:val="24"/>
          <w:szCs w:val="24"/>
        </w:rPr>
        <w:t>及全部参考资料和有关附件。我们完全理解并同意放弃对这方面有不明及误解的</w:t>
      </w:r>
      <w:r>
        <w:rPr>
          <w:rFonts w:ascii="宋体" w:hAnsi="宋体" w:eastAsia="宋体" w:cs="宋体"/>
          <w:color w:val="auto"/>
          <w:spacing w:val="2"/>
          <w:sz w:val="24"/>
          <w:szCs w:val="24"/>
        </w:rPr>
        <w:t xml:space="preserve"> </w:t>
      </w:r>
      <w:r>
        <w:rPr>
          <w:rFonts w:ascii="宋体" w:hAnsi="宋体" w:eastAsia="宋体" w:cs="宋体"/>
          <w:color w:val="auto"/>
          <w:spacing w:val="-3"/>
          <w:sz w:val="24"/>
          <w:szCs w:val="24"/>
        </w:rPr>
        <w:t>权利；</w:t>
      </w:r>
    </w:p>
    <w:p w14:paraId="5F989B01">
      <w:pPr>
        <w:spacing w:before="183" w:line="218" w:lineRule="auto"/>
        <w:ind w:left="442"/>
        <w:rPr>
          <w:rFonts w:ascii="宋体" w:hAnsi="宋体" w:eastAsia="宋体" w:cs="宋体"/>
          <w:color w:val="auto"/>
          <w:sz w:val="24"/>
          <w:szCs w:val="24"/>
        </w:rPr>
      </w:pPr>
      <w:r>
        <w:rPr>
          <w:rFonts w:ascii="宋体" w:hAnsi="宋体" w:eastAsia="宋体" w:cs="宋体"/>
          <w:color w:val="auto"/>
          <w:spacing w:val="-2"/>
          <w:sz w:val="24"/>
          <w:szCs w:val="24"/>
        </w:rPr>
        <w:t xml:space="preserve">4. </w:t>
      </w:r>
      <w:r>
        <w:rPr>
          <w:rFonts w:hint="eastAsia" w:cs="宋体"/>
          <w:i w:val="0"/>
          <w:iCs w:val="0"/>
          <w:caps w:val="0"/>
          <w:snapToGrid/>
          <w:color w:val="auto"/>
          <w:spacing w:val="0"/>
          <w:sz w:val="24"/>
          <w:szCs w:val="24"/>
          <w:shd w:val="clear" w:color="auto" w:fill="FFFFFF"/>
          <w:lang w:val="en-US" w:eastAsia="zh-CN"/>
        </w:rPr>
        <w:t>其他；</w:t>
      </w:r>
    </w:p>
    <w:p w14:paraId="77E3288D">
      <w:pPr>
        <w:spacing w:before="184" w:line="313" w:lineRule="auto"/>
        <w:ind w:left="24" w:right="53" w:firstLine="423"/>
        <w:rPr>
          <w:rFonts w:ascii="宋体" w:hAnsi="宋体" w:eastAsia="宋体" w:cs="宋体"/>
          <w:sz w:val="24"/>
          <w:szCs w:val="24"/>
        </w:rPr>
      </w:pPr>
      <w:r>
        <w:rPr>
          <w:rFonts w:ascii="宋体" w:hAnsi="宋体" w:eastAsia="宋体" w:cs="宋体"/>
          <w:spacing w:val="2"/>
          <w:sz w:val="24"/>
          <w:szCs w:val="24"/>
        </w:rPr>
        <w:t>5. 如果在规定的宣读谈判报价时间后，供应商在谈判有效期内撤回谈判报</w:t>
      </w:r>
      <w:r>
        <w:rPr>
          <w:rFonts w:ascii="宋体" w:hAnsi="宋体" w:eastAsia="宋体" w:cs="宋体"/>
          <w:spacing w:val="3"/>
          <w:sz w:val="24"/>
          <w:szCs w:val="24"/>
        </w:rPr>
        <w:t xml:space="preserve"> </w:t>
      </w:r>
      <w:r>
        <w:rPr>
          <w:rFonts w:ascii="宋体" w:hAnsi="宋体" w:eastAsia="宋体" w:cs="宋体"/>
          <w:spacing w:val="-3"/>
          <w:sz w:val="24"/>
          <w:szCs w:val="24"/>
        </w:rPr>
        <w:t>价；或入选后未按竞争性谈判文件中供应商须知规定的向采购代理机构交纳足额</w:t>
      </w:r>
      <w:r>
        <w:rPr>
          <w:rFonts w:ascii="宋体" w:hAnsi="宋体" w:eastAsia="宋体" w:cs="宋体"/>
          <w:sz w:val="24"/>
          <w:szCs w:val="24"/>
        </w:rPr>
        <w:t xml:space="preserve"> </w:t>
      </w:r>
      <w:r>
        <w:rPr>
          <w:rFonts w:ascii="宋体" w:hAnsi="宋体" w:eastAsia="宋体" w:cs="宋体"/>
          <w:spacing w:val="-1"/>
          <w:sz w:val="24"/>
          <w:szCs w:val="24"/>
        </w:rPr>
        <w:t>的采购代理服务费，其谈判保证金将被贵方没收；</w:t>
      </w:r>
    </w:p>
    <w:p w14:paraId="35001DD4">
      <w:pPr>
        <w:spacing w:before="184" w:line="218" w:lineRule="auto"/>
        <w:ind w:left="445"/>
        <w:rPr>
          <w:rFonts w:ascii="宋体" w:hAnsi="宋体" w:eastAsia="宋体" w:cs="宋体"/>
          <w:sz w:val="24"/>
          <w:szCs w:val="24"/>
        </w:rPr>
      </w:pPr>
      <w:r>
        <w:rPr>
          <w:rFonts w:ascii="宋体" w:hAnsi="宋体" w:eastAsia="宋体" w:cs="宋体"/>
          <w:sz w:val="24"/>
          <w:szCs w:val="24"/>
        </w:rPr>
        <w:t>6. 供应商同意提供按照贵方可能要求的与其</w:t>
      </w:r>
      <w:r>
        <w:rPr>
          <w:rFonts w:ascii="宋体" w:hAnsi="宋体" w:eastAsia="宋体" w:cs="宋体"/>
          <w:spacing w:val="-1"/>
          <w:sz w:val="24"/>
          <w:szCs w:val="24"/>
        </w:rPr>
        <w:t>报价有关的一切数据或资料。</w:t>
      </w:r>
    </w:p>
    <w:p w14:paraId="7FF2CA87">
      <w:pPr>
        <w:spacing w:before="184" w:line="219" w:lineRule="auto"/>
        <w:ind w:left="449"/>
        <w:rPr>
          <w:rFonts w:ascii="宋体" w:hAnsi="宋体" w:eastAsia="宋体" w:cs="宋体"/>
          <w:sz w:val="24"/>
          <w:szCs w:val="24"/>
        </w:rPr>
      </w:pPr>
      <w:r>
        <w:rPr>
          <w:rFonts w:ascii="宋体" w:hAnsi="宋体" w:eastAsia="宋体" w:cs="宋体"/>
          <w:spacing w:val="-1"/>
          <w:sz w:val="24"/>
          <w:szCs w:val="24"/>
        </w:rPr>
        <w:t>7. 与本谈判有关的一切正式往来通讯请寄：</w:t>
      </w:r>
    </w:p>
    <w:p w14:paraId="7385FCB5">
      <w:pPr>
        <w:spacing w:before="184" w:line="219" w:lineRule="auto"/>
        <w:ind w:left="383"/>
        <w:rPr>
          <w:rFonts w:ascii="宋体" w:hAnsi="宋体" w:eastAsia="宋体" w:cs="宋体"/>
          <w:sz w:val="24"/>
          <w:szCs w:val="24"/>
        </w:rPr>
      </w:pPr>
      <w:r>
        <w:rPr>
          <w:rFonts w:ascii="宋体" w:hAnsi="宋体" w:eastAsia="宋体" w:cs="宋体"/>
          <w:spacing w:val="-7"/>
          <w:sz w:val="24"/>
          <w:szCs w:val="24"/>
        </w:rPr>
        <w:t>地址：</w:t>
      </w:r>
      <w:r>
        <w:rPr>
          <w:rFonts w:ascii="宋体" w:hAnsi="宋体" w:eastAsia="宋体" w:cs="宋体"/>
          <w:sz w:val="24"/>
          <w:szCs w:val="24"/>
          <w:u w:val="single" w:color="auto"/>
        </w:rPr>
        <w:t xml:space="preserve">                               </w:t>
      </w:r>
      <w:r>
        <w:rPr>
          <w:rFonts w:ascii="宋体" w:hAnsi="宋体" w:eastAsia="宋体" w:cs="宋体"/>
          <w:spacing w:val="10"/>
          <w:sz w:val="24"/>
          <w:szCs w:val="24"/>
        </w:rPr>
        <w:t xml:space="preserve">   </w:t>
      </w:r>
      <w:r>
        <w:rPr>
          <w:rFonts w:ascii="宋体" w:hAnsi="宋体" w:eastAsia="宋体" w:cs="宋体"/>
          <w:spacing w:val="-7"/>
          <w:sz w:val="24"/>
          <w:szCs w:val="24"/>
        </w:rPr>
        <w:t>邮编：</w:t>
      </w:r>
      <w:r>
        <w:rPr>
          <w:rFonts w:ascii="宋体" w:hAnsi="宋体" w:eastAsia="宋体" w:cs="宋体"/>
          <w:sz w:val="24"/>
          <w:szCs w:val="24"/>
          <w:u w:val="single" w:color="auto"/>
        </w:rPr>
        <w:t xml:space="preserve">                    </w:t>
      </w:r>
    </w:p>
    <w:p w14:paraId="08D49835">
      <w:pPr>
        <w:spacing w:before="183" w:line="219" w:lineRule="auto"/>
        <w:ind w:left="411"/>
        <w:rPr>
          <w:rFonts w:ascii="宋体" w:hAnsi="宋体" w:eastAsia="宋体" w:cs="宋体"/>
          <w:sz w:val="24"/>
          <w:szCs w:val="24"/>
        </w:rPr>
      </w:pPr>
      <w:r>
        <w:rPr>
          <w:rFonts w:ascii="宋体" w:hAnsi="宋体" w:eastAsia="宋体" w:cs="宋体"/>
          <w:spacing w:val="-4"/>
          <w:sz w:val="24"/>
          <w:szCs w:val="24"/>
        </w:rPr>
        <w:t>电话：</w:t>
      </w:r>
      <w:r>
        <w:rPr>
          <w:rFonts w:ascii="宋体" w:hAnsi="宋体" w:eastAsia="宋体" w:cs="宋体"/>
          <w:spacing w:val="-4"/>
          <w:sz w:val="24"/>
          <w:szCs w:val="24"/>
          <w:u w:val="single" w:color="auto"/>
        </w:rPr>
        <w:t xml:space="preserve">                            </w:t>
      </w:r>
      <w:r>
        <w:rPr>
          <w:rFonts w:ascii="宋体" w:hAnsi="宋体" w:eastAsia="宋体" w:cs="宋体"/>
          <w:spacing w:val="-5"/>
          <w:sz w:val="24"/>
          <w:szCs w:val="24"/>
          <w:u w:val="single" w:color="auto"/>
        </w:rPr>
        <w:t xml:space="preserve">     </w:t>
      </w:r>
      <w:r>
        <w:rPr>
          <w:rFonts w:ascii="宋体" w:hAnsi="宋体" w:eastAsia="宋体" w:cs="宋体"/>
          <w:spacing w:val="-5"/>
          <w:sz w:val="24"/>
          <w:szCs w:val="24"/>
        </w:rPr>
        <w:t xml:space="preserve">  传真：</w:t>
      </w:r>
      <w:r>
        <w:rPr>
          <w:rFonts w:ascii="宋体" w:hAnsi="宋体" w:eastAsia="宋体" w:cs="宋体"/>
          <w:spacing w:val="-5"/>
          <w:sz w:val="24"/>
          <w:szCs w:val="24"/>
          <w:u w:val="single" w:color="auto"/>
        </w:rPr>
        <w:t xml:space="preserve">                     </w:t>
      </w:r>
    </w:p>
    <w:p w14:paraId="19EE173F">
      <w:pPr>
        <w:spacing w:before="183" w:line="219" w:lineRule="auto"/>
        <w:ind w:left="383"/>
        <w:rPr>
          <w:rFonts w:ascii="宋体" w:hAnsi="宋体" w:eastAsia="宋体" w:cs="宋体"/>
          <w:sz w:val="24"/>
          <w:szCs w:val="24"/>
        </w:rPr>
      </w:pPr>
      <w:r>
        <w:rPr>
          <w:rFonts w:ascii="宋体" w:hAnsi="宋体" w:eastAsia="宋体" w:cs="宋体"/>
          <w:spacing w:val="-1"/>
          <w:sz w:val="24"/>
          <w:szCs w:val="24"/>
        </w:rPr>
        <w:t>供应商代表姓名、职务：</w:t>
      </w:r>
      <w:r>
        <w:rPr>
          <w:rFonts w:ascii="宋体" w:hAnsi="宋体" w:eastAsia="宋体" w:cs="宋体"/>
          <w:sz w:val="24"/>
          <w:szCs w:val="24"/>
          <w:u w:val="single" w:color="auto"/>
        </w:rPr>
        <w:t xml:space="preserve">                                   </w:t>
      </w:r>
    </w:p>
    <w:p w14:paraId="56E78DBB">
      <w:pPr>
        <w:spacing w:before="183" w:line="219" w:lineRule="auto"/>
        <w:ind w:left="383"/>
        <w:rPr>
          <w:rFonts w:ascii="宋体" w:hAnsi="宋体" w:eastAsia="宋体" w:cs="宋体"/>
          <w:sz w:val="24"/>
          <w:szCs w:val="24"/>
        </w:rPr>
      </w:pPr>
      <w:r>
        <w:rPr>
          <w:rFonts w:ascii="宋体" w:hAnsi="宋体" w:eastAsia="宋体" w:cs="宋体"/>
          <w:spacing w:val="3"/>
          <w:sz w:val="24"/>
          <w:szCs w:val="24"/>
        </w:rPr>
        <w:t>供应商名称</w:t>
      </w:r>
      <w:r>
        <w:rPr>
          <w:rFonts w:ascii="宋体" w:hAnsi="宋体" w:eastAsia="宋体" w:cs="宋体"/>
          <w:spacing w:val="-18"/>
          <w:sz w:val="24"/>
          <w:szCs w:val="24"/>
        </w:rPr>
        <w:t>：</w:t>
      </w:r>
      <w:r>
        <w:rPr>
          <w:rFonts w:ascii="宋体" w:hAnsi="宋体" w:eastAsia="宋体" w:cs="宋体"/>
          <w:spacing w:val="6"/>
          <w:sz w:val="24"/>
          <w:szCs w:val="24"/>
          <w:u w:val="single" w:color="auto"/>
        </w:rPr>
        <w:t xml:space="preserve">                   </w:t>
      </w:r>
      <w:r>
        <w:rPr>
          <w:rFonts w:ascii="宋体" w:hAnsi="宋体" w:eastAsia="宋体" w:cs="宋体"/>
          <w:spacing w:val="-18"/>
          <w:sz w:val="24"/>
          <w:szCs w:val="24"/>
          <w:u w:val="single" w:color="auto"/>
        </w:rPr>
        <w:t>（</w:t>
      </w:r>
      <w:r>
        <w:rPr>
          <w:rFonts w:ascii="宋体" w:hAnsi="宋体" w:eastAsia="宋体" w:cs="宋体"/>
          <w:spacing w:val="3"/>
          <w:sz w:val="24"/>
          <w:szCs w:val="24"/>
          <w:u w:val="single" w:color="auto"/>
        </w:rPr>
        <w:t>公章）</w:t>
      </w:r>
    </w:p>
    <w:p w14:paraId="62D3F34E">
      <w:pPr>
        <w:spacing w:before="184" w:line="219" w:lineRule="auto"/>
        <w:ind w:left="384"/>
        <w:rPr>
          <w:rFonts w:ascii="宋体" w:hAnsi="宋体" w:eastAsia="宋体" w:cs="宋体"/>
          <w:sz w:val="24"/>
          <w:szCs w:val="24"/>
        </w:rPr>
      </w:pPr>
      <w:r>
        <w:rPr>
          <w:rFonts w:ascii="宋体" w:hAnsi="宋体" w:eastAsia="宋体" w:cs="宋体"/>
          <w:spacing w:val="-1"/>
          <w:sz w:val="24"/>
          <w:szCs w:val="24"/>
        </w:rPr>
        <w:t>法定代表人/负责人和被授权代表（签字</w:t>
      </w:r>
      <w:r>
        <w:rPr>
          <w:rFonts w:hint="eastAsia" w:ascii="宋体" w:hAnsi="宋体" w:eastAsia="宋体" w:cs="宋体"/>
          <w:spacing w:val="-1"/>
          <w:sz w:val="24"/>
          <w:szCs w:val="24"/>
          <w:lang w:val="en-US" w:eastAsia="zh-CN"/>
        </w:rPr>
        <w:t>并</w:t>
      </w:r>
      <w:r>
        <w:rPr>
          <w:rFonts w:ascii="宋体" w:hAnsi="宋体" w:eastAsia="宋体" w:cs="宋体"/>
          <w:spacing w:val="-1"/>
          <w:sz w:val="24"/>
          <w:szCs w:val="24"/>
        </w:rPr>
        <w:t>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6613559F">
      <w:pPr>
        <w:spacing w:before="184" w:line="219" w:lineRule="auto"/>
        <w:ind w:left="424"/>
        <w:rPr>
          <w:rFonts w:ascii="宋体" w:hAnsi="宋体" w:eastAsia="宋体" w:cs="宋体"/>
          <w:sz w:val="24"/>
          <w:szCs w:val="24"/>
        </w:rPr>
      </w:pPr>
      <w:r>
        <w:rPr>
          <w:rFonts w:ascii="宋体" w:hAnsi="宋体" w:eastAsia="宋体" w:cs="宋体"/>
          <w:spacing w:val="-11"/>
          <w:sz w:val="24"/>
          <w:szCs w:val="24"/>
        </w:rPr>
        <w:t xml:space="preserve">日期： </w:t>
      </w:r>
      <w:r>
        <w:rPr>
          <w:rFonts w:ascii="宋体" w:hAnsi="宋体" w:eastAsia="宋体" w:cs="宋体"/>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11"/>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1"/>
          <w:sz w:val="24"/>
          <w:szCs w:val="24"/>
        </w:rPr>
        <w:t>月</w:t>
      </w:r>
      <w:r>
        <w:rPr>
          <w:rFonts w:ascii="宋体" w:hAnsi="宋体" w:eastAsia="宋体" w:cs="宋体"/>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11"/>
          <w:sz w:val="24"/>
          <w:szCs w:val="24"/>
        </w:rPr>
        <w:t>日</w:t>
      </w:r>
    </w:p>
    <w:p w14:paraId="01DBEBEC">
      <w:pPr>
        <w:spacing w:line="219" w:lineRule="auto"/>
        <w:rPr>
          <w:rFonts w:ascii="宋体" w:hAnsi="宋体" w:eastAsia="宋体" w:cs="宋体"/>
          <w:sz w:val="24"/>
          <w:szCs w:val="24"/>
        </w:rPr>
        <w:sectPr>
          <w:footerReference r:id="rId16" w:type="default"/>
          <w:pgSz w:w="11906" w:h="16839"/>
          <w:pgMar w:top="1431" w:right="1745" w:bottom="1099" w:left="1785" w:header="0" w:footer="934" w:gutter="0"/>
          <w:pgNumType w:fmt="decimal"/>
          <w:cols w:space="720" w:num="1"/>
        </w:sectPr>
      </w:pPr>
    </w:p>
    <w:p w14:paraId="7C7E64F3">
      <w:pPr>
        <w:spacing w:before="163" w:line="223" w:lineRule="auto"/>
        <w:ind w:left="2693"/>
        <w:outlineLvl w:val="1"/>
        <w:rPr>
          <w:rFonts w:ascii="宋体" w:hAnsi="宋体" w:eastAsia="宋体" w:cs="宋体"/>
          <w:sz w:val="31"/>
          <w:szCs w:val="31"/>
        </w:rPr>
      </w:pPr>
      <w:bookmarkStart w:id="76" w:name="_Toc22470"/>
      <w:r>
        <w:rPr>
          <w:rFonts w:ascii="宋体" w:hAnsi="宋体" w:eastAsia="宋体" w:cs="宋体"/>
          <w:b/>
          <w:bCs/>
          <w:spacing w:val="5"/>
          <w:sz w:val="31"/>
          <w:szCs w:val="31"/>
        </w:rPr>
        <w:t>二、第一次谈判报价表</w:t>
      </w:r>
      <w:bookmarkEnd w:id="76"/>
    </w:p>
    <w:p w14:paraId="71CF9C9A">
      <w:pPr>
        <w:spacing w:line="94" w:lineRule="exact"/>
      </w:pPr>
    </w:p>
    <w:tbl>
      <w:tblPr>
        <w:tblStyle w:val="31"/>
        <w:tblW w:w="90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3"/>
        <w:gridCol w:w="7029"/>
      </w:tblGrid>
      <w:tr w14:paraId="2DEF0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1983" w:type="dxa"/>
            <w:vAlign w:val="top"/>
          </w:tcPr>
          <w:p w14:paraId="12EE9BEC">
            <w:pPr>
              <w:spacing w:line="277" w:lineRule="auto"/>
              <w:rPr>
                <w:rFonts w:ascii="Arial"/>
                <w:sz w:val="21"/>
              </w:rPr>
            </w:pPr>
          </w:p>
          <w:p w14:paraId="43A695B6">
            <w:pPr>
              <w:spacing w:line="277" w:lineRule="auto"/>
              <w:rPr>
                <w:rFonts w:ascii="Arial"/>
                <w:sz w:val="21"/>
              </w:rPr>
            </w:pPr>
          </w:p>
          <w:p w14:paraId="3685252F">
            <w:pPr>
              <w:pStyle w:val="32"/>
              <w:spacing w:before="78" w:line="219" w:lineRule="auto"/>
              <w:ind w:left="279"/>
            </w:pPr>
            <w:r>
              <w:rPr>
                <w:b/>
                <w:bCs/>
                <w:spacing w:val="-4"/>
              </w:rPr>
              <w:t>采购项目名称</w:t>
            </w:r>
          </w:p>
        </w:tc>
        <w:tc>
          <w:tcPr>
            <w:tcW w:w="7029" w:type="dxa"/>
            <w:vAlign w:val="top"/>
          </w:tcPr>
          <w:p w14:paraId="579D0B85">
            <w:pPr>
              <w:rPr>
                <w:rFonts w:ascii="Arial"/>
                <w:sz w:val="21"/>
              </w:rPr>
            </w:pPr>
          </w:p>
        </w:tc>
      </w:tr>
      <w:tr w14:paraId="774C8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983" w:type="dxa"/>
            <w:vAlign w:val="top"/>
          </w:tcPr>
          <w:p w14:paraId="7A67EF6F">
            <w:pPr>
              <w:pStyle w:val="32"/>
              <w:spacing w:before="250" w:line="219" w:lineRule="auto"/>
              <w:ind w:left="279"/>
            </w:pPr>
            <w:r>
              <w:rPr>
                <w:b/>
                <w:bCs/>
                <w:spacing w:val="-4"/>
              </w:rPr>
              <w:t>采购项目编号</w:t>
            </w:r>
          </w:p>
        </w:tc>
        <w:tc>
          <w:tcPr>
            <w:tcW w:w="7029" w:type="dxa"/>
            <w:vAlign w:val="top"/>
          </w:tcPr>
          <w:p w14:paraId="27634ABB">
            <w:pPr>
              <w:rPr>
                <w:rFonts w:ascii="Arial"/>
                <w:sz w:val="21"/>
              </w:rPr>
            </w:pPr>
          </w:p>
        </w:tc>
      </w:tr>
      <w:tr w14:paraId="56E1C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4" w:hRule="atLeast"/>
        </w:trPr>
        <w:tc>
          <w:tcPr>
            <w:tcW w:w="1983" w:type="dxa"/>
            <w:vAlign w:val="top"/>
          </w:tcPr>
          <w:p w14:paraId="778135A7">
            <w:pPr>
              <w:pStyle w:val="32"/>
              <w:spacing w:before="247" w:line="219" w:lineRule="auto"/>
              <w:ind w:left="400"/>
            </w:pPr>
            <w:r>
              <w:rPr>
                <w:b/>
                <w:bCs/>
                <w:spacing w:val="-4"/>
              </w:rPr>
              <w:t>供应商名称</w:t>
            </w:r>
          </w:p>
          <w:p w14:paraId="7FECE68B">
            <w:pPr>
              <w:pStyle w:val="32"/>
              <w:spacing w:before="183" w:line="220" w:lineRule="auto"/>
              <w:ind w:left="442"/>
            </w:pPr>
            <w:r>
              <w:rPr>
                <w:b/>
                <w:bCs/>
                <w:spacing w:val="-11"/>
              </w:rPr>
              <w:t>(单位名称)</w:t>
            </w:r>
          </w:p>
        </w:tc>
        <w:tc>
          <w:tcPr>
            <w:tcW w:w="7029" w:type="dxa"/>
            <w:vAlign w:val="top"/>
          </w:tcPr>
          <w:p w14:paraId="3E84BCDE">
            <w:pPr>
              <w:rPr>
                <w:rFonts w:ascii="Arial"/>
                <w:sz w:val="21"/>
              </w:rPr>
            </w:pPr>
          </w:p>
        </w:tc>
      </w:tr>
      <w:tr w14:paraId="443A7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2" w:hRule="atLeast"/>
        </w:trPr>
        <w:tc>
          <w:tcPr>
            <w:tcW w:w="1983" w:type="dxa"/>
            <w:vAlign w:val="top"/>
          </w:tcPr>
          <w:p w14:paraId="01D63743">
            <w:pPr>
              <w:spacing w:line="245" w:lineRule="auto"/>
              <w:rPr>
                <w:rFonts w:ascii="Arial"/>
                <w:sz w:val="21"/>
              </w:rPr>
            </w:pPr>
          </w:p>
          <w:p w14:paraId="575EA29A">
            <w:pPr>
              <w:spacing w:line="245" w:lineRule="auto"/>
              <w:rPr>
                <w:rFonts w:ascii="Arial"/>
                <w:sz w:val="21"/>
              </w:rPr>
            </w:pPr>
          </w:p>
          <w:p w14:paraId="489E0B1F">
            <w:pPr>
              <w:spacing w:line="246" w:lineRule="auto"/>
              <w:rPr>
                <w:rFonts w:ascii="Arial"/>
                <w:sz w:val="21"/>
              </w:rPr>
            </w:pPr>
          </w:p>
          <w:p w14:paraId="400A0385">
            <w:pPr>
              <w:pStyle w:val="32"/>
              <w:spacing w:before="78" w:line="218" w:lineRule="auto"/>
              <w:ind w:left="519"/>
            </w:pPr>
            <w:r>
              <w:rPr>
                <w:b/>
                <w:bCs/>
                <w:spacing w:val="-5"/>
              </w:rPr>
              <w:t>谈判报价</w:t>
            </w:r>
          </w:p>
          <w:p w14:paraId="4811D846">
            <w:pPr>
              <w:pStyle w:val="32"/>
              <w:spacing w:before="184" w:line="219" w:lineRule="auto"/>
              <w:ind w:left="411"/>
            </w:pPr>
            <w:r>
              <w:rPr>
                <w:b/>
                <w:bCs/>
                <w:spacing w:val="-7"/>
              </w:rPr>
              <w:t>（人民币）</w:t>
            </w:r>
          </w:p>
        </w:tc>
        <w:tc>
          <w:tcPr>
            <w:tcW w:w="7029" w:type="dxa"/>
            <w:vAlign w:val="top"/>
          </w:tcPr>
          <w:p w14:paraId="5B6F3633">
            <w:pPr>
              <w:spacing w:line="251" w:lineRule="auto"/>
              <w:rPr>
                <w:rFonts w:ascii="Arial"/>
                <w:sz w:val="21"/>
              </w:rPr>
            </w:pPr>
          </w:p>
          <w:p w14:paraId="60760376">
            <w:pPr>
              <w:spacing w:line="251" w:lineRule="auto"/>
              <w:rPr>
                <w:rFonts w:ascii="Arial"/>
                <w:sz w:val="21"/>
              </w:rPr>
            </w:pPr>
          </w:p>
          <w:p w14:paraId="1102CEA7">
            <w:pPr>
              <w:pStyle w:val="32"/>
              <w:spacing w:before="78" w:line="219" w:lineRule="auto"/>
              <w:ind w:left="111"/>
            </w:pPr>
            <w:r>
              <w:rPr>
                <w:b/>
                <w:bCs/>
                <w:spacing w:val="-14"/>
              </w:rPr>
              <w:t>人</w:t>
            </w:r>
            <w:r>
              <w:rPr>
                <w:spacing w:val="36"/>
              </w:rPr>
              <w:t xml:space="preserve"> </w:t>
            </w:r>
            <w:r>
              <w:rPr>
                <w:b/>
                <w:bCs/>
                <w:spacing w:val="-14"/>
              </w:rPr>
              <w:t>民</w:t>
            </w:r>
            <w:r>
              <w:rPr>
                <w:spacing w:val="35"/>
              </w:rPr>
              <w:t xml:space="preserve"> </w:t>
            </w:r>
            <w:r>
              <w:rPr>
                <w:b/>
                <w:bCs/>
                <w:spacing w:val="-14"/>
              </w:rPr>
              <w:t>币（大写</w:t>
            </w:r>
            <w:r>
              <w:rPr>
                <w:b/>
                <w:bCs/>
                <w:spacing w:val="-61"/>
              </w:rPr>
              <w:t>）：</w:t>
            </w:r>
            <w:r>
              <w:rPr>
                <w:u w:val="single" w:color="auto"/>
              </w:rPr>
              <w:t xml:space="preserve">                  </w:t>
            </w:r>
            <w:r>
              <w:rPr>
                <w:spacing w:val="22"/>
              </w:rPr>
              <w:t xml:space="preserve"> </w:t>
            </w:r>
            <w:r>
              <w:rPr>
                <w:b/>
                <w:bCs/>
                <w:spacing w:val="-14"/>
              </w:rPr>
              <w:t>元</w:t>
            </w:r>
          </w:p>
          <w:p w14:paraId="0F94254B">
            <w:pPr>
              <w:spacing w:line="284" w:lineRule="auto"/>
              <w:rPr>
                <w:rFonts w:ascii="Arial"/>
                <w:sz w:val="21"/>
              </w:rPr>
            </w:pPr>
          </w:p>
          <w:p w14:paraId="3A8C172C">
            <w:pPr>
              <w:spacing w:line="285" w:lineRule="auto"/>
              <w:rPr>
                <w:rFonts w:ascii="Arial"/>
                <w:sz w:val="21"/>
              </w:rPr>
            </w:pPr>
          </w:p>
          <w:p w14:paraId="36EE6D69">
            <w:pPr>
              <w:pStyle w:val="32"/>
              <w:spacing w:before="78" w:line="219" w:lineRule="auto"/>
              <w:ind w:left="111"/>
            </w:pPr>
            <w:r>
              <w:rPr>
                <w:b/>
                <w:bCs/>
                <w:spacing w:val="-14"/>
              </w:rPr>
              <w:t>人</w:t>
            </w:r>
            <w:r>
              <w:rPr>
                <w:spacing w:val="36"/>
              </w:rPr>
              <w:t xml:space="preserve"> </w:t>
            </w:r>
            <w:r>
              <w:rPr>
                <w:b/>
                <w:bCs/>
                <w:spacing w:val="-14"/>
              </w:rPr>
              <w:t>民</w:t>
            </w:r>
            <w:r>
              <w:rPr>
                <w:spacing w:val="35"/>
              </w:rPr>
              <w:t xml:space="preserve"> </w:t>
            </w:r>
            <w:r>
              <w:rPr>
                <w:b/>
                <w:bCs/>
                <w:spacing w:val="-14"/>
              </w:rPr>
              <w:t>币（小写</w:t>
            </w:r>
            <w:r>
              <w:rPr>
                <w:b/>
                <w:bCs/>
                <w:spacing w:val="-61"/>
              </w:rPr>
              <w:t>）：</w:t>
            </w:r>
            <w:r>
              <w:rPr>
                <w:u w:val="single" w:color="auto"/>
              </w:rPr>
              <w:t xml:space="preserve">                 </w:t>
            </w:r>
            <w:r>
              <w:rPr>
                <w:spacing w:val="22"/>
              </w:rPr>
              <w:t xml:space="preserve"> </w:t>
            </w:r>
            <w:r>
              <w:rPr>
                <w:b/>
                <w:bCs/>
                <w:spacing w:val="-14"/>
              </w:rPr>
              <w:t>元</w:t>
            </w:r>
          </w:p>
        </w:tc>
      </w:tr>
      <w:tr w14:paraId="624DF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1983" w:type="dxa"/>
            <w:vAlign w:val="top"/>
          </w:tcPr>
          <w:p w14:paraId="4BEFC92E">
            <w:pPr>
              <w:spacing w:line="302" w:lineRule="auto"/>
              <w:rPr>
                <w:rFonts w:ascii="Arial"/>
                <w:sz w:val="21"/>
              </w:rPr>
            </w:pPr>
          </w:p>
          <w:p w14:paraId="173BBB74">
            <w:pPr>
              <w:pStyle w:val="32"/>
              <w:spacing w:before="78" w:line="219" w:lineRule="auto"/>
              <w:ind w:left="640"/>
            </w:pPr>
            <w:r>
              <w:rPr>
                <w:b/>
                <w:bCs/>
                <w:spacing w:val="-5"/>
              </w:rPr>
              <w:t>供货期</w:t>
            </w:r>
          </w:p>
        </w:tc>
        <w:tc>
          <w:tcPr>
            <w:tcW w:w="7029" w:type="dxa"/>
            <w:vAlign w:val="top"/>
          </w:tcPr>
          <w:p w14:paraId="21C46BFA">
            <w:pPr>
              <w:rPr>
                <w:rFonts w:ascii="Arial"/>
                <w:sz w:val="21"/>
              </w:rPr>
            </w:pPr>
          </w:p>
        </w:tc>
      </w:tr>
      <w:tr w14:paraId="29D34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1983" w:type="dxa"/>
            <w:vAlign w:val="top"/>
          </w:tcPr>
          <w:p w14:paraId="6D20BEBF">
            <w:pPr>
              <w:spacing w:line="305" w:lineRule="auto"/>
              <w:rPr>
                <w:rFonts w:ascii="Arial"/>
                <w:sz w:val="21"/>
              </w:rPr>
            </w:pPr>
          </w:p>
          <w:p w14:paraId="29EE0CE3">
            <w:pPr>
              <w:pStyle w:val="32"/>
              <w:spacing w:before="78" w:line="220" w:lineRule="auto"/>
              <w:ind w:left="641"/>
            </w:pPr>
            <w:r>
              <w:rPr>
                <w:b/>
                <w:bCs/>
                <w:spacing w:val="-6"/>
              </w:rPr>
              <w:t>质保期</w:t>
            </w:r>
          </w:p>
        </w:tc>
        <w:tc>
          <w:tcPr>
            <w:tcW w:w="7029" w:type="dxa"/>
            <w:vAlign w:val="top"/>
          </w:tcPr>
          <w:p w14:paraId="562C09C3">
            <w:pPr>
              <w:rPr>
                <w:rFonts w:ascii="Arial"/>
                <w:sz w:val="21"/>
              </w:rPr>
            </w:pPr>
          </w:p>
        </w:tc>
      </w:tr>
      <w:tr w14:paraId="4C5C3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trPr>
        <w:tc>
          <w:tcPr>
            <w:tcW w:w="1983" w:type="dxa"/>
            <w:vAlign w:val="top"/>
          </w:tcPr>
          <w:p w14:paraId="057AB856">
            <w:pPr>
              <w:spacing w:line="390" w:lineRule="auto"/>
              <w:rPr>
                <w:rFonts w:ascii="Arial"/>
                <w:sz w:val="21"/>
              </w:rPr>
            </w:pPr>
          </w:p>
          <w:p w14:paraId="0D8E94C4">
            <w:pPr>
              <w:pStyle w:val="32"/>
              <w:spacing w:before="78" w:line="221" w:lineRule="auto"/>
              <w:ind w:left="765"/>
            </w:pPr>
            <w:r>
              <w:rPr>
                <w:b/>
                <w:bCs/>
                <w:spacing w:val="-9"/>
              </w:rPr>
              <w:t>备注</w:t>
            </w:r>
          </w:p>
        </w:tc>
        <w:tc>
          <w:tcPr>
            <w:tcW w:w="7029" w:type="dxa"/>
            <w:vAlign w:val="top"/>
          </w:tcPr>
          <w:p w14:paraId="4900D9D0">
            <w:pPr>
              <w:rPr>
                <w:rFonts w:ascii="Arial"/>
                <w:sz w:val="21"/>
              </w:rPr>
            </w:pPr>
          </w:p>
        </w:tc>
      </w:tr>
    </w:tbl>
    <w:p w14:paraId="1E3DDD9F">
      <w:pPr>
        <w:pStyle w:val="4"/>
        <w:spacing w:line="251" w:lineRule="auto"/>
      </w:pPr>
    </w:p>
    <w:p w14:paraId="2B5FB93D">
      <w:pPr>
        <w:pStyle w:val="4"/>
        <w:spacing w:line="252" w:lineRule="auto"/>
      </w:pPr>
    </w:p>
    <w:p w14:paraId="78E2939D">
      <w:pPr>
        <w:spacing w:before="78" w:line="360" w:lineRule="auto"/>
        <w:ind w:left="152" w:right="386" w:firstLine="469"/>
        <w:jc w:val="both"/>
        <w:rPr>
          <w:rFonts w:ascii="宋体" w:hAnsi="宋体" w:eastAsia="宋体" w:cs="宋体"/>
          <w:sz w:val="24"/>
          <w:szCs w:val="24"/>
        </w:rPr>
      </w:pPr>
      <w:r>
        <w:rPr>
          <w:rFonts w:ascii="宋体" w:hAnsi="宋体" w:eastAsia="宋体" w:cs="宋体"/>
          <w:spacing w:val="-4"/>
          <w:sz w:val="24"/>
          <w:szCs w:val="24"/>
        </w:rPr>
        <w:t>备注： 1、“谈判报价</w:t>
      </w:r>
      <w:r>
        <w:rPr>
          <w:rFonts w:ascii="宋体" w:hAnsi="宋体" w:eastAsia="宋体" w:cs="宋体"/>
          <w:spacing w:val="-88"/>
          <w:sz w:val="24"/>
          <w:szCs w:val="24"/>
        </w:rPr>
        <w:t xml:space="preserve"> </w:t>
      </w:r>
      <w:r>
        <w:rPr>
          <w:rFonts w:ascii="宋体" w:hAnsi="宋体" w:eastAsia="宋体" w:cs="宋体"/>
          <w:spacing w:val="-4"/>
          <w:sz w:val="24"/>
          <w:szCs w:val="24"/>
        </w:rPr>
        <w:t>”为投标总价。谈判报价必须包括：完成采购</w:t>
      </w:r>
      <w:r>
        <w:rPr>
          <w:rFonts w:ascii="宋体" w:hAnsi="宋体" w:eastAsia="宋体" w:cs="宋体"/>
          <w:spacing w:val="-5"/>
          <w:sz w:val="24"/>
          <w:szCs w:val="24"/>
        </w:rPr>
        <w:t>内容所</w:t>
      </w:r>
      <w:r>
        <w:rPr>
          <w:rFonts w:ascii="宋体" w:hAnsi="宋体" w:eastAsia="宋体" w:cs="宋体"/>
          <w:sz w:val="24"/>
          <w:szCs w:val="24"/>
        </w:rPr>
        <w:t xml:space="preserve">  </w:t>
      </w:r>
      <w:r>
        <w:rPr>
          <w:rFonts w:ascii="宋体" w:hAnsi="宋体" w:eastAsia="宋体" w:cs="宋体"/>
          <w:spacing w:val="-3"/>
          <w:sz w:val="24"/>
          <w:szCs w:val="24"/>
        </w:rPr>
        <w:t>需的直接费、间接费、利润、税金及其它相关的一</w:t>
      </w:r>
      <w:r>
        <w:rPr>
          <w:rFonts w:ascii="宋体" w:hAnsi="宋体" w:eastAsia="宋体" w:cs="宋体"/>
          <w:spacing w:val="-4"/>
          <w:sz w:val="24"/>
          <w:szCs w:val="24"/>
        </w:rPr>
        <w:t>切费用，以及合同实施过程中</w:t>
      </w:r>
      <w:r>
        <w:rPr>
          <w:rFonts w:ascii="宋体" w:hAnsi="宋体" w:eastAsia="宋体" w:cs="宋体"/>
          <w:sz w:val="24"/>
          <w:szCs w:val="24"/>
        </w:rPr>
        <w:t xml:space="preserve">  </w:t>
      </w:r>
      <w:r>
        <w:rPr>
          <w:rFonts w:ascii="宋体" w:hAnsi="宋体" w:eastAsia="宋体" w:cs="宋体"/>
          <w:spacing w:val="-4"/>
          <w:sz w:val="24"/>
          <w:szCs w:val="24"/>
        </w:rPr>
        <w:t>的应预见及不可预见费用等完成合同规定责任和义务</w:t>
      </w:r>
      <w:r>
        <w:rPr>
          <w:rFonts w:ascii="宋体" w:hAnsi="宋体" w:eastAsia="宋体" w:cs="宋体"/>
          <w:spacing w:val="-5"/>
          <w:sz w:val="24"/>
          <w:szCs w:val="24"/>
        </w:rPr>
        <w:t>、达到合同目的的一切费用。</w:t>
      </w:r>
    </w:p>
    <w:p w14:paraId="3DCDFCA4">
      <w:pPr>
        <w:spacing w:before="1" w:line="217" w:lineRule="auto"/>
        <w:ind w:left="621"/>
        <w:rPr>
          <w:rFonts w:ascii="宋体" w:hAnsi="宋体" w:eastAsia="宋体" w:cs="宋体"/>
          <w:sz w:val="24"/>
          <w:szCs w:val="24"/>
        </w:rPr>
      </w:pPr>
      <w:r>
        <w:rPr>
          <w:rFonts w:ascii="宋体" w:hAnsi="宋体" w:eastAsia="宋体" w:cs="宋体"/>
          <w:spacing w:val="-1"/>
          <w:sz w:val="24"/>
          <w:szCs w:val="24"/>
        </w:rPr>
        <w:t>2、以上费用均为含税价格。</w:t>
      </w:r>
    </w:p>
    <w:p w14:paraId="5073DD97">
      <w:pPr>
        <w:pStyle w:val="4"/>
        <w:spacing w:line="285" w:lineRule="auto"/>
      </w:pPr>
    </w:p>
    <w:p w14:paraId="344FF554">
      <w:pPr>
        <w:pStyle w:val="4"/>
        <w:spacing w:line="285" w:lineRule="auto"/>
      </w:pPr>
    </w:p>
    <w:p w14:paraId="77B6269D">
      <w:pPr>
        <w:spacing w:before="78" w:line="219" w:lineRule="auto"/>
        <w:ind w:left="2779"/>
        <w:rPr>
          <w:rFonts w:ascii="宋体" w:hAnsi="宋体" w:eastAsia="宋体" w:cs="宋体"/>
          <w:sz w:val="24"/>
          <w:szCs w:val="24"/>
        </w:rPr>
      </w:pPr>
      <w:r>
        <w:rPr>
          <w:rFonts w:ascii="宋体" w:hAnsi="宋体" w:eastAsia="宋体" w:cs="宋体"/>
          <w:spacing w:val="-1"/>
          <w:sz w:val="24"/>
          <w:szCs w:val="24"/>
        </w:rPr>
        <w:t>法定代表人/负责人或被授权代表（签字并盖章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3C80113C">
      <w:pPr>
        <w:spacing w:before="184" w:line="219" w:lineRule="auto"/>
        <w:ind w:left="2778"/>
        <w:rPr>
          <w:rFonts w:ascii="宋体" w:hAnsi="宋体" w:eastAsia="宋体" w:cs="宋体"/>
          <w:sz w:val="24"/>
          <w:szCs w:val="24"/>
        </w:rPr>
      </w:pPr>
      <w:r>
        <mc:AlternateContent>
          <mc:Choice Requires="wps">
            <w:drawing>
              <wp:anchor distT="0" distB="0" distL="114300" distR="114300" simplePos="0" relativeHeight="251660288" behindDoc="0" locked="0" layoutInCell="1" allowOverlap="1">
                <wp:simplePos x="0" y="0"/>
                <wp:positionH relativeFrom="column">
                  <wp:posOffset>4581525</wp:posOffset>
                </wp:positionH>
                <wp:positionV relativeFrom="paragraph">
                  <wp:posOffset>264160</wp:posOffset>
                </wp:positionV>
                <wp:extent cx="880745" cy="7620"/>
                <wp:effectExtent l="0" t="0" r="0" b="0"/>
                <wp:wrapNone/>
                <wp:docPr id="8" name="任意多边形 8"/>
                <wp:cNvGraphicFramePr/>
                <a:graphic xmlns:a="http://schemas.openxmlformats.org/drawingml/2006/main">
                  <a:graphicData uri="http://schemas.microsoft.com/office/word/2010/wordprocessingShape">
                    <wps:wsp>
                      <wps:cNvSpPr/>
                      <wps:spPr>
                        <a:xfrm>
                          <a:off x="0" y="0"/>
                          <a:ext cx="880745" cy="7620"/>
                        </a:xfrm>
                        <a:custGeom>
                          <a:avLst/>
                          <a:gdLst/>
                          <a:ahLst/>
                          <a:cxnLst/>
                          <a:pathLst>
                            <a:path w="1386" h="12">
                              <a:moveTo>
                                <a:pt x="0" y="5"/>
                              </a:moveTo>
                              <a:lnTo>
                                <a:pt x="1386" y="5"/>
                              </a:lnTo>
                            </a:path>
                          </a:pathLst>
                        </a:custGeom>
                        <a:noFill/>
                        <a:ln w="7620" cap="flat" cmpd="sng">
                          <a:solidFill>
                            <a:srgbClr val="000000"/>
                          </a:solidFill>
                          <a:prstDash val="solid"/>
                          <a:bevel/>
                          <a:headEnd type="none" w="med" len="med"/>
                          <a:tailEnd type="none" w="med" len="med"/>
                        </a:ln>
                      </wps:spPr>
                      <wps:bodyPr upright="0"/>
                    </wps:wsp>
                  </a:graphicData>
                </a:graphic>
              </wp:anchor>
            </w:drawing>
          </mc:Choice>
          <mc:Fallback>
            <w:pict>
              <v:shape id="_x0000_s1026" o:spid="_x0000_s1026" o:spt="100" style="position:absolute;left:0pt;margin-left:360.75pt;margin-top:20.8pt;height:0.6pt;width:69.35pt;z-index:251660288;mso-width-relative:page;mso-height-relative:page;" filled="f" stroked="t" coordsize="1386,12" o:gfxdata="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GRn8yDZAAAACQEAAA8AAAAAAAAAAQAgAAAAIgAAAGRycy9kb3du&#10;cmV2LnhtbFBLAQIUABQAAAAIAIdO4kCMKfrsNwIAAJUEAAAOAAAAAAAAAAEAIAAAACgBAABkcnMv&#10;ZTJvRG9jLnhtbFBLBQYAAAAABgAGAFkBAADRBQAAAAA=&#10;" path="m0,5l1386,5e">
                <v:fill on="f" focussize="0,0"/>
                <v:stroke weight="0.6pt" color="#000000" joinstyle="bevel"/>
                <v:imagedata o:title=""/>
                <o:lock v:ext="edit" aspectratio="f"/>
              </v:shape>
            </w:pict>
          </mc:Fallback>
        </mc:AlternateContent>
      </w:r>
      <w:r>
        <w:rPr>
          <w:rFonts w:ascii="宋体" w:hAnsi="宋体" w:eastAsia="宋体" w:cs="宋体"/>
          <w:spacing w:val="-9"/>
          <w:sz w:val="24"/>
          <w:szCs w:val="24"/>
        </w:rPr>
        <w:t>供</w:t>
      </w:r>
      <w:r>
        <w:rPr>
          <w:rFonts w:ascii="宋体" w:hAnsi="宋体" w:eastAsia="宋体" w:cs="宋体"/>
          <w:spacing w:val="1"/>
          <w:sz w:val="24"/>
          <w:szCs w:val="24"/>
        </w:rPr>
        <w:t xml:space="preserve">       </w:t>
      </w:r>
      <w:r>
        <w:rPr>
          <w:rFonts w:ascii="宋体" w:hAnsi="宋体" w:eastAsia="宋体" w:cs="宋体"/>
          <w:spacing w:val="-9"/>
          <w:sz w:val="24"/>
          <w:szCs w:val="24"/>
        </w:rPr>
        <w:t>应</w:t>
      </w:r>
      <w:r>
        <w:rPr>
          <w:rFonts w:ascii="宋体" w:hAnsi="宋体" w:eastAsia="宋体" w:cs="宋体"/>
          <w:spacing w:val="2"/>
          <w:sz w:val="24"/>
          <w:szCs w:val="24"/>
        </w:rPr>
        <w:t xml:space="preserve">       </w:t>
      </w:r>
      <w:r>
        <w:rPr>
          <w:rFonts w:ascii="宋体" w:hAnsi="宋体" w:eastAsia="宋体" w:cs="宋体"/>
          <w:spacing w:val="-9"/>
          <w:sz w:val="24"/>
          <w:szCs w:val="24"/>
        </w:rPr>
        <w:t>商（公</w:t>
      </w:r>
      <w:r>
        <w:rPr>
          <w:rFonts w:ascii="宋体" w:hAnsi="宋体" w:eastAsia="宋体" w:cs="宋体"/>
          <w:spacing w:val="2"/>
          <w:sz w:val="24"/>
          <w:szCs w:val="24"/>
        </w:rPr>
        <w:t xml:space="preserve">        </w:t>
      </w:r>
      <w:r>
        <w:rPr>
          <w:rFonts w:ascii="宋体" w:hAnsi="宋体" w:eastAsia="宋体" w:cs="宋体"/>
          <w:spacing w:val="-9"/>
          <w:sz w:val="24"/>
          <w:szCs w:val="24"/>
        </w:rPr>
        <w:t>章</w:t>
      </w:r>
      <w:r>
        <w:rPr>
          <w:rFonts w:ascii="宋体" w:hAnsi="宋体" w:eastAsia="宋体" w:cs="宋体"/>
          <w:spacing w:val="-62"/>
          <w:w w:val="98"/>
          <w:sz w:val="24"/>
          <w:szCs w:val="24"/>
        </w:rPr>
        <w:t>）：</w:t>
      </w:r>
    </w:p>
    <w:p w14:paraId="0B204C9C">
      <w:pPr>
        <w:spacing w:before="183" w:line="220" w:lineRule="auto"/>
        <w:ind w:left="2820"/>
        <w:rPr>
          <w:rFonts w:ascii="宋体" w:hAnsi="宋体" w:eastAsia="宋体" w:cs="宋体"/>
          <w:sz w:val="24"/>
          <w:szCs w:val="24"/>
        </w:rPr>
      </w:pPr>
      <w:r>
        <mc:AlternateContent>
          <mc:Choice Requires="wps">
            <w:drawing>
              <wp:anchor distT="0" distB="0" distL="114300" distR="114300" simplePos="0" relativeHeight="251661312" behindDoc="0" locked="0" layoutInCell="1" allowOverlap="1">
                <wp:simplePos x="0" y="0"/>
                <wp:positionH relativeFrom="column">
                  <wp:posOffset>4657725</wp:posOffset>
                </wp:positionH>
                <wp:positionV relativeFrom="paragraph">
                  <wp:posOffset>264795</wp:posOffset>
                </wp:positionV>
                <wp:extent cx="702310" cy="7620"/>
                <wp:effectExtent l="0" t="0" r="0" b="0"/>
                <wp:wrapNone/>
                <wp:docPr id="7" name="任意多边形 7"/>
                <wp:cNvGraphicFramePr/>
                <a:graphic xmlns:a="http://schemas.openxmlformats.org/drawingml/2006/main">
                  <a:graphicData uri="http://schemas.microsoft.com/office/word/2010/wordprocessingShape">
                    <wps:wsp>
                      <wps:cNvSpPr/>
                      <wps:spPr>
                        <a:xfrm>
                          <a:off x="0" y="0"/>
                          <a:ext cx="702310" cy="7620"/>
                        </a:xfrm>
                        <a:custGeom>
                          <a:avLst/>
                          <a:gdLst/>
                          <a:ahLst/>
                          <a:cxnLst/>
                          <a:pathLst>
                            <a:path w="1105" h="12">
                              <a:moveTo>
                                <a:pt x="0" y="5"/>
                              </a:moveTo>
                              <a:lnTo>
                                <a:pt x="1105" y="5"/>
                              </a:lnTo>
                            </a:path>
                          </a:pathLst>
                        </a:custGeom>
                        <a:noFill/>
                        <a:ln w="7620"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366.75pt;margin-top:20.85pt;height:0.6pt;width:55.3pt;z-index:251661312;mso-width-relative:page;mso-height-relative:page;" filled="f" stroked="t" coordsize="1105,12" o:gfxdata="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jrydgAAAAJAQAADwAAAAAAAAABACAAAAAiAAAAZHJzL2Rvd25y&#10;ZXYueG1sUEsBAhQAFAAAAAgAh07iQAMPE+Y3AgAAlQQAAA4AAAAAAAAAAQAgAAAAJwEAAGRycy9l&#10;Mm9Eb2MueG1sUEsFBgAAAAAGAAYAWQEAANAFAAAAAA==&#10;" path="m0,5l1105,5e">
                <v:fill on="f" focussize="0,0"/>
                <v:stroke weight="0.6pt" color="#000000" joinstyle="bevel"/>
                <v:imagedata o:title=""/>
                <o:lock v:ext="edit" aspectratio="f"/>
              </v:shape>
            </w:pict>
          </mc:Fallback>
        </mc:AlternateContent>
      </w:r>
      <w:r>
        <w:rPr>
          <w:rFonts w:ascii="宋体" w:hAnsi="宋体" w:eastAsia="宋体" w:cs="宋体"/>
          <w:spacing w:val="-21"/>
          <w:sz w:val="24"/>
          <w:szCs w:val="24"/>
        </w:rPr>
        <w:t>日</w:t>
      </w:r>
      <w:r>
        <w:rPr>
          <w:rFonts w:ascii="宋体" w:hAnsi="宋体" w:eastAsia="宋体" w:cs="宋体"/>
          <w:sz w:val="24"/>
          <w:szCs w:val="24"/>
        </w:rPr>
        <w:t xml:space="preserve">                              </w:t>
      </w:r>
      <w:r>
        <w:rPr>
          <w:rFonts w:ascii="宋体" w:hAnsi="宋体" w:eastAsia="宋体" w:cs="宋体"/>
          <w:spacing w:val="-21"/>
          <w:sz w:val="24"/>
          <w:szCs w:val="24"/>
        </w:rPr>
        <w:t>期</w:t>
      </w:r>
      <w:r>
        <w:rPr>
          <w:rFonts w:ascii="宋体" w:hAnsi="宋体" w:eastAsia="宋体" w:cs="宋体"/>
          <w:spacing w:val="5"/>
          <w:sz w:val="24"/>
          <w:szCs w:val="24"/>
        </w:rPr>
        <w:t xml:space="preserve">  </w:t>
      </w:r>
      <w:r>
        <w:rPr>
          <w:rFonts w:ascii="宋体" w:hAnsi="宋体" w:eastAsia="宋体" w:cs="宋体"/>
          <w:spacing w:val="-21"/>
          <w:sz w:val="24"/>
          <w:szCs w:val="24"/>
        </w:rPr>
        <w:t>：</w:t>
      </w:r>
    </w:p>
    <w:p w14:paraId="05346D20">
      <w:pPr>
        <w:spacing w:line="220" w:lineRule="auto"/>
        <w:rPr>
          <w:rFonts w:ascii="宋体" w:hAnsi="宋体" w:eastAsia="宋体" w:cs="宋体"/>
          <w:sz w:val="24"/>
          <w:szCs w:val="24"/>
        </w:rPr>
        <w:sectPr>
          <w:footerReference r:id="rId17" w:type="default"/>
          <w:pgSz w:w="11906" w:h="16839"/>
          <w:pgMar w:top="1431" w:right="1213" w:bottom="1098" w:left="1670" w:header="0" w:footer="934" w:gutter="0"/>
          <w:pgNumType w:fmt="decimal"/>
          <w:cols w:space="720" w:num="1"/>
        </w:sectPr>
      </w:pPr>
    </w:p>
    <w:p w14:paraId="014CCAC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eastAsia" w:ascii="宋体" w:hAnsi="宋体" w:eastAsia="宋体" w:cs="宋体"/>
          <w:i w:val="0"/>
          <w:iCs w:val="0"/>
          <w:caps w:val="0"/>
          <w:snapToGrid/>
          <w:color w:val="auto"/>
          <w:spacing w:val="0"/>
          <w:sz w:val="28"/>
          <w:szCs w:val="28"/>
          <w:shd w:val="clear" w:color="auto" w:fill="FFFFFF"/>
          <w:lang w:val="en-US" w:eastAsia="zh-CN"/>
        </w:rPr>
      </w:pPr>
      <w:r>
        <w:rPr>
          <w:rFonts w:hint="eastAsia" w:eastAsia="宋体" w:cs="宋体"/>
          <w:i w:val="0"/>
          <w:iCs w:val="0"/>
          <w:caps w:val="0"/>
          <w:snapToGrid/>
          <w:color w:val="auto"/>
          <w:spacing w:val="0"/>
          <w:sz w:val="28"/>
          <w:szCs w:val="28"/>
          <w:shd w:val="clear" w:color="auto" w:fill="FFFFFF"/>
          <w:lang w:val="en-US" w:eastAsia="zh-CN"/>
        </w:rPr>
        <w:t>三</w:t>
      </w:r>
      <w:r>
        <w:rPr>
          <w:rFonts w:hint="eastAsia" w:ascii="宋体" w:hAnsi="宋体" w:eastAsia="宋体" w:cs="宋体"/>
          <w:i w:val="0"/>
          <w:iCs w:val="0"/>
          <w:caps w:val="0"/>
          <w:snapToGrid/>
          <w:color w:val="auto"/>
          <w:spacing w:val="0"/>
          <w:sz w:val="28"/>
          <w:szCs w:val="28"/>
          <w:shd w:val="clear" w:color="auto" w:fill="FFFFFF"/>
          <w:lang w:val="en-US" w:eastAsia="zh-CN"/>
        </w:rPr>
        <w:t>、分项报价表（格式自拟）</w:t>
      </w:r>
    </w:p>
    <w:p w14:paraId="525CAB95">
      <w:pPr>
        <w:pageBreakBefore w:val="0"/>
        <w:tabs>
          <w:tab w:val="right" w:pos="9072"/>
        </w:tabs>
        <w:kinsoku/>
        <w:bidi w:val="0"/>
        <w:spacing w:line="360" w:lineRule="auto"/>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项目名称：</w:t>
      </w:r>
    </w:p>
    <w:p w14:paraId="16B88D19">
      <w:pPr>
        <w:pageBreakBefore w:val="0"/>
        <w:tabs>
          <w:tab w:val="right" w:pos="9072"/>
        </w:tabs>
        <w:kinsoku/>
        <w:bidi w:val="0"/>
        <w:spacing w:line="360" w:lineRule="auto"/>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项目编号：</w:t>
      </w:r>
    </w:p>
    <w:p w14:paraId="6A0486F3">
      <w:pPr>
        <w:pageBreakBefore w:val="0"/>
        <w:tabs>
          <w:tab w:val="right" w:pos="9072"/>
        </w:tabs>
        <w:kinsoku/>
        <w:bidi w:val="0"/>
        <w:spacing w:line="360" w:lineRule="auto"/>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注：1. 供应商须按照竞争性谈判文件“采购内容及技术要求”中涉及的采购清单进行报价。</w:t>
      </w:r>
    </w:p>
    <w:p w14:paraId="16235151">
      <w:pPr>
        <w:pageBreakBefore w:val="0"/>
        <w:tabs>
          <w:tab w:val="right" w:pos="9072"/>
        </w:tabs>
        <w:kinsoku/>
        <w:bidi w:val="0"/>
        <w:spacing w:line="360" w:lineRule="auto"/>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2. 如果按单价计算的结果与总价不一致，以单价为准修正总价。</w:t>
      </w:r>
    </w:p>
    <w:p w14:paraId="44162F53">
      <w:pPr>
        <w:pageBreakBefore w:val="0"/>
        <w:tabs>
          <w:tab w:val="right" w:pos="9072"/>
        </w:tabs>
        <w:kinsoku/>
        <w:bidi w:val="0"/>
        <w:spacing w:line="360" w:lineRule="auto"/>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3. 上述投标总报价包含了供应商为此项目所支付的一切费用，在整个合同期内不做调整。</w:t>
      </w:r>
    </w:p>
    <w:p w14:paraId="62DD650E">
      <w:pPr>
        <w:pageBreakBefore w:val="0"/>
        <w:tabs>
          <w:tab w:val="right" w:pos="9072"/>
        </w:tabs>
        <w:kinsoku/>
        <w:bidi w:val="0"/>
        <w:spacing w:line="360" w:lineRule="auto"/>
        <w:textAlignment w:val="auto"/>
        <w:rPr>
          <w:rFonts w:hint="default"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4.供应商在本表中必须详细注明所投产品的“品牌”和“规格型号”，自行承担填写错误被视为无效投标文件的风险。</w:t>
      </w:r>
    </w:p>
    <w:p w14:paraId="5508A54F">
      <w:pPr>
        <w:pageBreakBefore w:val="0"/>
        <w:tabs>
          <w:tab w:val="right" w:pos="9072"/>
        </w:tabs>
        <w:kinsoku/>
        <w:bidi w:val="0"/>
        <w:spacing w:line="360" w:lineRule="auto"/>
        <w:ind w:firstLine="960" w:firstLineChars="400"/>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                                     </w:t>
      </w:r>
    </w:p>
    <w:p w14:paraId="1F80427E">
      <w:pPr>
        <w:pageBreakBefore w:val="0"/>
        <w:tabs>
          <w:tab w:val="right" w:pos="9072"/>
        </w:tabs>
        <w:kinsoku/>
        <w:bidi w:val="0"/>
        <w:spacing w:line="360" w:lineRule="auto"/>
        <w:jc w:val="right"/>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34B1BFE5">
      <w:pPr>
        <w:pageBreakBefore w:val="0"/>
        <w:tabs>
          <w:tab w:val="right" w:pos="9072"/>
        </w:tabs>
        <w:kinsoku/>
        <w:bidi w:val="0"/>
        <w:spacing w:line="360" w:lineRule="auto"/>
        <w:jc w:val="center"/>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7AA53D40">
      <w:pPr>
        <w:pageBreakBefore w:val="0"/>
        <w:tabs>
          <w:tab w:val="right" w:pos="9072"/>
        </w:tabs>
        <w:kinsoku/>
        <w:bidi w:val="0"/>
        <w:spacing w:line="360" w:lineRule="auto"/>
        <w:jc w:val="right"/>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75919B7A">
      <w:pPr>
        <w:pageBreakBefore w:val="0"/>
        <w:tabs>
          <w:tab w:val="right" w:pos="9072"/>
        </w:tabs>
        <w:kinsoku/>
        <w:bidi w:val="0"/>
        <w:spacing w:line="360" w:lineRule="auto"/>
        <w:jc w:val="right"/>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74CCBF8F">
      <w:pPr>
        <w:pageBreakBefore w:val="0"/>
        <w:tabs>
          <w:tab w:val="right" w:pos="9072"/>
        </w:tabs>
        <w:kinsoku/>
        <w:bidi w:val="0"/>
        <w:spacing w:line="360" w:lineRule="auto"/>
        <w:jc w:val="right"/>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供应商名称 (加盖公章)：</w:t>
      </w:r>
    </w:p>
    <w:p w14:paraId="41230A4E">
      <w:pPr>
        <w:pageBreakBefore w:val="0"/>
        <w:tabs>
          <w:tab w:val="right" w:pos="9072"/>
        </w:tabs>
        <w:kinsoku/>
        <w:bidi w:val="0"/>
        <w:spacing w:line="360" w:lineRule="auto"/>
        <w:jc w:val="right"/>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法定代表人/负责人或被授权代表（签字并盖章）：          </w:t>
      </w:r>
    </w:p>
    <w:p w14:paraId="2620AA9C">
      <w:pPr>
        <w:pageBreakBefore w:val="0"/>
        <w:tabs>
          <w:tab w:val="right" w:pos="9072"/>
        </w:tabs>
        <w:kinsoku/>
        <w:bidi w:val="0"/>
        <w:spacing w:line="360" w:lineRule="auto"/>
        <w:jc w:val="center"/>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                                                      年  月  日</w:t>
      </w:r>
    </w:p>
    <w:p w14:paraId="478855E6">
      <w:pPr>
        <w:pageBreakBefore w:val="0"/>
        <w:tabs>
          <w:tab w:val="right" w:pos="9072"/>
        </w:tabs>
        <w:kinsoku/>
        <w:bidi w:val="0"/>
        <w:spacing w:line="360" w:lineRule="auto"/>
        <w:textAlignment w:val="auto"/>
        <w:rPr>
          <w:rFonts w:hint="eastAsia" w:ascii="宋体" w:hAnsi="宋体" w:eastAsia="宋体" w:cs="宋体"/>
          <w:b/>
          <w:bCs/>
          <w:sz w:val="21"/>
          <w:szCs w:val="21"/>
        </w:rPr>
      </w:pPr>
    </w:p>
    <w:p w14:paraId="7B72FB5A">
      <w:pPr>
        <w:pageBreakBefore w:val="0"/>
        <w:tabs>
          <w:tab w:val="right" w:pos="9072"/>
        </w:tabs>
        <w:kinsoku/>
        <w:bidi w:val="0"/>
        <w:spacing w:line="360" w:lineRule="auto"/>
        <w:textAlignment w:val="auto"/>
        <w:rPr>
          <w:rFonts w:hint="eastAsia" w:ascii="宋体" w:hAnsi="宋体" w:eastAsia="宋体" w:cs="宋体"/>
          <w:b/>
          <w:bCs/>
          <w:sz w:val="21"/>
          <w:szCs w:val="21"/>
        </w:rPr>
      </w:pPr>
    </w:p>
    <w:p w14:paraId="69CB1C97">
      <w:pPr>
        <w:pageBreakBefore w:val="0"/>
        <w:tabs>
          <w:tab w:val="right" w:pos="9072"/>
        </w:tabs>
        <w:kinsoku/>
        <w:bidi w:val="0"/>
        <w:spacing w:line="360" w:lineRule="auto"/>
        <w:textAlignment w:val="auto"/>
        <w:rPr>
          <w:rFonts w:hint="eastAsia" w:ascii="宋体" w:hAnsi="宋体" w:eastAsia="宋体" w:cs="宋体"/>
          <w:b/>
          <w:bCs/>
          <w:sz w:val="21"/>
          <w:szCs w:val="21"/>
        </w:rPr>
      </w:pPr>
    </w:p>
    <w:p w14:paraId="5EA83F21">
      <w:pPr>
        <w:pageBreakBefore w:val="0"/>
        <w:tabs>
          <w:tab w:val="right" w:pos="9072"/>
        </w:tabs>
        <w:kinsoku/>
        <w:bidi w:val="0"/>
        <w:spacing w:line="360" w:lineRule="auto"/>
        <w:textAlignment w:val="auto"/>
        <w:rPr>
          <w:rFonts w:hint="eastAsia" w:ascii="宋体" w:hAnsi="宋体" w:eastAsia="宋体" w:cs="宋体"/>
          <w:b/>
          <w:bCs/>
          <w:sz w:val="21"/>
          <w:szCs w:val="21"/>
        </w:rPr>
      </w:pPr>
    </w:p>
    <w:p w14:paraId="10487CCC">
      <w:pPr>
        <w:pageBreakBefore w:val="0"/>
        <w:tabs>
          <w:tab w:val="right" w:pos="9072"/>
        </w:tabs>
        <w:kinsoku/>
        <w:bidi w:val="0"/>
        <w:spacing w:line="360" w:lineRule="auto"/>
        <w:textAlignment w:val="auto"/>
        <w:rPr>
          <w:rFonts w:hint="eastAsia" w:ascii="宋体" w:hAnsi="宋体" w:eastAsia="宋体" w:cs="宋体"/>
          <w:b/>
          <w:bCs/>
          <w:sz w:val="21"/>
          <w:szCs w:val="21"/>
        </w:rPr>
      </w:pPr>
    </w:p>
    <w:p w14:paraId="51CC4EC3">
      <w:pPr>
        <w:spacing w:line="219" w:lineRule="auto"/>
        <w:rPr>
          <w:rFonts w:ascii="宋体" w:hAnsi="宋体" w:eastAsia="宋体" w:cs="宋体"/>
          <w:sz w:val="24"/>
          <w:szCs w:val="24"/>
        </w:rPr>
        <w:sectPr>
          <w:footerReference r:id="rId18" w:type="default"/>
          <w:pgSz w:w="11906" w:h="16839"/>
          <w:pgMar w:top="1431" w:right="1745" w:bottom="1099" w:left="1785" w:header="0" w:footer="934" w:gutter="0"/>
          <w:pgNumType w:fmt="decimal"/>
          <w:cols w:space="720" w:num="1"/>
        </w:sect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注：本分项报价金额应与“开标一览表”中的“投标报价”一致。</w:t>
      </w:r>
    </w:p>
    <w:p w14:paraId="1E25A425">
      <w:pPr>
        <w:spacing w:before="78" w:line="220" w:lineRule="auto"/>
        <w:ind w:left="26"/>
        <w:jc w:val="center"/>
        <w:rPr>
          <w:rFonts w:ascii="宋体" w:hAnsi="宋体" w:eastAsia="宋体" w:cs="宋体"/>
          <w:b/>
          <w:bCs/>
          <w:spacing w:val="-2"/>
          <w:sz w:val="36"/>
          <w:szCs w:val="36"/>
        </w:rPr>
      </w:pPr>
      <w:bookmarkStart w:id="77" w:name="_Toc11760"/>
      <w:bookmarkStart w:id="78" w:name="_Toc15487"/>
      <w:r>
        <w:rPr>
          <w:rFonts w:ascii="宋体" w:hAnsi="宋体" w:eastAsia="宋体" w:cs="宋体"/>
          <w:b/>
          <w:bCs/>
          <w:spacing w:val="-2"/>
          <w:sz w:val="36"/>
          <w:szCs w:val="36"/>
        </w:rPr>
        <w:t>商务偏离表</w:t>
      </w:r>
      <w:bookmarkEnd w:id="77"/>
    </w:p>
    <w:p w14:paraId="365043E5">
      <w:pPr>
        <w:pStyle w:val="4"/>
        <w:spacing w:line="246" w:lineRule="auto"/>
      </w:pPr>
    </w:p>
    <w:p w14:paraId="5F997D71">
      <w:pPr>
        <w:spacing w:before="78" w:line="219" w:lineRule="auto"/>
        <w:ind w:left="499"/>
        <w:rPr>
          <w:rFonts w:ascii="宋体" w:hAnsi="宋体" w:eastAsia="宋体" w:cs="宋体"/>
          <w:sz w:val="24"/>
          <w:szCs w:val="24"/>
        </w:rPr>
      </w:pPr>
      <w:r>
        <w:rPr>
          <w:rFonts w:ascii="宋体" w:hAnsi="宋体" w:eastAsia="宋体" w:cs="宋体"/>
          <w:sz w:val="24"/>
          <w:szCs w:val="24"/>
        </w:rPr>
        <w:t xml:space="preserve">供应商名称：                         </w:t>
      </w:r>
      <w:r>
        <w:rPr>
          <w:rFonts w:ascii="宋体" w:hAnsi="宋体" w:eastAsia="宋体" w:cs="宋体"/>
          <w:spacing w:val="-1"/>
          <w:sz w:val="24"/>
          <w:szCs w:val="24"/>
        </w:rPr>
        <w:t xml:space="preserve">    采购项目编号：</w:t>
      </w:r>
    </w:p>
    <w:p w14:paraId="4F197F6A">
      <w:pPr>
        <w:spacing w:line="69" w:lineRule="exact"/>
      </w:pPr>
    </w:p>
    <w:tbl>
      <w:tblPr>
        <w:tblStyle w:val="31"/>
        <w:tblW w:w="87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806"/>
        <w:gridCol w:w="1078"/>
      </w:tblGrid>
      <w:tr w14:paraId="4FD4A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14C9DB09">
            <w:pPr>
              <w:pStyle w:val="32"/>
              <w:spacing w:before="120" w:line="221" w:lineRule="auto"/>
              <w:ind w:left="140"/>
            </w:pPr>
            <w:r>
              <w:rPr>
                <w:b/>
                <w:bCs/>
                <w:spacing w:val="-7"/>
              </w:rPr>
              <w:t>序号</w:t>
            </w:r>
          </w:p>
        </w:tc>
        <w:tc>
          <w:tcPr>
            <w:tcW w:w="2928" w:type="dxa"/>
            <w:vAlign w:val="top"/>
          </w:tcPr>
          <w:p w14:paraId="212B3BA3">
            <w:pPr>
              <w:pStyle w:val="32"/>
              <w:spacing w:before="121" w:line="219" w:lineRule="auto"/>
              <w:ind w:left="143"/>
            </w:pPr>
            <w:r>
              <w:rPr>
                <w:b/>
                <w:bCs/>
                <w:spacing w:val="-3"/>
              </w:rPr>
              <w:t>竞争性谈判文件商务要求</w:t>
            </w:r>
          </w:p>
        </w:tc>
        <w:tc>
          <w:tcPr>
            <w:tcW w:w="3227" w:type="dxa"/>
            <w:vAlign w:val="top"/>
          </w:tcPr>
          <w:p w14:paraId="1D2A59DC">
            <w:pPr>
              <w:pStyle w:val="32"/>
              <w:spacing w:before="121" w:line="219" w:lineRule="auto"/>
              <w:ind w:left="54"/>
            </w:pPr>
            <w:r>
              <w:rPr>
                <w:b/>
                <w:bCs/>
                <w:spacing w:val="-3"/>
              </w:rPr>
              <w:t>竞争性谈判响应文件商务响应</w:t>
            </w:r>
          </w:p>
        </w:tc>
        <w:tc>
          <w:tcPr>
            <w:tcW w:w="806" w:type="dxa"/>
            <w:vAlign w:val="top"/>
          </w:tcPr>
          <w:p w14:paraId="5602FFC0">
            <w:pPr>
              <w:pStyle w:val="32"/>
              <w:spacing w:before="121" w:line="219" w:lineRule="auto"/>
              <w:ind w:left="170"/>
            </w:pPr>
            <w:r>
              <w:rPr>
                <w:b/>
                <w:bCs/>
                <w:spacing w:val="-8"/>
              </w:rPr>
              <w:t>偏离</w:t>
            </w:r>
          </w:p>
        </w:tc>
        <w:tc>
          <w:tcPr>
            <w:tcW w:w="1078" w:type="dxa"/>
            <w:vAlign w:val="top"/>
          </w:tcPr>
          <w:p w14:paraId="1F5DDCF1">
            <w:pPr>
              <w:pStyle w:val="32"/>
              <w:spacing w:before="121" w:line="219" w:lineRule="auto"/>
              <w:ind w:left="74"/>
            </w:pPr>
            <w:r>
              <w:rPr>
                <w:b/>
                <w:bCs/>
                <w:spacing w:val="-8"/>
              </w:rPr>
              <w:t>响应说明</w:t>
            </w:r>
          </w:p>
        </w:tc>
      </w:tr>
      <w:tr w14:paraId="2FBCB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420B3B8">
            <w:pPr>
              <w:rPr>
                <w:rFonts w:ascii="Arial"/>
                <w:sz w:val="21"/>
              </w:rPr>
            </w:pPr>
          </w:p>
        </w:tc>
        <w:tc>
          <w:tcPr>
            <w:tcW w:w="2928" w:type="dxa"/>
            <w:vAlign w:val="top"/>
          </w:tcPr>
          <w:p w14:paraId="3A2EC05F">
            <w:pPr>
              <w:rPr>
                <w:rFonts w:ascii="Arial"/>
                <w:sz w:val="21"/>
              </w:rPr>
            </w:pPr>
          </w:p>
        </w:tc>
        <w:tc>
          <w:tcPr>
            <w:tcW w:w="3227" w:type="dxa"/>
            <w:vAlign w:val="top"/>
          </w:tcPr>
          <w:p w14:paraId="06C59E25">
            <w:pPr>
              <w:rPr>
                <w:rFonts w:ascii="Arial"/>
                <w:sz w:val="21"/>
              </w:rPr>
            </w:pPr>
          </w:p>
        </w:tc>
        <w:tc>
          <w:tcPr>
            <w:tcW w:w="806" w:type="dxa"/>
            <w:vAlign w:val="top"/>
          </w:tcPr>
          <w:p w14:paraId="5A3F3D19">
            <w:pPr>
              <w:rPr>
                <w:rFonts w:ascii="Arial"/>
                <w:sz w:val="21"/>
              </w:rPr>
            </w:pPr>
          </w:p>
        </w:tc>
        <w:tc>
          <w:tcPr>
            <w:tcW w:w="1078" w:type="dxa"/>
            <w:vAlign w:val="top"/>
          </w:tcPr>
          <w:p w14:paraId="15E4C985">
            <w:pPr>
              <w:rPr>
                <w:rFonts w:ascii="Arial"/>
                <w:sz w:val="21"/>
              </w:rPr>
            </w:pPr>
          </w:p>
        </w:tc>
      </w:tr>
      <w:tr w14:paraId="6CA21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29EC58E">
            <w:pPr>
              <w:rPr>
                <w:rFonts w:ascii="Arial"/>
                <w:sz w:val="21"/>
              </w:rPr>
            </w:pPr>
          </w:p>
        </w:tc>
        <w:tc>
          <w:tcPr>
            <w:tcW w:w="2928" w:type="dxa"/>
            <w:vAlign w:val="top"/>
          </w:tcPr>
          <w:p w14:paraId="107F0570">
            <w:pPr>
              <w:rPr>
                <w:rFonts w:ascii="Arial"/>
                <w:sz w:val="21"/>
              </w:rPr>
            </w:pPr>
          </w:p>
        </w:tc>
        <w:tc>
          <w:tcPr>
            <w:tcW w:w="3227" w:type="dxa"/>
            <w:vAlign w:val="top"/>
          </w:tcPr>
          <w:p w14:paraId="68A4E671">
            <w:pPr>
              <w:rPr>
                <w:rFonts w:ascii="Arial"/>
                <w:sz w:val="21"/>
              </w:rPr>
            </w:pPr>
          </w:p>
        </w:tc>
        <w:tc>
          <w:tcPr>
            <w:tcW w:w="806" w:type="dxa"/>
            <w:vAlign w:val="top"/>
          </w:tcPr>
          <w:p w14:paraId="54D34965">
            <w:pPr>
              <w:rPr>
                <w:rFonts w:ascii="Arial"/>
                <w:sz w:val="21"/>
              </w:rPr>
            </w:pPr>
          </w:p>
        </w:tc>
        <w:tc>
          <w:tcPr>
            <w:tcW w:w="1078" w:type="dxa"/>
            <w:vAlign w:val="top"/>
          </w:tcPr>
          <w:p w14:paraId="3E953AC3">
            <w:pPr>
              <w:rPr>
                <w:rFonts w:ascii="Arial"/>
                <w:sz w:val="21"/>
              </w:rPr>
            </w:pPr>
          </w:p>
        </w:tc>
      </w:tr>
      <w:tr w14:paraId="6B7A2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361D172">
            <w:pPr>
              <w:rPr>
                <w:rFonts w:ascii="Arial"/>
                <w:sz w:val="21"/>
              </w:rPr>
            </w:pPr>
          </w:p>
        </w:tc>
        <w:tc>
          <w:tcPr>
            <w:tcW w:w="2928" w:type="dxa"/>
            <w:vAlign w:val="top"/>
          </w:tcPr>
          <w:p w14:paraId="36D28F06">
            <w:pPr>
              <w:rPr>
                <w:rFonts w:ascii="Arial"/>
                <w:sz w:val="21"/>
              </w:rPr>
            </w:pPr>
          </w:p>
        </w:tc>
        <w:tc>
          <w:tcPr>
            <w:tcW w:w="3227" w:type="dxa"/>
            <w:vAlign w:val="top"/>
          </w:tcPr>
          <w:p w14:paraId="6F91C95D">
            <w:pPr>
              <w:rPr>
                <w:rFonts w:ascii="Arial"/>
                <w:sz w:val="21"/>
              </w:rPr>
            </w:pPr>
          </w:p>
        </w:tc>
        <w:tc>
          <w:tcPr>
            <w:tcW w:w="806" w:type="dxa"/>
            <w:vAlign w:val="top"/>
          </w:tcPr>
          <w:p w14:paraId="28CF47FE">
            <w:pPr>
              <w:rPr>
                <w:rFonts w:ascii="Arial"/>
                <w:sz w:val="21"/>
              </w:rPr>
            </w:pPr>
          </w:p>
        </w:tc>
        <w:tc>
          <w:tcPr>
            <w:tcW w:w="1078" w:type="dxa"/>
            <w:vAlign w:val="top"/>
          </w:tcPr>
          <w:p w14:paraId="108552A4">
            <w:pPr>
              <w:rPr>
                <w:rFonts w:ascii="Arial"/>
                <w:sz w:val="21"/>
              </w:rPr>
            </w:pPr>
          </w:p>
        </w:tc>
      </w:tr>
      <w:tr w14:paraId="2765F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6CAC958">
            <w:pPr>
              <w:rPr>
                <w:rFonts w:ascii="Arial"/>
                <w:sz w:val="21"/>
              </w:rPr>
            </w:pPr>
          </w:p>
        </w:tc>
        <w:tc>
          <w:tcPr>
            <w:tcW w:w="2928" w:type="dxa"/>
            <w:vAlign w:val="top"/>
          </w:tcPr>
          <w:p w14:paraId="7030753B">
            <w:pPr>
              <w:rPr>
                <w:rFonts w:ascii="Arial"/>
                <w:sz w:val="21"/>
              </w:rPr>
            </w:pPr>
          </w:p>
        </w:tc>
        <w:tc>
          <w:tcPr>
            <w:tcW w:w="3227" w:type="dxa"/>
            <w:vAlign w:val="top"/>
          </w:tcPr>
          <w:p w14:paraId="02F7EA86">
            <w:pPr>
              <w:rPr>
                <w:rFonts w:ascii="Arial"/>
                <w:sz w:val="21"/>
              </w:rPr>
            </w:pPr>
          </w:p>
        </w:tc>
        <w:tc>
          <w:tcPr>
            <w:tcW w:w="806" w:type="dxa"/>
            <w:vAlign w:val="top"/>
          </w:tcPr>
          <w:p w14:paraId="5B3ADA80">
            <w:pPr>
              <w:rPr>
                <w:rFonts w:ascii="Arial"/>
                <w:sz w:val="21"/>
              </w:rPr>
            </w:pPr>
          </w:p>
        </w:tc>
        <w:tc>
          <w:tcPr>
            <w:tcW w:w="1078" w:type="dxa"/>
            <w:vAlign w:val="top"/>
          </w:tcPr>
          <w:p w14:paraId="74EF2CB8">
            <w:pPr>
              <w:rPr>
                <w:rFonts w:ascii="Arial"/>
                <w:sz w:val="21"/>
              </w:rPr>
            </w:pPr>
          </w:p>
        </w:tc>
      </w:tr>
      <w:tr w14:paraId="74416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663498F2">
            <w:pPr>
              <w:rPr>
                <w:rFonts w:ascii="Arial"/>
                <w:sz w:val="21"/>
              </w:rPr>
            </w:pPr>
          </w:p>
        </w:tc>
        <w:tc>
          <w:tcPr>
            <w:tcW w:w="2928" w:type="dxa"/>
            <w:vAlign w:val="top"/>
          </w:tcPr>
          <w:p w14:paraId="7649975C">
            <w:pPr>
              <w:rPr>
                <w:rFonts w:ascii="Arial"/>
                <w:sz w:val="21"/>
              </w:rPr>
            </w:pPr>
          </w:p>
        </w:tc>
        <w:tc>
          <w:tcPr>
            <w:tcW w:w="3227" w:type="dxa"/>
            <w:vAlign w:val="top"/>
          </w:tcPr>
          <w:p w14:paraId="73C0DE4D">
            <w:pPr>
              <w:rPr>
                <w:rFonts w:ascii="Arial"/>
                <w:sz w:val="21"/>
              </w:rPr>
            </w:pPr>
          </w:p>
        </w:tc>
        <w:tc>
          <w:tcPr>
            <w:tcW w:w="806" w:type="dxa"/>
            <w:vAlign w:val="top"/>
          </w:tcPr>
          <w:p w14:paraId="1B276E42">
            <w:pPr>
              <w:rPr>
                <w:rFonts w:ascii="Arial"/>
                <w:sz w:val="21"/>
              </w:rPr>
            </w:pPr>
          </w:p>
        </w:tc>
        <w:tc>
          <w:tcPr>
            <w:tcW w:w="1078" w:type="dxa"/>
            <w:vAlign w:val="top"/>
          </w:tcPr>
          <w:p w14:paraId="59A866DA">
            <w:pPr>
              <w:rPr>
                <w:rFonts w:ascii="Arial"/>
                <w:sz w:val="21"/>
              </w:rPr>
            </w:pPr>
          </w:p>
        </w:tc>
      </w:tr>
      <w:tr w14:paraId="7C730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6303EF3E">
            <w:pPr>
              <w:rPr>
                <w:rFonts w:ascii="Arial"/>
                <w:sz w:val="21"/>
              </w:rPr>
            </w:pPr>
          </w:p>
        </w:tc>
        <w:tc>
          <w:tcPr>
            <w:tcW w:w="2928" w:type="dxa"/>
            <w:vAlign w:val="top"/>
          </w:tcPr>
          <w:p w14:paraId="74D2FA67">
            <w:pPr>
              <w:rPr>
                <w:rFonts w:ascii="Arial"/>
                <w:sz w:val="21"/>
              </w:rPr>
            </w:pPr>
          </w:p>
        </w:tc>
        <w:tc>
          <w:tcPr>
            <w:tcW w:w="3227" w:type="dxa"/>
            <w:vAlign w:val="top"/>
          </w:tcPr>
          <w:p w14:paraId="650A1255">
            <w:pPr>
              <w:rPr>
                <w:rFonts w:ascii="Arial"/>
                <w:sz w:val="21"/>
              </w:rPr>
            </w:pPr>
          </w:p>
        </w:tc>
        <w:tc>
          <w:tcPr>
            <w:tcW w:w="806" w:type="dxa"/>
            <w:vAlign w:val="top"/>
          </w:tcPr>
          <w:p w14:paraId="234F5AB0">
            <w:pPr>
              <w:rPr>
                <w:rFonts w:ascii="Arial"/>
                <w:sz w:val="21"/>
              </w:rPr>
            </w:pPr>
          </w:p>
        </w:tc>
        <w:tc>
          <w:tcPr>
            <w:tcW w:w="1078" w:type="dxa"/>
            <w:vAlign w:val="top"/>
          </w:tcPr>
          <w:p w14:paraId="4120D3B1">
            <w:pPr>
              <w:rPr>
                <w:rFonts w:ascii="Arial"/>
                <w:sz w:val="21"/>
              </w:rPr>
            </w:pPr>
          </w:p>
        </w:tc>
      </w:tr>
      <w:tr w14:paraId="2FAE2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5632BCE">
            <w:pPr>
              <w:rPr>
                <w:rFonts w:ascii="Arial"/>
                <w:sz w:val="21"/>
              </w:rPr>
            </w:pPr>
          </w:p>
        </w:tc>
        <w:tc>
          <w:tcPr>
            <w:tcW w:w="2928" w:type="dxa"/>
            <w:vAlign w:val="top"/>
          </w:tcPr>
          <w:p w14:paraId="46F37D28">
            <w:pPr>
              <w:rPr>
                <w:rFonts w:ascii="Arial"/>
                <w:sz w:val="21"/>
              </w:rPr>
            </w:pPr>
          </w:p>
        </w:tc>
        <w:tc>
          <w:tcPr>
            <w:tcW w:w="3227" w:type="dxa"/>
            <w:vAlign w:val="top"/>
          </w:tcPr>
          <w:p w14:paraId="75D90B55">
            <w:pPr>
              <w:rPr>
                <w:rFonts w:ascii="Arial"/>
                <w:sz w:val="21"/>
              </w:rPr>
            </w:pPr>
          </w:p>
        </w:tc>
        <w:tc>
          <w:tcPr>
            <w:tcW w:w="806" w:type="dxa"/>
            <w:vAlign w:val="top"/>
          </w:tcPr>
          <w:p w14:paraId="227652F1">
            <w:pPr>
              <w:rPr>
                <w:rFonts w:ascii="Arial"/>
                <w:sz w:val="21"/>
              </w:rPr>
            </w:pPr>
          </w:p>
        </w:tc>
        <w:tc>
          <w:tcPr>
            <w:tcW w:w="1078" w:type="dxa"/>
            <w:vAlign w:val="top"/>
          </w:tcPr>
          <w:p w14:paraId="0D8830BF">
            <w:pPr>
              <w:rPr>
                <w:rFonts w:ascii="Arial"/>
                <w:sz w:val="21"/>
              </w:rPr>
            </w:pPr>
          </w:p>
        </w:tc>
      </w:tr>
      <w:tr w14:paraId="7BAC8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D7D21AD">
            <w:pPr>
              <w:rPr>
                <w:rFonts w:ascii="Arial"/>
                <w:sz w:val="21"/>
              </w:rPr>
            </w:pPr>
          </w:p>
        </w:tc>
        <w:tc>
          <w:tcPr>
            <w:tcW w:w="2928" w:type="dxa"/>
            <w:vAlign w:val="top"/>
          </w:tcPr>
          <w:p w14:paraId="4360F885">
            <w:pPr>
              <w:rPr>
                <w:rFonts w:ascii="Arial"/>
                <w:sz w:val="21"/>
              </w:rPr>
            </w:pPr>
          </w:p>
        </w:tc>
        <w:tc>
          <w:tcPr>
            <w:tcW w:w="3227" w:type="dxa"/>
            <w:vAlign w:val="top"/>
          </w:tcPr>
          <w:p w14:paraId="07C4255D">
            <w:pPr>
              <w:rPr>
                <w:rFonts w:ascii="Arial"/>
                <w:sz w:val="21"/>
              </w:rPr>
            </w:pPr>
          </w:p>
        </w:tc>
        <w:tc>
          <w:tcPr>
            <w:tcW w:w="806" w:type="dxa"/>
            <w:vAlign w:val="top"/>
          </w:tcPr>
          <w:p w14:paraId="46405A3E">
            <w:pPr>
              <w:rPr>
                <w:rFonts w:ascii="Arial"/>
                <w:sz w:val="21"/>
              </w:rPr>
            </w:pPr>
          </w:p>
        </w:tc>
        <w:tc>
          <w:tcPr>
            <w:tcW w:w="1078" w:type="dxa"/>
            <w:vAlign w:val="top"/>
          </w:tcPr>
          <w:p w14:paraId="37E703DF">
            <w:pPr>
              <w:rPr>
                <w:rFonts w:ascii="Arial"/>
                <w:sz w:val="21"/>
              </w:rPr>
            </w:pPr>
          </w:p>
        </w:tc>
      </w:tr>
      <w:tr w14:paraId="6CAEC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92E5F9F">
            <w:pPr>
              <w:rPr>
                <w:rFonts w:ascii="Arial"/>
                <w:sz w:val="21"/>
              </w:rPr>
            </w:pPr>
          </w:p>
        </w:tc>
        <w:tc>
          <w:tcPr>
            <w:tcW w:w="2928" w:type="dxa"/>
            <w:vAlign w:val="top"/>
          </w:tcPr>
          <w:p w14:paraId="550F421F">
            <w:pPr>
              <w:rPr>
                <w:rFonts w:ascii="Arial"/>
                <w:sz w:val="21"/>
              </w:rPr>
            </w:pPr>
          </w:p>
        </w:tc>
        <w:tc>
          <w:tcPr>
            <w:tcW w:w="3227" w:type="dxa"/>
            <w:vAlign w:val="top"/>
          </w:tcPr>
          <w:p w14:paraId="7A88C6FB">
            <w:pPr>
              <w:rPr>
                <w:rFonts w:ascii="Arial"/>
                <w:sz w:val="21"/>
              </w:rPr>
            </w:pPr>
          </w:p>
        </w:tc>
        <w:tc>
          <w:tcPr>
            <w:tcW w:w="806" w:type="dxa"/>
            <w:vAlign w:val="top"/>
          </w:tcPr>
          <w:p w14:paraId="5A0CCFF0">
            <w:pPr>
              <w:rPr>
                <w:rFonts w:ascii="Arial"/>
                <w:sz w:val="21"/>
              </w:rPr>
            </w:pPr>
          </w:p>
        </w:tc>
        <w:tc>
          <w:tcPr>
            <w:tcW w:w="1078" w:type="dxa"/>
            <w:vAlign w:val="top"/>
          </w:tcPr>
          <w:p w14:paraId="5F0640A5">
            <w:pPr>
              <w:rPr>
                <w:rFonts w:ascii="Arial"/>
                <w:sz w:val="21"/>
              </w:rPr>
            </w:pPr>
          </w:p>
        </w:tc>
      </w:tr>
      <w:tr w14:paraId="3DE4A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68A68DC0">
            <w:pPr>
              <w:rPr>
                <w:rFonts w:ascii="Arial"/>
                <w:sz w:val="21"/>
              </w:rPr>
            </w:pPr>
          </w:p>
        </w:tc>
        <w:tc>
          <w:tcPr>
            <w:tcW w:w="2928" w:type="dxa"/>
            <w:vAlign w:val="top"/>
          </w:tcPr>
          <w:p w14:paraId="1947F0AD">
            <w:pPr>
              <w:rPr>
                <w:rFonts w:ascii="Arial"/>
                <w:sz w:val="21"/>
              </w:rPr>
            </w:pPr>
          </w:p>
        </w:tc>
        <w:tc>
          <w:tcPr>
            <w:tcW w:w="3227" w:type="dxa"/>
            <w:vAlign w:val="top"/>
          </w:tcPr>
          <w:p w14:paraId="15C73CB1">
            <w:pPr>
              <w:rPr>
                <w:rFonts w:ascii="Arial"/>
                <w:sz w:val="21"/>
              </w:rPr>
            </w:pPr>
          </w:p>
        </w:tc>
        <w:tc>
          <w:tcPr>
            <w:tcW w:w="806" w:type="dxa"/>
            <w:vAlign w:val="top"/>
          </w:tcPr>
          <w:p w14:paraId="28079527">
            <w:pPr>
              <w:rPr>
                <w:rFonts w:ascii="Arial"/>
                <w:sz w:val="21"/>
              </w:rPr>
            </w:pPr>
          </w:p>
        </w:tc>
        <w:tc>
          <w:tcPr>
            <w:tcW w:w="1078" w:type="dxa"/>
            <w:vAlign w:val="top"/>
          </w:tcPr>
          <w:p w14:paraId="5C23EAC2">
            <w:pPr>
              <w:rPr>
                <w:rFonts w:ascii="Arial"/>
                <w:sz w:val="21"/>
              </w:rPr>
            </w:pPr>
          </w:p>
        </w:tc>
      </w:tr>
      <w:tr w14:paraId="35366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5C21BCA">
            <w:pPr>
              <w:rPr>
                <w:rFonts w:ascii="Arial"/>
                <w:sz w:val="21"/>
              </w:rPr>
            </w:pPr>
          </w:p>
        </w:tc>
        <w:tc>
          <w:tcPr>
            <w:tcW w:w="2928" w:type="dxa"/>
            <w:vAlign w:val="top"/>
          </w:tcPr>
          <w:p w14:paraId="7175C543">
            <w:pPr>
              <w:rPr>
                <w:rFonts w:ascii="Arial"/>
                <w:sz w:val="21"/>
              </w:rPr>
            </w:pPr>
          </w:p>
        </w:tc>
        <w:tc>
          <w:tcPr>
            <w:tcW w:w="3227" w:type="dxa"/>
            <w:vAlign w:val="top"/>
          </w:tcPr>
          <w:p w14:paraId="29003DA1">
            <w:pPr>
              <w:rPr>
                <w:rFonts w:ascii="Arial"/>
                <w:sz w:val="21"/>
              </w:rPr>
            </w:pPr>
          </w:p>
        </w:tc>
        <w:tc>
          <w:tcPr>
            <w:tcW w:w="806" w:type="dxa"/>
            <w:vAlign w:val="top"/>
          </w:tcPr>
          <w:p w14:paraId="13C84A1A">
            <w:pPr>
              <w:rPr>
                <w:rFonts w:ascii="Arial"/>
                <w:sz w:val="21"/>
              </w:rPr>
            </w:pPr>
          </w:p>
        </w:tc>
        <w:tc>
          <w:tcPr>
            <w:tcW w:w="1078" w:type="dxa"/>
            <w:vAlign w:val="top"/>
          </w:tcPr>
          <w:p w14:paraId="40ECD591">
            <w:pPr>
              <w:rPr>
                <w:rFonts w:ascii="Arial"/>
                <w:sz w:val="21"/>
              </w:rPr>
            </w:pPr>
          </w:p>
        </w:tc>
      </w:tr>
      <w:tr w14:paraId="693AB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473C43D">
            <w:pPr>
              <w:rPr>
                <w:rFonts w:ascii="Arial"/>
                <w:sz w:val="21"/>
              </w:rPr>
            </w:pPr>
          </w:p>
        </w:tc>
        <w:tc>
          <w:tcPr>
            <w:tcW w:w="2928" w:type="dxa"/>
            <w:vAlign w:val="top"/>
          </w:tcPr>
          <w:p w14:paraId="7A6D727C">
            <w:pPr>
              <w:rPr>
                <w:rFonts w:ascii="Arial"/>
                <w:sz w:val="21"/>
              </w:rPr>
            </w:pPr>
          </w:p>
        </w:tc>
        <w:tc>
          <w:tcPr>
            <w:tcW w:w="3227" w:type="dxa"/>
            <w:vAlign w:val="top"/>
          </w:tcPr>
          <w:p w14:paraId="74F713C5">
            <w:pPr>
              <w:rPr>
                <w:rFonts w:ascii="Arial"/>
                <w:sz w:val="21"/>
              </w:rPr>
            </w:pPr>
          </w:p>
        </w:tc>
        <w:tc>
          <w:tcPr>
            <w:tcW w:w="806" w:type="dxa"/>
            <w:vAlign w:val="top"/>
          </w:tcPr>
          <w:p w14:paraId="3D6B0C30">
            <w:pPr>
              <w:rPr>
                <w:rFonts w:ascii="Arial"/>
                <w:sz w:val="21"/>
              </w:rPr>
            </w:pPr>
          </w:p>
        </w:tc>
        <w:tc>
          <w:tcPr>
            <w:tcW w:w="1078" w:type="dxa"/>
            <w:vAlign w:val="top"/>
          </w:tcPr>
          <w:p w14:paraId="77F82FDE">
            <w:pPr>
              <w:rPr>
                <w:rFonts w:ascii="Arial"/>
                <w:sz w:val="21"/>
              </w:rPr>
            </w:pPr>
          </w:p>
        </w:tc>
      </w:tr>
    </w:tbl>
    <w:p w14:paraId="0222626C">
      <w:pPr>
        <w:spacing w:before="115" w:line="219" w:lineRule="auto"/>
        <w:ind w:left="262"/>
        <w:rPr>
          <w:rFonts w:ascii="宋体" w:hAnsi="宋体" w:eastAsia="宋体" w:cs="宋体"/>
          <w:sz w:val="24"/>
          <w:szCs w:val="24"/>
        </w:rPr>
      </w:pPr>
      <w:r>
        <w:rPr>
          <w:rFonts w:ascii="宋体" w:hAnsi="宋体" w:eastAsia="宋体" w:cs="宋体"/>
          <w:spacing w:val="-5"/>
          <w:sz w:val="24"/>
          <w:szCs w:val="24"/>
        </w:rPr>
        <w:t>说明：</w:t>
      </w:r>
    </w:p>
    <w:p w14:paraId="3EAD701B">
      <w:pPr>
        <w:spacing w:before="183" w:line="219" w:lineRule="auto"/>
        <w:ind w:left="757"/>
        <w:rPr>
          <w:rFonts w:ascii="宋体" w:hAnsi="宋体" w:eastAsia="宋体" w:cs="宋体"/>
          <w:sz w:val="24"/>
          <w:szCs w:val="24"/>
        </w:rPr>
      </w:pPr>
      <w:r>
        <w:rPr>
          <w:rFonts w:ascii="宋体" w:hAnsi="宋体" w:eastAsia="宋体" w:cs="宋体"/>
          <w:spacing w:val="-2"/>
          <w:sz w:val="24"/>
          <w:szCs w:val="24"/>
        </w:rPr>
        <w:t>1、谈判响应文件根据第</w:t>
      </w:r>
      <w:r>
        <w:rPr>
          <w:rFonts w:hint="eastAsia" w:ascii="宋体" w:hAnsi="宋体" w:eastAsia="宋体" w:cs="宋体"/>
          <w:spacing w:val="-2"/>
          <w:sz w:val="24"/>
          <w:szCs w:val="24"/>
          <w:lang w:val="en-US" w:eastAsia="zh-CN"/>
        </w:rPr>
        <w:t>四</w:t>
      </w:r>
      <w:r>
        <w:rPr>
          <w:rFonts w:ascii="宋体" w:hAnsi="宋体" w:eastAsia="宋体" w:cs="宋体"/>
          <w:spacing w:val="-2"/>
          <w:sz w:val="24"/>
          <w:szCs w:val="24"/>
        </w:rPr>
        <w:t>部分商务要求如实填写；</w:t>
      </w:r>
    </w:p>
    <w:p w14:paraId="47CCFE65">
      <w:pPr>
        <w:spacing w:before="183" w:line="219" w:lineRule="auto"/>
        <w:ind w:left="742"/>
        <w:rPr>
          <w:rFonts w:ascii="宋体" w:hAnsi="宋体" w:eastAsia="宋体" w:cs="宋体"/>
          <w:sz w:val="24"/>
          <w:szCs w:val="24"/>
        </w:rPr>
      </w:pPr>
      <w:r>
        <w:rPr>
          <w:rFonts w:ascii="宋体" w:hAnsi="宋体" w:eastAsia="宋体" w:cs="宋体"/>
          <w:spacing w:val="-1"/>
          <w:sz w:val="24"/>
          <w:szCs w:val="24"/>
        </w:rPr>
        <w:t>2、偏离填写：优于、相同、低于；</w:t>
      </w:r>
    </w:p>
    <w:p w14:paraId="58D09113">
      <w:pPr>
        <w:spacing w:before="184" w:line="219" w:lineRule="auto"/>
        <w:ind w:left="744"/>
        <w:rPr>
          <w:rFonts w:ascii="宋体" w:hAnsi="宋体" w:eastAsia="宋体" w:cs="宋体"/>
          <w:sz w:val="24"/>
          <w:szCs w:val="24"/>
        </w:rPr>
      </w:pPr>
      <w:r>
        <w:rPr>
          <w:rFonts w:ascii="宋体" w:hAnsi="宋体" w:eastAsia="宋体" w:cs="宋体"/>
          <w:spacing w:val="-1"/>
          <w:sz w:val="24"/>
          <w:szCs w:val="24"/>
        </w:rPr>
        <w:t>3、响应说明填写：对偏离做出详细的说明。</w:t>
      </w:r>
    </w:p>
    <w:p w14:paraId="516D5C84">
      <w:pPr>
        <w:pStyle w:val="4"/>
        <w:spacing w:line="323" w:lineRule="auto"/>
      </w:pPr>
    </w:p>
    <w:p w14:paraId="12956BCB">
      <w:pPr>
        <w:pStyle w:val="4"/>
        <w:spacing w:line="324" w:lineRule="auto"/>
      </w:pPr>
    </w:p>
    <w:p w14:paraId="218536E3">
      <w:pPr>
        <w:spacing w:before="78" w:line="219" w:lineRule="auto"/>
        <w:ind w:left="2900"/>
        <w:rPr>
          <w:rFonts w:ascii="宋体" w:hAnsi="宋体" w:eastAsia="宋体" w:cs="宋体"/>
          <w:sz w:val="24"/>
          <w:szCs w:val="24"/>
        </w:rPr>
      </w:pPr>
      <w:r>
        <w:rPr>
          <w:rFonts w:ascii="宋体" w:hAnsi="宋体" w:eastAsia="宋体" w:cs="宋体"/>
          <w:spacing w:val="-1"/>
          <w:sz w:val="24"/>
          <w:szCs w:val="24"/>
        </w:rPr>
        <w:t>法定代表人/负责人或被授权代表（签字</w:t>
      </w:r>
      <w:r>
        <w:rPr>
          <w:rFonts w:hint="eastAsia" w:ascii="宋体" w:hAnsi="宋体" w:eastAsia="宋体" w:cs="宋体"/>
          <w:spacing w:val="-1"/>
          <w:sz w:val="24"/>
          <w:szCs w:val="24"/>
          <w:lang w:val="en-US" w:eastAsia="zh-CN"/>
        </w:rPr>
        <w:t>并</w:t>
      </w:r>
      <w:r>
        <w:rPr>
          <w:rFonts w:ascii="宋体" w:hAnsi="宋体" w:eastAsia="宋体" w:cs="宋体"/>
          <w:spacing w:val="-1"/>
          <w:sz w:val="24"/>
          <w:szCs w:val="24"/>
        </w:rPr>
        <w:t>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728147E8">
      <w:pPr>
        <w:pStyle w:val="4"/>
        <w:spacing w:line="259" w:lineRule="auto"/>
      </w:pPr>
    </w:p>
    <w:p w14:paraId="54ACBB5E">
      <w:pPr>
        <w:spacing w:before="79" w:line="219" w:lineRule="auto"/>
        <w:ind w:left="2899"/>
        <w:rPr>
          <w:rFonts w:ascii="宋体" w:hAnsi="宋体" w:eastAsia="宋体" w:cs="宋体"/>
          <w:sz w:val="24"/>
          <w:szCs w:val="24"/>
        </w:rPr>
      </w:pPr>
      <w:r>
        <w:rPr>
          <w:rFonts w:ascii="宋体" w:hAnsi="宋体" w:eastAsia="宋体" w:cs="宋体"/>
          <w:spacing w:val="-2"/>
          <w:sz w:val="24"/>
          <w:szCs w:val="24"/>
        </w:rPr>
        <w:t>供应商名称公章：</w:t>
      </w:r>
      <w:r>
        <w:rPr>
          <w:rFonts w:ascii="宋体" w:hAnsi="宋体" w:eastAsia="宋体" w:cs="宋体"/>
          <w:sz w:val="24"/>
          <w:szCs w:val="24"/>
          <w:u w:val="single" w:color="auto"/>
        </w:rPr>
        <w:t xml:space="preserve">                      </w:t>
      </w:r>
    </w:p>
    <w:p w14:paraId="59CF4A1F">
      <w:pPr>
        <w:pStyle w:val="4"/>
        <w:spacing w:line="260" w:lineRule="auto"/>
      </w:pPr>
    </w:p>
    <w:p w14:paraId="375B35C3">
      <w:pPr>
        <w:spacing w:before="78" w:line="220" w:lineRule="auto"/>
        <w:ind w:left="2940"/>
        <w:rPr>
          <w:rFonts w:ascii="宋体" w:hAnsi="宋体" w:eastAsia="宋体" w:cs="宋体"/>
          <w:sz w:val="24"/>
          <w:szCs w:val="24"/>
        </w:rPr>
      </w:pPr>
      <w:r>
        <w:rPr>
          <w:rFonts w:ascii="宋体" w:hAnsi="宋体" w:eastAsia="宋体" w:cs="宋体"/>
          <w:spacing w:val="-17"/>
          <w:sz w:val="24"/>
          <w:szCs w:val="24"/>
        </w:rPr>
        <w:t>日期：</w:t>
      </w:r>
      <w:r>
        <w:rPr>
          <w:rFonts w:ascii="宋体" w:hAnsi="宋体" w:eastAsia="宋体" w:cs="宋体"/>
          <w:sz w:val="24"/>
          <w:szCs w:val="24"/>
          <w:u w:val="single" w:color="auto"/>
        </w:rPr>
        <w:t xml:space="preserve">                                </w:t>
      </w:r>
    </w:p>
    <w:p w14:paraId="1A45C216">
      <w:pPr>
        <w:spacing w:line="220" w:lineRule="auto"/>
        <w:rPr>
          <w:rFonts w:ascii="宋体" w:hAnsi="宋体" w:eastAsia="宋体" w:cs="宋体"/>
          <w:sz w:val="24"/>
          <w:szCs w:val="24"/>
        </w:rPr>
        <w:sectPr>
          <w:footerReference r:id="rId19" w:type="default"/>
          <w:pgSz w:w="11906" w:h="16839"/>
          <w:pgMar w:top="1431" w:right="1549" w:bottom="917" w:left="1549" w:header="0" w:footer="752" w:gutter="0"/>
          <w:pgNumType w:fmt="decimal"/>
          <w:cols w:space="720" w:num="1"/>
        </w:sectPr>
      </w:pPr>
    </w:p>
    <w:p w14:paraId="73CD2A1A">
      <w:pPr>
        <w:spacing w:before="78" w:line="220" w:lineRule="auto"/>
        <w:ind w:left="26"/>
        <w:jc w:val="center"/>
        <w:rPr>
          <w:rFonts w:ascii="宋体" w:hAnsi="宋体" w:eastAsia="宋体" w:cs="宋体"/>
          <w:b/>
          <w:bCs/>
          <w:spacing w:val="-2"/>
          <w:sz w:val="36"/>
          <w:szCs w:val="36"/>
        </w:rPr>
      </w:pPr>
      <w:bookmarkStart w:id="79" w:name="_Toc26673"/>
      <w:r>
        <w:rPr>
          <w:rFonts w:hint="eastAsia" w:ascii="宋体" w:hAnsi="宋体" w:eastAsia="宋体" w:cs="宋体"/>
          <w:b/>
          <w:bCs/>
          <w:spacing w:val="-2"/>
          <w:sz w:val="36"/>
          <w:szCs w:val="36"/>
          <w:lang w:val="en-US" w:eastAsia="zh-CN"/>
        </w:rPr>
        <w:t>技术</w:t>
      </w:r>
      <w:r>
        <w:rPr>
          <w:rFonts w:ascii="宋体" w:hAnsi="宋体" w:eastAsia="宋体" w:cs="宋体"/>
          <w:b/>
          <w:bCs/>
          <w:spacing w:val="-2"/>
          <w:sz w:val="36"/>
          <w:szCs w:val="36"/>
        </w:rPr>
        <w:t>偏离表</w:t>
      </w:r>
      <w:bookmarkEnd w:id="79"/>
    </w:p>
    <w:p w14:paraId="5CE74A2B">
      <w:pPr>
        <w:pStyle w:val="4"/>
        <w:spacing w:line="246" w:lineRule="auto"/>
      </w:pPr>
    </w:p>
    <w:p w14:paraId="1B2A1021">
      <w:pPr>
        <w:spacing w:before="78" w:line="219" w:lineRule="auto"/>
        <w:ind w:left="499"/>
        <w:rPr>
          <w:rFonts w:ascii="宋体" w:hAnsi="宋体" w:eastAsia="宋体" w:cs="宋体"/>
          <w:sz w:val="24"/>
          <w:szCs w:val="24"/>
        </w:rPr>
      </w:pPr>
      <w:r>
        <w:rPr>
          <w:rFonts w:ascii="宋体" w:hAnsi="宋体" w:eastAsia="宋体" w:cs="宋体"/>
          <w:sz w:val="24"/>
          <w:szCs w:val="24"/>
        </w:rPr>
        <w:t xml:space="preserve">供应商名称：                         </w:t>
      </w:r>
      <w:r>
        <w:rPr>
          <w:rFonts w:ascii="宋体" w:hAnsi="宋体" w:eastAsia="宋体" w:cs="宋体"/>
          <w:spacing w:val="-1"/>
          <w:sz w:val="24"/>
          <w:szCs w:val="24"/>
        </w:rPr>
        <w:t xml:space="preserve">    采购项目编号：</w:t>
      </w:r>
    </w:p>
    <w:p w14:paraId="792367B5">
      <w:pPr>
        <w:spacing w:line="69" w:lineRule="exact"/>
      </w:pPr>
    </w:p>
    <w:tbl>
      <w:tblPr>
        <w:tblStyle w:val="31"/>
        <w:tblW w:w="87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806"/>
        <w:gridCol w:w="1078"/>
      </w:tblGrid>
      <w:tr w14:paraId="70AF7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E1DAE94">
            <w:pPr>
              <w:pStyle w:val="32"/>
              <w:spacing w:before="120" w:line="221" w:lineRule="auto"/>
              <w:ind w:left="140"/>
            </w:pPr>
            <w:r>
              <w:rPr>
                <w:b/>
                <w:bCs/>
                <w:spacing w:val="-7"/>
              </w:rPr>
              <w:t>序号</w:t>
            </w:r>
          </w:p>
        </w:tc>
        <w:tc>
          <w:tcPr>
            <w:tcW w:w="2928" w:type="dxa"/>
            <w:vAlign w:val="top"/>
          </w:tcPr>
          <w:p w14:paraId="5DB0C0AB">
            <w:pPr>
              <w:pStyle w:val="32"/>
              <w:spacing w:before="121" w:line="219" w:lineRule="auto"/>
              <w:ind w:left="143"/>
            </w:pPr>
            <w:r>
              <w:rPr>
                <w:b/>
                <w:bCs/>
                <w:spacing w:val="-3"/>
              </w:rPr>
              <w:t>竞争性谈判文件</w:t>
            </w:r>
            <w:r>
              <w:rPr>
                <w:rFonts w:hint="eastAsia"/>
                <w:b/>
                <w:bCs/>
                <w:spacing w:val="-3"/>
                <w:lang w:val="en-US" w:eastAsia="zh-CN"/>
              </w:rPr>
              <w:t>技术</w:t>
            </w:r>
            <w:r>
              <w:rPr>
                <w:b/>
                <w:bCs/>
                <w:spacing w:val="-3"/>
              </w:rPr>
              <w:t>要求</w:t>
            </w:r>
          </w:p>
        </w:tc>
        <w:tc>
          <w:tcPr>
            <w:tcW w:w="3227" w:type="dxa"/>
            <w:vAlign w:val="top"/>
          </w:tcPr>
          <w:p w14:paraId="75324A36">
            <w:pPr>
              <w:pStyle w:val="32"/>
              <w:spacing w:before="121" w:line="219" w:lineRule="auto"/>
              <w:ind w:left="54"/>
            </w:pPr>
            <w:r>
              <w:rPr>
                <w:b/>
                <w:bCs/>
                <w:spacing w:val="-3"/>
              </w:rPr>
              <w:t>竞争性谈判响应文件</w:t>
            </w:r>
            <w:r>
              <w:rPr>
                <w:rFonts w:hint="eastAsia"/>
                <w:b/>
                <w:bCs/>
                <w:spacing w:val="-3"/>
                <w:lang w:val="en-US" w:eastAsia="zh-CN"/>
              </w:rPr>
              <w:t>技术</w:t>
            </w:r>
            <w:r>
              <w:rPr>
                <w:b/>
                <w:bCs/>
                <w:spacing w:val="-3"/>
              </w:rPr>
              <w:t>响应</w:t>
            </w:r>
          </w:p>
        </w:tc>
        <w:tc>
          <w:tcPr>
            <w:tcW w:w="806" w:type="dxa"/>
            <w:vAlign w:val="top"/>
          </w:tcPr>
          <w:p w14:paraId="66ED84E8">
            <w:pPr>
              <w:pStyle w:val="32"/>
              <w:spacing w:before="121" w:line="219" w:lineRule="auto"/>
              <w:ind w:left="170"/>
            </w:pPr>
            <w:r>
              <w:rPr>
                <w:b/>
                <w:bCs/>
                <w:spacing w:val="-8"/>
              </w:rPr>
              <w:t>偏离</w:t>
            </w:r>
          </w:p>
        </w:tc>
        <w:tc>
          <w:tcPr>
            <w:tcW w:w="1078" w:type="dxa"/>
            <w:vAlign w:val="top"/>
          </w:tcPr>
          <w:p w14:paraId="19E8E375">
            <w:pPr>
              <w:pStyle w:val="32"/>
              <w:spacing w:before="121" w:line="219" w:lineRule="auto"/>
              <w:ind w:left="74"/>
            </w:pPr>
            <w:r>
              <w:rPr>
                <w:b/>
                <w:bCs/>
                <w:spacing w:val="-8"/>
              </w:rPr>
              <w:t>响应说明</w:t>
            </w:r>
          </w:p>
        </w:tc>
      </w:tr>
      <w:tr w14:paraId="5FB61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B16B7BB">
            <w:pPr>
              <w:rPr>
                <w:rFonts w:ascii="Arial"/>
                <w:sz w:val="21"/>
              </w:rPr>
            </w:pPr>
          </w:p>
        </w:tc>
        <w:tc>
          <w:tcPr>
            <w:tcW w:w="2928" w:type="dxa"/>
            <w:vAlign w:val="top"/>
          </w:tcPr>
          <w:p w14:paraId="4ED91D2A">
            <w:pPr>
              <w:rPr>
                <w:rFonts w:ascii="Arial"/>
                <w:sz w:val="21"/>
              </w:rPr>
            </w:pPr>
          </w:p>
        </w:tc>
        <w:tc>
          <w:tcPr>
            <w:tcW w:w="3227" w:type="dxa"/>
            <w:vAlign w:val="top"/>
          </w:tcPr>
          <w:p w14:paraId="7E09E502">
            <w:pPr>
              <w:rPr>
                <w:rFonts w:ascii="Arial"/>
                <w:sz w:val="21"/>
              </w:rPr>
            </w:pPr>
          </w:p>
        </w:tc>
        <w:tc>
          <w:tcPr>
            <w:tcW w:w="806" w:type="dxa"/>
            <w:vAlign w:val="top"/>
          </w:tcPr>
          <w:p w14:paraId="27DAEDE8">
            <w:pPr>
              <w:rPr>
                <w:rFonts w:ascii="Arial"/>
                <w:sz w:val="21"/>
              </w:rPr>
            </w:pPr>
          </w:p>
        </w:tc>
        <w:tc>
          <w:tcPr>
            <w:tcW w:w="1078" w:type="dxa"/>
            <w:vAlign w:val="top"/>
          </w:tcPr>
          <w:p w14:paraId="7053734F">
            <w:pPr>
              <w:rPr>
                <w:rFonts w:ascii="Arial"/>
                <w:sz w:val="21"/>
              </w:rPr>
            </w:pPr>
          </w:p>
        </w:tc>
      </w:tr>
      <w:tr w14:paraId="41210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34E6A54">
            <w:pPr>
              <w:rPr>
                <w:rFonts w:ascii="Arial"/>
                <w:sz w:val="21"/>
              </w:rPr>
            </w:pPr>
          </w:p>
        </w:tc>
        <w:tc>
          <w:tcPr>
            <w:tcW w:w="2928" w:type="dxa"/>
            <w:vAlign w:val="top"/>
          </w:tcPr>
          <w:p w14:paraId="26212453">
            <w:pPr>
              <w:rPr>
                <w:rFonts w:ascii="Arial"/>
                <w:sz w:val="21"/>
              </w:rPr>
            </w:pPr>
          </w:p>
        </w:tc>
        <w:tc>
          <w:tcPr>
            <w:tcW w:w="3227" w:type="dxa"/>
            <w:vAlign w:val="top"/>
          </w:tcPr>
          <w:p w14:paraId="7F1E49CF">
            <w:pPr>
              <w:rPr>
                <w:rFonts w:ascii="Arial"/>
                <w:sz w:val="21"/>
              </w:rPr>
            </w:pPr>
          </w:p>
        </w:tc>
        <w:tc>
          <w:tcPr>
            <w:tcW w:w="806" w:type="dxa"/>
            <w:vAlign w:val="top"/>
          </w:tcPr>
          <w:p w14:paraId="3D0C2470">
            <w:pPr>
              <w:rPr>
                <w:rFonts w:ascii="Arial"/>
                <w:sz w:val="21"/>
              </w:rPr>
            </w:pPr>
          </w:p>
        </w:tc>
        <w:tc>
          <w:tcPr>
            <w:tcW w:w="1078" w:type="dxa"/>
            <w:vAlign w:val="top"/>
          </w:tcPr>
          <w:p w14:paraId="552B2113">
            <w:pPr>
              <w:rPr>
                <w:rFonts w:ascii="Arial"/>
                <w:sz w:val="21"/>
              </w:rPr>
            </w:pPr>
          </w:p>
        </w:tc>
      </w:tr>
      <w:tr w14:paraId="04436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C502B7B">
            <w:pPr>
              <w:rPr>
                <w:rFonts w:ascii="Arial"/>
                <w:sz w:val="21"/>
              </w:rPr>
            </w:pPr>
          </w:p>
        </w:tc>
        <w:tc>
          <w:tcPr>
            <w:tcW w:w="2928" w:type="dxa"/>
            <w:vAlign w:val="top"/>
          </w:tcPr>
          <w:p w14:paraId="07057713">
            <w:pPr>
              <w:rPr>
                <w:rFonts w:ascii="Arial"/>
                <w:sz w:val="21"/>
              </w:rPr>
            </w:pPr>
          </w:p>
        </w:tc>
        <w:tc>
          <w:tcPr>
            <w:tcW w:w="3227" w:type="dxa"/>
            <w:vAlign w:val="top"/>
          </w:tcPr>
          <w:p w14:paraId="46FACB2A">
            <w:pPr>
              <w:rPr>
                <w:rFonts w:ascii="Arial"/>
                <w:sz w:val="21"/>
              </w:rPr>
            </w:pPr>
          </w:p>
        </w:tc>
        <w:tc>
          <w:tcPr>
            <w:tcW w:w="806" w:type="dxa"/>
            <w:vAlign w:val="top"/>
          </w:tcPr>
          <w:p w14:paraId="44F92A44">
            <w:pPr>
              <w:rPr>
                <w:rFonts w:ascii="Arial"/>
                <w:sz w:val="21"/>
              </w:rPr>
            </w:pPr>
          </w:p>
        </w:tc>
        <w:tc>
          <w:tcPr>
            <w:tcW w:w="1078" w:type="dxa"/>
            <w:vAlign w:val="top"/>
          </w:tcPr>
          <w:p w14:paraId="4F270813">
            <w:pPr>
              <w:rPr>
                <w:rFonts w:ascii="Arial"/>
                <w:sz w:val="21"/>
              </w:rPr>
            </w:pPr>
          </w:p>
        </w:tc>
      </w:tr>
      <w:tr w14:paraId="0A0E8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720E81B4">
            <w:pPr>
              <w:rPr>
                <w:rFonts w:ascii="Arial"/>
                <w:sz w:val="21"/>
              </w:rPr>
            </w:pPr>
          </w:p>
        </w:tc>
        <w:tc>
          <w:tcPr>
            <w:tcW w:w="2928" w:type="dxa"/>
            <w:vAlign w:val="top"/>
          </w:tcPr>
          <w:p w14:paraId="6129FB23">
            <w:pPr>
              <w:rPr>
                <w:rFonts w:ascii="Arial"/>
                <w:sz w:val="21"/>
              </w:rPr>
            </w:pPr>
          </w:p>
        </w:tc>
        <w:tc>
          <w:tcPr>
            <w:tcW w:w="3227" w:type="dxa"/>
            <w:vAlign w:val="top"/>
          </w:tcPr>
          <w:p w14:paraId="11E7765E">
            <w:pPr>
              <w:rPr>
                <w:rFonts w:ascii="Arial"/>
                <w:sz w:val="21"/>
              </w:rPr>
            </w:pPr>
          </w:p>
        </w:tc>
        <w:tc>
          <w:tcPr>
            <w:tcW w:w="806" w:type="dxa"/>
            <w:vAlign w:val="top"/>
          </w:tcPr>
          <w:p w14:paraId="00D206A1">
            <w:pPr>
              <w:rPr>
                <w:rFonts w:ascii="Arial"/>
                <w:sz w:val="21"/>
              </w:rPr>
            </w:pPr>
          </w:p>
        </w:tc>
        <w:tc>
          <w:tcPr>
            <w:tcW w:w="1078" w:type="dxa"/>
            <w:vAlign w:val="top"/>
          </w:tcPr>
          <w:p w14:paraId="32FC1528">
            <w:pPr>
              <w:rPr>
                <w:rFonts w:ascii="Arial"/>
                <w:sz w:val="21"/>
              </w:rPr>
            </w:pPr>
          </w:p>
        </w:tc>
      </w:tr>
      <w:tr w14:paraId="17F03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C2DE532">
            <w:pPr>
              <w:rPr>
                <w:rFonts w:ascii="Arial"/>
                <w:sz w:val="21"/>
              </w:rPr>
            </w:pPr>
          </w:p>
        </w:tc>
        <w:tc>
          <w:tcPr>
            <w:tcW w:w="2928" w:type="dxa"/>
            <w:vAlign w:val="top"/>
          </w:tcPr>
          <w:p w14:paraId="777171A6">
            <w:pPr>
              <w:rPr>
                <w:rFonts w:ascii="Arial"/>
                <w:sz w:val="21"/>
              </w:rPr>
            </w:pPr>
          </w:p>
        </w:tc>
        <w:tc>
          <w:tcPr>
            <w:tcW w:w="3227" w:type="dxa"/>
            <w:vAlign w:val="top"/>
          </w:tcPr>
          <w:p w14:paraId="3ABF0996">
            <w:pPr>
              <w:rPr>
                <w:rFonts w:ascii="Arial"/>
                <w:sz w:val="21"/>
              </w:rPr>
            </w:pPr>
          </w:p>
        </w:tc>
        <w:tc>
          <w:tcPr>
            <w:tcW w:w="806" w:type="dxa"/>
            <w:vAlign w:val="top"/>
          </w:tcPr>
          <w:p w14:paraId="60533ECF">
            <w:pPr>
              <w:rPr>
                <w:rFonts w:ascii="Arial"/>
                <w:sz w:val="21"/>
              </w:rPr>
            </w:pPr>
          </w:p>
        </w:tc>
        <w:tc>
          <w:tcPr>
            <w:tcW w:w="1078" w:type="dxa"/>
            <w:vAlign w:val="top"/>
          </w:tcPr>
          <w:p w14:paraId="7D2C7575">
            <w:pPr>
              <w:rPr>
                <w:rFonts w:ascii="Arial"/>
                <w:sz w:val="21"/>
              </w:rPr>
            </w:pPr>
          </w:p>
        </w:tc>
      </w:tr>
      <w:tr w14:paraId="5E0CF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5" w:hRule="atLeast"/>
        </w:trPr>
        <w:tc>
          <w:tcPr>
            <w:tcW w:w="757" w:type="dxa"/>
            <w:vAlign w:val="top"/>
          </w:tcPr>
          <w:p w14:paraId="75A80B8D">
            <w:pPr>
              <w:rPr>
                <w:rFonts w:ascii="Arial"/>
                <w:sz w:val="21"/>
              </w:rPr>
            </w:pPr>
          </w:p>
        </w:tc>
        <w:tc>
          <w:tcPr>
            <w:tcW w:w="2928" w:type="dxa"/>
            <w:vAlign w:val="top"/>
          </w:tcPr>
          <w:p w14:paraId="7DC2706D">
            <w:pPr>
              <w:rPr>
                <w:rFonts w:ascii="Arial"/>
                <w:sz w:val="21"/>
              </w:rPr>
            </w:pPr>
          </w:p>
        </w:tc>
        <w:tc>
          <w:tcPr>
            <w:tcW w:w="3227" w:type="dxa"/>
            <w:vAlign w:val="top"/>
          </w:tcPr>
          <w:p w14:paraId="4A13D4CA">
            <w:pPr>
              <w:rPr>
                <w:rFonts w:ascii="Arial"/>
                <w:sz w:val="21"/>
              </w:rPr>
            </w:pPr>
          </w:p>
        </w:tc>
        <w:tc>
          <w:tcPr>
            <w:tcW w:w="806" w:type="dxa"/>
            <w:vAlign w:val="top"/>
          </w:tcPr>
          <w:p w14:paraId="5EBA089E">
            <w:pPr>
              <w:rPr>
                <w:rFonts w:ascii="Arial"/>
                <w:sz w:val="21"/>
              </w:rPr>
            </w:pPr>
          </w:p>
        </w:tc>
        <w:tc>
          <w:tcPr>
            <w:tcW w:w="1078" w:type="dxa"/>
            <w:vAlign w:val="top"/>
          </w:tcPr>
          <w:p w14:paraId="6D9466C6">
            <w:pPr>
              <w:rPr>
                <w:rFonts w:ascii="Arial"/>
                <w:sz w:val="21"/>
              </w:rPr>
            </w:pPr>
          </w:p>
        </w:tc>
      </w:tr>
      <w:tr w14:paraId="2AA43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4" w:hRule="atLeast"/>
        </w:trPr>
        <w:tc>
          <w:tcPr>
            <w:tcW w:w="757" w:type="dxa"/>
            <w:vAlign w:val="top"/>
          </w:tcPr>
          <w:p w14:paraId="78162F0B">
            <w:pPr>
              <w:rPr>
                <w:rFonts w:ascii="Arial"/>
                <w:sz w:val="21"/>
              </w:rPr>
            </w:pPr>
          </w:p>
        </w:tc>
        <w:tc>
          <w:tcPr>
            <w:tcW w:w="2928" w:type="dxa"/>
            <w:vAlign w:val="top"/>
          </w:tcPr>
          <w:p w14:paraId="0338443F">
            <w:pPr>
              <w:rPr>
                <w:rFonts w:ascii="Arial"/>
                <w:sz w:val="21"/>
              </w:rPr>
            </w:pPr>
          </w:p>
        </w:tc>
        <w:tc>
          <w:tcPr>
            <w:tcW w:w="3227" w:type="dxa"/>
            <w:vAlign w:val="top"/>
          </w:tcPr>
          <w:p w14:paraId="2CC1BF82">
            <w:pPr>
              <w:rPr>
                <w:rFonts w:ascii="Arial"/>
                <w:sz w:val="21"/>
              </w:rPr>
            </w:pPr>
          </w:p>
        </w:tc>
        <w:tc>
          <w:tcPr>
            <w:tcW w:w="806" w:type="dxa"/>
            <w:vAlign w:val="top"/>
          </w:tcPr>
          <w:p w14:paraId="7F25CB7C">
            <w:pPr>
              <w:rPr>
                <w:rFonts w:ascii="Arial"/>
                <w:sz w:val="21"/>
              </w:rPr>
            </w:pPr>
          </w:p>
        </w:tc>
        <w:tc>
          <w:tcPr>
            <w:tcW w:w="1078" w:type="dxa"/>
            <w:vAlign w:val="top"/>
          </w:tcPr>
          <w:p w14:paraId="585B6574">
            <w:pPr>
              <w:rPr>
                <w:rFonts w:ascii="Arial"/>
                <w:sz w:val="21"/>
              </w:rPr>
            </w:pPr>
          </w:p>
        </w:tc>
      </w:tr>
      <w:tr w14:paraId="7C67B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4CAA7894">
            <w:pPr>
              <w:rPr>
                <w:rFonts w:ascii="Arial"/>
                <w:sz w:val="21"/>
              </w:rPr>
            </w:pPr>
          </w:p>
        </w:tc>
        <w:tc>
          <w:tcPr>
            <w:tcW w:w="2928" w:type="dxa"/>
            <w:vAlign w:val="top"/>
          </w:tcPr>
          <w:p w14:paraId="55F174D0">
            <w:pPr>
              <w:rPr>
                <w:rFonts w:ascii="Arial"/>
                <w:sz w:val="21"/>
              </w:rPr>
            </w:pPr>
          </w:p>
        </w:tc>
        <w:tc>
          <w:tcPr>
            <w:tcW w:w="3227" w:type="dxa"/>
            <w:vAlign w:val="top"/>
          </w:tcPr>
          <w:p w14:paraId="2F597A24">
            <w:pPr>
              <w:rPr>
                <w:rFonts w:ascii="Arial"/>
                <w:sz w:val="21"/>
              </w:rPr>
            </w:pPr>
          </w:p>
        </w:tc>
        <w:tc>
          <w:tcPr>
            <w:tcW w:w="806" w:type="dxa"/>
            <w:vAlign w:val="top"/>
          </w:tcPr>
          <w:p w14:paraId="14C5EAB8">
            <w:pPr>
              <w:rPr>
                <w:rFonts w:ascii="Arial"/>
                <w:sz w:val="21"/>
              </w:rPr>
            </w:pPr>
          </w:p>
        </w:tc>
        <w:tc>
          <w:tcPr>
            <w:tcW w:w="1078" w:type="dxa"/>
            <w:vAlign w:val="top"/>
          </w:tcPr>
          <w:p w14:paraId="5F0067C4">
            <w:pPr>
              <w:rPr>
                <w:rFonts w:ascii="Arial"/>
                <w:sz w:val="21"/>
              </w:rPr>
            </w:pPr>
          </w:p>
        </w:tc>
      </w:tr>
      <w:tr w14:paraId="7B765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4" w:hRule="atLeast"/>
        </w:trPr>
        <w:tc>
          <w:tcPr>
            <w:tcW w:w="757" w:type="dxa"/>
            <w:vAlign w:val="top"/>
          </w:tcPr>
          <w:p w14:paraId="3457AD4E">
            <w:pPr>
              <w:rPr>
                <w:rFonts w:ascii="Arial"/>
                <w:sz w:val="21"/>
              </w:rPr>
            </w:pPr>
          </w:p>
        </w:tc>
        <w:tc>
          <w:tcPr>
            <w:tcW w:w="2928" w:type="dxa"/>
            <w:vAlign w:val="top"/>
          </w:tcPr>
          <w:p w14:paraId="45B99142">
            <w:pPr>
              <w:rPr>
                <w:rFonts w:ascii="Arial"/>
                <w:sz w:val="21"/>
              </w:rPr>
            </w:pPr>
          </w:p>
        </w:tc>
        <w:tc>
          <w:tcPr>
            <w:tcW w:w="3227" w:type="dxa"/>
            <w:vAlign w:val="top"/>
          </w:tcPr>
          <w:p w14:paraId="69459ED4">
            <w:pPr>
              <w:rPr>
                <w:rFonts w:ascii="Arial"/>
                <w:sz w:val="21"/>
              </w:rPr>
            </w:pPr>
          </w:p>
        </w:tc>
        <w:tc>
          <w:tcPr>
            <w:tcW w:w="806" w:type="dxa"/>
            <w:vAlign w:val="top"/>
          </w:tcPr>
          <w:p w14:paraId="5B1AAED4">
            <w:pPr>
              <w:rPr>
                <w:rFonts w:ascii="Arial"/>
                <w:sz w:val="21"/>
              </w:rPr>
            </w:pPr>
          </w:p>
        </w:tc>
        <w:tc>
          <w:tcPr>
            <w:tcW w:w="1078" w:type="dxa"/>
            <w:vAlign w:val="top"/>
          </w:tcPr>
          <w:p w14:paraId="558C0EA7">
            <w:pPr>
              <w:rPr>
                <w:rFonts w:ascii="Arial"/>
                <w:sz w:val="21"/>
              </w:rPr>
            </w:pPr>
          </w:p>
        </w:tc>
      </w:tr>
      <w:tr w14:paraId="1B9EE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4" w:hRule="atLeast"/>
        </w:trPr>
        <w:tc>
          <w:tcPr>
            <w:tcW w:w="757" w:type="dxa"/>
            <w:vAlign w:val="top"/>
          </w:tcPr>
          <w:p w14:paraId="3D3817F2">
            <w:pPr>
              <w:rPr>
                <w:rFonts w:ascii="Arial"/>
                <w:sz w:val="21"/>
              </w:rPr>
            </w:pPr>
          </w:p>
        </w:tc>
        <w:tc>
          <w:tcPr>
            <w:tcW w:w="2928" w:type="dxa"/>
            <w:vAlign w:val="top"/>
          </w:tcPr>
          <w:p w14:paraId="02762F32">
            <w:pPr>
              <w:rPr>
                <w:rFonts w:ascii="Arial"/>
                <w:sz w:val="21"/>
              </w:rPr>
            </w:pPr>
          </w:p>
        </w:tc>
        <w:tc>
          <w:tcPr>
            <w:tcW w:w="3227" w:type="dxa"/>
            <w:vAlign w:val="top"/>
          </w:tcPr>
          <w:p w14:paraId="1330E2B5">
            <w:pPr>
              <w:rPr>
                <w:rFonts w:ascii="Arial"/>
                <w:sz w:val="21"/>
              </w:rPr>
            </w:pPr>
          </w:p>
        </w:tc>
        <w:tc>
          <w:tcPr>
            <w:tcW w:w="806" w:type="dxa"/>
            <w:vAlign w:val="top"/>
          </w:tcPr>
          <w:p w14:paraId="3ABD101B">
            <w:pPr>
              <w:rPr>
                <w:rFonts w:ascii="Arial"/>
                <w:sz w:val="21"/>
              </w:rPr>
            </w:pPr>
          </w:p>
        </w:tc>
        <w:tc>
          <w:tcPr>
            <w:tcW w:w="1078" w:type="dxa"/>
            <w:vAlign w:val="top"/>
          </w:tcPr>
          <w:p w14:paraId="7E289F31">
            <w:pPr>
              <w:rPr>
                <w:rFonts w:ascii="Arial"/>
                <w:sz w:val="21"/>
              </w:rPr>
            </w:pPr>
          </w:p>
        </w:tc>
      </w:tr>
      <w:tr w14:paraId="74927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4" w:hRule="atLeast"/>
        </w:trPr>
        <w:tc>
          <w:tcPr>
            <w:tcW w:w="757" w:type="dxa"/>
            <w:vAlign w:val="top"/>
          </w:tcPr>
          <w:p w14:paraId="719FC9F1">
            <w:pPr>
              <w:rPr>
                <w:rFonts w:ascii="Arial"/>
                <w:sz w:val="21"/>
              </w:rPr>
            </w:pPr>
          </w:p>
        </w:tc>
        <w:tc>
          <w:tcPr>
            <w:tcW w:w="2928" w:type="dxa"/>
            <w:vAlign w:val="top"/>
          </w:tcPr>
          <w:p w14:paraId="0065DBC4">
            <w:pPr>
              <w:rPr>
                <w:rFonts w:ascii="Arial"/>
                <w:sz w:val="21"/>
              </w:rPr>
            </w:pPr>
          </w:p>
        </w:tc>
        <w:tc>
          <w:tcPr>
            <w:tcW w:w="3227" w:type="dxa"/>
            <w:vAlign w:val="top"/>
          </w:tcPr>
          <w:p w14:paraId="62AC4851">
            <w:pPr>
              <w:rPr>
                <w:rFonts w:ascii="Arial"/>
                <w:sz w:val="21"/>
              </w:rPr>
            </w:pPr>
          </w:p>
        </w:tc>
        <w:tc>
          <w:tcPr>
            <w:tcW w:w="806" w:type="dxa"/>
            <w:vAlign w:val="top"/>
          </w:tcPr>
          <w:p w14:paraId="6C0B221A">
            <w:pPr>
              <w:rPr>
                <w:rFonts w:ascii="Arial"/>
                <w:sz w:val="21"/>
              </w:rPr>
            </w:pPr>
          </w:p>
        </w:tc>
        <w:tc>
          <w:tcPr>
            <w:tcW w:w="1078" w:type="dxa"/>
            <w:vAlign w:val="top"/>
          </w:tcPr>
          <w:p w14:paraId="65D2D721">
            <w:pPr>
              <w:rPr>
                <w:rFonts w:ascii="Arial"/>
                <w:sz w:val="21"/>
              </w:rPr>
            </w:pPr>
          </w:p>
        </w:tc>
      </w:tr>
      <w:tr w14:paraId="0BAF1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0B408B0E">
            <w:pPr>
              <w:rPr>
                <w:rFonts w:ascii="Arial"/>
                <w:sz w:val="21"/>
              </w:rPr>
            </w:pPr>
          </w:p>
        </w:tc>
        <w:tc>
          <w:tcPr>
            <w:tcW w:w="2928" w:type="dxa"/>
            <w:vAlign w:val="top"/>
          </w:tcPr>
          <w:p w14:paraId="62AB1D06">
            <w:pPr>
              <w:rPr>
                <w:rFonts w:ascii="Arial"/>
                <w:sz w:val="21"/>
              </w:rPr>
            </w:pPr>
          </w:p>
        </w:tc>
        <w:tc>
          <w:tcPr>
            <w:tcW w:w="3227" w:type="dxa"/>
            <w:vAlign w:val="top"/>
          </w:tcPr>
          <w:p w14:paraId="602B557E">
            <w:pPr>
              <w:rPr>
                <w:rFonts w:ascii="Arial"/>
                <w:sz w:val="21"/>
              </w:rPr>
            </w:pPr>
          </w:p>
        </w:tc>
        <w:tc>
          <w:tcPr>
            <w:tcW w:w="806" w:type="dxa"/>
            <w:vAlign w:val="top"/>
          </w:tcPr>
          <w:p w14:paraId="5BA5DE02">
            <w:pPr>
              <w:rPr>
                <w:rFonts w:ascii="Arial"/>
                <w:sz w:val="21"/>
              </w:rPr>
            </w:pPr>
          </w:p>
        </w:tc>
        <w:tc>
          <w:tcPr>
            <w:tcW w:w="1078" w:type="dxa"/>
            <w:vAlign w:val="top"/>
          </w:tcPr>
          <w:p w14:paraId="7822BDC6">
            <w:pPr>
              <w:rPr>
                <w:rFonts w:ascii="Arial"/>
                <w:sz w:val="21"/>
              </w:rPr>
            </w:pPr>
          </w:p>
        </w:tc>
      </w:tr>
    </w:tbl>
    <w:p w14:paraId="021A727D">
      <w:pPr>
        <w:spacing w:before="115" w:line="219" w:lineRule="auto"/>
        <w:ind w:left="262"/>
        <w:rPr>
          <w:rFonts w:ascii="宋体" w:hAnsi="宋体" w:eastAsia="宋体" w:cs="宋体"/>
          <w:sz w:val="24"/>
          <w:szCs w:val="24"/>
        </w:rPr>
      </w:pPr>
      <w:r>
        <w:rPr>
          <w:rFonts w:ascii="宋体" w:hAnsi="宋体" w:eastAsia="宋体" w:cs="宋体"/>
          <w:spacing w:val="-5"/>
          <w:sz w:val="24"/>
          <w:szCs w:val="24"/>
        </w:rPr>
        <w:t>说明：</w:t>
      </w:r>
    </w:p>
    <w:p w14:paraId="7FF13D1F">
      <w:pPr>
        <w:spacing w:before="183" w:line="219" w:lineRule="auto"/>
        <w:ind w:left="757"/>
        <w:rPr>
          <w:rFonts w:ascii="宋体" w:hAnsi="宋体" w:eastAsia="宋体" w:cs="宋体"/>
          <w:sz w:val="24"/>
          <w:szCs w:val="24"/>
        </w:rPr>
      </w:pPr>
      <w:r>
        <w:rPr>
          <w:rFonts w:ascii="宋体" w:hAnsi="宋体" w:eastAsia="宋体" w:cs="宋体"/>
          <w:spacing w:val="-2"/>
          <w:sz w:val="24"/>
          <w:szCs w:val="24"/>
        </w:rPr>
        <w:t>1、谈判响应文件根据第</w:t>
      </w:r>
      <w:r>
        <w:rPr>
          <w:rFonts w:hint="eastAsia" w:ascii="宋体" w:hAnsi="宋体" w:eastAsia="宋体" w:cs="宋体"/>
          <w:spacing w:val="-2"/>
          <w:sz w:val="24"/>
          <w:szCs w:val="24"/>
          <w:lang w:val="en-US" w:eastAsia="zh-CN"/>
        </w:rPr>
        <w:t>六</w:t>
      </w:r>
      <w:r>
        <w:rPr>
          <w:rFonts w:ascii="宋体" w:hAnsi="宋体" w:eastAsia="宋体" w:cs="宋体"/>
          <w:spacing w:val="-2"/>
          <w:sz w:val="24"/>
          <w:szCs w:val="24"/>
        </w:rPr>
        <w:t>部</w:t>
      </w:r>
      <w:r>
        <w:rPr>
          <w:rFonts w:hint="eastAsia" w:ascii="宋体" w:hAnsi="宋体" w:eastAsia="宋体" w:cs="宋体"/>
          <w:spacing w:val="-2"/>
          <w:sz w:val="24"/>
          <w:szCs w:val="24"/>
          <w:lang w:val="en-US" w:eastAsia="zh-CN"/>
        </w:rPr>
        <w:t>分采购内容及技术要求如</w:t>
      </w:r>
      <w:r>
        <w:rPr>
          <w:rFonts w:ascii="宋体" w:hAnsi="宋体" w:eastAsia="宋体" w:cs="宋体"/>
          <w:spacing w:val="-2"/>
          <w:sz w:val="24"/>
          <w:szCs w:val="24"/>
        </w:rPr>
        <w:t>实填写；</w:t>
      </w:r>
    </w:p>
    <w:p w14:paraId="32FF0766">
      <w:pPr>
        <w:spacing w:before="183" w:line="219" w:lineRule="auto"/>
        <w:ind w:left="742"/>
        <w:rPr>
          <w:rFonts w:ascii="宋体" w:hAnsi="宋体" w:eastAsia="宋体" w:cs="宋体"/>
          <w:sz w:val="24"/>
          <w:szCs w:val="24"/>
        </w:rPr>
      </w:pPr>
      <w:r>
        <w:rPr>
          <w:rFonts w:ascii="宋体" w:hAnsi="宋体" w:eastAsia="宋体" w:cs="宋体"/>
          <w:spacing w:val="-1"/>
          <w:sz w:val="24"/>
          <w:szCs w:val="24"/>
        </w:rPr>
        <w:t>2、偏离填写：优于、相同、低于；</w:t>
      </w:r>
    </w:p>
    <w:p w14:paraId="5E15E59F">
      <w:pPr>
        <w:spacing w:before="184" w:line="219" w:lineRule="auto"/>
        <w:ind w:left="744"/>
        <w:rPr>
          <w:rFonts w:ascii="宋体" w:hAnsi="宋体" w:eastAsia="宋体" w:cs="宋体"/>
          <w:sz w:val="24"/>
          <w:szCs w:val="24"/>
        </w:rPr>
      </w:pPr>
      <w:r>
        <w:rPr>
          <w:rFonts w:ascii="宋体" w:hAnsi="宋体" w:eastAsia="宋体" w:cs="宋体"/>
          <w:spacing w:val="-1"/>
          <w:sz w:val="24"/>
          <w:szCs w:val="24"/>
        </w:rPr>
        <w:t>3、响应说明填写：对偏离做出详细的说明。</w:t>
      </w:r>
    </w:p>
    <w:p w14:paraId="63A17B33">
      <w:pPr>
        <w:pStyle w:val="4"/>
        <w:spacing w:line="323" w:lineRule="auto"/>
      </w:pPr>
    </w:p>
    <w:p w14:paraId="4D21F7A9">
      <w:pPr>
        <w:pStyle w:val="4"/>
        <w:spacing w:line="324" w:lineRule="auto"/>
      </w:pPr>
    </w:p>
    <w:p w14:paraId="0BB3C6C1">
      <w:pPr>
        <w:spacing w:before="78" w:line="219" w:lineRule="auto"/>
        <w:ind w:left="2900"/>
        <w:rPr>
          <w:rFonts w:ascii="宋体" w:hAnsi="宋体" w:eastAsia="宋体" w:cs="宋体"/>
          <w:sz w:val="24"/>
          <w:szCs w:val="24"/>
        </w:rPr>
      </w:pPr>
      <w:r>
        <w:rPr>
          <w:rFonts w:ascii="宋体" w:hAnsi="宋体" w:eastAsia="宋体" w:cs="宋体"/>
          <w:spacing w:val="-1"/>
          <w:sz w:val="24"/>
          <w:szCs w:val="24"/>
        </w:rPr>
        <w:t>法定代表人/负责人或被授权代表（签字</w:t>
      </w:r>
      <w:r>
        <w:rPr>
          <w:rFonts w:hint="eastAsia" w:ascii="宋体" w:hAnsi="宋体" w:eastAsia="宋体" w:cs="宋体"/>
          <w:spacing w:val="-1"/>
          <w:sz w:val="24"/>
          <w:szCs w:val="24"/>
          <w:lang w:val="en-US" w:eastAsia="zh-CN"/>
        </w:rPr>
        <w:t>并</w:t>
      </w:r>
      <w:r>
        <w:rPr>
          <w:rFonts w:ascii="宋体" w:hAnsi="宋体" w:eastAsia="宋体" w:cs="宋体"/>
          <w:spacing w:val="-1"/>
          <w:sz w:val="24"/>
          <w:szCs w:val="24"/>
        </w:rPr>
        <w:t>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3B3C70D8">
      <w:pPr>
        <w:pStyle w:val="4"/>
        <w:spacing w:line="259" w:lineRule="auto"/>
      </w:pPr>
    </w:p>
    <w:p w14:paraId="0C083ACB">
      <w:pPr>
        <w:spacing w:before="79" w:line="219" w:lineRule="auto"/>
        <w:ind w:left="2899"/>
        <w:rPr>
          <w:rFonts w:ascii="宋体" w:hAnsi="宋体" w:eastAsia="宋体" w:cs="宋体"/>
          <w:sz w:val="24"/>
          <w:szCs w:val="24"/>
        </w:rPr>
      </w:pPr>
      <w:r>
        <w:rPr>
          <w:rFonts w:ascii="宋体" w:hAnsi="宋体" w:eastAsia="宋体" w:cs="宋体"/>
          <w:spacing w:val="-2"/>
          <w:sz w:val="24"/>
          <w:szCs w:val="24"/>
        </w:rPr>
        <w:t>供应商名称公章：</w:t>
      </w:r>
      <w:r>
        <w:rPr>
          <w:rFonts w:ascii="宋体" w:hAnsi="宋体" w:eastAsia="宋体" w:cs="宋体"/>
          <w:sz w:val="24"/>
          <w:szCs w:val="24"/>
          <w:u w:val="single" w:color="auto"/>
        </w:rPr>
        <w:t xml:space="preserve">                      </w:t>
      </w:r>
    </w:p>
    <w:p w14:paraId="181256A6">
      <w:pPr>
        <w:pStyle w:val="4"/>
        <w:spacing w:line="260" w:lineRule="auto"/>
      </w:pPr>
    </w:p>
    <w:p w14:paraId="62282C4C">
      <w:pPr>
        <w:spacing w:before="184" w:line="220" w:lineRule="auto"/>
        <w:ind w:firstLine="2884" w:firstLineChars="1400"/>
        <w:jc w:val="both"/>
        <w:rPr>
          <w:rFonts w:ascii="宋体" w:hAnsi="宋体" w:eastAsia="宋体" w:cs="宋体"/>
          <w:sz w:val="24"/>
          <w:szCs w:val="24"/>
        </w:rPr>
      </w:pPr>
      <w:r>
        <w:rPr>
          <w:rFonts w:ascii="宋体" w:hAnsi="宋体" w:eastAsia="宋体" w:cs="宋体"/>
          <w:spacing w:val="-17"/>
          <w:sz w:val="24"/>
          <w:szCs w:val="24"/>
        </w:rPr>
        <w:t>日期：</w:t>
      </w:r>
      <w:r>
        <w:rPr>
          <w:rFonts w:ascii="宋体" w:hAnsi="宋体" w:eastAsia="宋体" w:cs="宋体"/>
          <w:sz w:val="24"/>
          <w:szCs w:val="24"/>
          <w:u w:val="single" w:color="auto"/>
        </w:rPr>
        <w:t xml:space="preserve">                                </w:t>
      </w:r>
    </w:p>
    <w:p w14:paraId="7518F7FE">
      <w:pPr>
        <w:spacing w:line="220" w:lineRule="auto"/>
        <w:jc w:val="center"/>
        <w:rPr>
          <w:rFonts w:ascii="宋体" w:hAnsi="宋体" w:eastAsia="宋体" w:cs="宋体"/>
          <w:sz w:val="24"/>
          <w:szCs w:val="24"/>
        </w:rPr>
        <w:sectPr>
          <w:footerReference r:id="rId20" w:type="default"/>
          <w:pgSz w:w="11906" w:h="16839"/>
          <w:pgMar w:top="1424" w:right="1785" w:bottom="1330" w:left="1785" w:header="0" w:footer="1164" w:gutter="0"/>
          <w:pgNumType w:fmt="decimal"/>
          <w:cols w:space="720" w:num="1"/>
        </w:sectPr>
      </w:pPr>
    </w:p>
    <w:p w14:paraId="7C1DC327">
      <w:pPr>
        <w:spacing w:before="138" w:line="225" w:lineRule="auto"/>
        <w:ind w:left="2816"/>
        <w:outlineLvl w:val="1"/>
        <w:rPr>
          <w:rFonts w:ascii="宋体" w:hAnsi="宋体" w:eastAsia="宋体" w:cs="宋体"/>
          <w:sz w:val="35"/>
          <w:szCs w:val="35"/>
        </w:rPr>
      </w:pPr>
      <w:r>
        <w:rPr>
          <w:rFonts w:hint="eastAsia" w:ascii="宋体" w:hAnsi="宋体" w:eastAsia="宋体" w:cs="宋体"/>
          <w:b/>
          <w:bCs/>
          <w:spacing w:val="5"/>
          <w:sz w:val="35"/>
          <w:szCs w:val="35"/>
          <w:lang w:val="en-US" w:eastAsia="zh-CN"/>
        </w:rPr>
        <w:t>三</w:t>
      </w:r>
      <w:r>
        <w:rPr>
          <w:rFonts w:ascii="宋体" w:hAnsi="宋体" w:eastAsia="宋体" w:cs="宋体"/>
          <w:b/>
          <w:bCs/>
          <w:spacing w:val="5"/>
          <w:sz w:val="35"/>
          <w:szCs w:val="35"/>
        </w:rPr>
        <w:t>、资格证明文件</w:t>
      </w:r>
      <w:bookmarkEnd w:id="78"/>
    </w:p>
    <w:p w14:paraId="4CD0705C">
      <w:pPr>
        <w:spacing w:before="180" w:line="219" w:lineRule="auto"/>
        <w:ind w:left="502"/>
        <w:rPr>
          <w:rFonts w:ascii="宋体" w:hAnsi="宋体" w:eastAsia="宋体" w:cs="宋体"/>
          <w:sz w:val="24"/>
          <w:szCs w:val="24"/>
        </w:rPr>
      </w:pPr>
      <w:r>
        <w:rPr>
          <w:rFonts w:ascii="宋体" w:hAnsi="宋体" w:eastAsia="宋体" w:cs="宋体"/>
          <w:b/>
          <w:bCs/>
          <w:spacing w:val="-2"/>
          <w:sz w:val="24"/>
          <w:szCs w:val="24"/>
        </w:rPr>
        <w:t>谈判响应文件中附以下资质证明文件的复印件加盖公章。</w:t>
      </w:r>
    </w:p>
    <w:p w14:paraId="66627CF9">
      <w:pPr>
        <w:spacing w:before="183" w:line="219" w:lineRule="auto"/>
        <w:ind w:left="761"/>
        <w:rPr>
          <w:rFonts w:ascii="宋体" w:hAnsi="宋体" w:eastAsia="宋体" w:cs="宋体"/>
          <w:sz w:val="24"/>
          <w:szCs w:val="24"/>
        </w:rPr>
      </w:pPr>
      <w:r>
        <w:rPr>
          <w:rFonts w:ascii="宋体" w:hAnsi="宋体" w:eastAsia="宋体" w:cs="宋体"/>
          <w:spacing w:val="-1"/>
          <w:sz w:val="24"/>
          <w:szCs w:val="24"/>
        </w:rPr>
        <w:t>1、供应商为本项目提供的资格证明要求见供应商须知前附表；</w:t>
      </w:r>
    </w:p>
    <w:p w14:paraId="7C54DC2B">
      <w:pPr>
        <w:spacing w:before="183" w:line="219" w:lineRule="auto"/>
        <w:ind w:left="746"/>
        <w:rPr>
          <w:rFonts w:ascii="宋体" w:hAnsi="宋体" w:eastAsia="宋体" w:cs="宋体"/>
          <w:sz w:val="24"/>
          <w:szCs w:val="24"/>
        </w:rPr>
      </w:pPr>
      <w:r>
        <w:rPr>
          <w:rFonts w:ascii="宋体" w:hAnsi="宋体" w:eastAsia="宋体" w:cs="宋体"/>
          <w:spacing w:val="-1"/>
          <w:sz w:val="24"/>
          <w:szCs w:val="24"/>
        </w:rPr>
        <w:t>2、供应商按照谈判文件要求提供本项目所需要的其他资质证明材料。</w:t>
      </w:r>
    </w:p>
    <w:p w14:paraId="0830A25D">
      <w:pPr>
        <w:spacing w:before="183" w:line="219" w:lineRule="auto"/>
        <w:ind w:left="748"/>
        <w:rPr>
          <w:rFonts w:ascii="宋体" w:hAnsi="宋体" w:eastAsia="宋体" w:cs="宋体"/>
          <w:sz w:val="24"/>
          <w:szCs w:val="24"/>
        </w:rPr>
      </w:pPr>
      <w:r>
        <w:rPr>
          <w:rFonts w:ascii="宋体" w:hAnsi="宋体" w:eastAsia="宋体" w:cs="宋体"/>
          <w:spacing w:val="-1"/>
          <w:sz w:val="24"/>
          <w:szCs w:val="24"/>
        </w:rPr>
        <w:t>3、其他可以证明供应商实力的文件。</w:t>
      </w:r>
    </w:p>
    <w:p w14:paraId="3497EF0B">
      <w:pPr>
        <w:spacing w:line="219" w:lineRule="auto"/>
        <w:rPr>
          <w:rFonts w:ascii="宋体" w:hAnsi="宋体" w:eastAsia="宋体" w:cs="宋体"/>
          <w:sz w:val="24"/>
          <w:szCs w:val="24"/>
        </w:rPr>
        <w:sectPr>
          <w:footerReference r:id="rId21" w:type="default"/>
          <w:pgSz w:w="11906" w:h="16839"/>
          <w:pgMar w:top="1431" w:right="1785" w:bottom="1098" w:left="1785" w:header="0" w:footer="934" w:gutter="0"/>
          <w:pgNumType w:fmt="decimal"/>
          <w:cols w:space="720" w:num="1"/>
        </w:sectPr>
      </w:pPr>
    </w:p>
    <w:p w14:paraId="58ABE4ED">
      <w:pPr>
        <w:spacing w:before="56" w:line="219" w:lineRule="auto"/>
        <w:ind w:left="24"/>
        <w:rPr>
          <w:rFonts w:ascii="宋体" w:hAnsi="宋体" w:eastAsia="宋体" w:cs="宋体"/>
          <w:sz w:val="28"/>
          <w:szCs w:val="28"/>
        </w:rPr>
      </w:pPr>
      <w:r>
        <w:rPr>
          <w:rFonts w:ascii="宋体" w:hAnsi="宋体" w:eastAsia="宋体" w:cs="宋体"/>
          <w:b/>
          <w:bCs/>
          <w:spacing w:val="-14"/>
          <w:sz w:val="28"/>
          <w:szCs w:val="28"/>
        </w:rPr>
        <w:t>附件：</w:t>
      </w:r>
    </w:p>
    <w:p w14:paraId="6B706E39">
      <w:pPr>
        <w:keepNext/>
        <w:keepLines/>
        <w:pageBreakBefore w:val="0"/>
        <w:widowControl w:val="0"/>
        <w:kinsoku/>
        <w:wordWrap/>
        <w:overflowPunct/>
        <w:topLinePunct w:val="0"/>
        <w:autoSpaceDE/>
        <w:autoSpaceDN/>
        <w:bidi w:val="0"/>
        <w:adjustRightInd/>
        <w:snapToGrid/>
        <w:spacing w:before="0" w:line="416" w:lineRule="auto"/>
        <w:jc w:val="center"/>
        <w:textAlignment w:val="auto"/>
        <w:outlineLvl w:val="9"/>
        <w:rPr>
          <w:rFonts w:hint="eastAsia" w:ascii="宋体" w:hAnsi="宋体" w:eastAsia="宋体" w:cs="宋体"/>
          <w:b/>
          <w:bCs/>
          <w:sz w:val="24"/>
          <w:szCs w:val="24"/>
          <w:lang w:val="en-US" w:eastAsia="zh-CN"/>
        </w:rPr>
      </w:pPr>
      <w:bookmarkStart w:id="80" w:name="_Toc20704"/>
      <w:bookmarkStart w:id="81" w:name="_Toc27143"/>
      <w:bookmarkStart w:id="82" w:name="_Toc9197"/>
      <w:bookmarkStart w:id="83" w:name="_Toc11475"/>
      <w:bookmarkStart w:id="84" w:name="_Toc11617"/>
      <w:r>
        <w:rPr>
          <w:rFonts w:hint="eastAsia" w:ascii="宋体" w:hAnsi="宋体" w:eastAsia="宋体" w:cs="宋体"/>
          <w:b/>
          <w:bCs/>
          <w:sz w:val="24"/>
          <w:szCs w:val="24"/>
          <w:lang w:val="en-US" w:eastAsia="zh-CN"/>
        </w:rPr>
        <w:t>供应商书面声明函</w:t>
      </w:r>
      <w:bookmarkEnd w:id="80"/>
      <w:bookmarkEnd w:id="81"/>
      <w:bookmarkEnd w:id="82"/>
      <w:bookmarkEnd w:id="83"/>
      <w:bookmarkEnd w:id="84"/>
    </w:p>
    <w:p w14:paraId="364255E0">
      <w:pPr>
        <w:widowControl/>
        <w:shd w:val="clear" w:color="auto" w:fill="auto"/>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陕西盛誉恒正项目管理有限公司</w:t>
      </w:r>
      <w:r>
        <w:rPr>
          <w:rFonts w:hint="eastAsia" w:ascii="宋体" w:hAnsi="宋体" w:eastAsia="宋体" w:cs="宋体"/>
          <w:color w:val="auto"/>
          <w:sz w:val="24"/>
          <w:szCs w:val="24"/>
          <w:highlight w:val="none"/>
        </w:rPr>
        <w:t>：</w:t>
      </w:r>
    </w:p>
    <w:p w14:paraId="41A319A8">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我方作为</w:t>
      </w:r>
      <w:r>
        <w:rPr>
          <w:rFonts w:hint="eastAsia" w:ascii="宋体" w:hAnsi="宋体" w:eastAsia="宋体" w:cs="宋体"/>
          <w:color w:val="auto"/>
          <w:sz w:val="24"/>
          <w:szCs w:val="24"/>
          <w:highlight w:val="none"/>
          <w:u w:val="single"/>
          <w:lang w:val="en-US" w:eastAsia="zh-CN"/>
        </w:rPr>
        <w:t xml:space="preserve">项目名称：           </w:t>
      </w:r>
      <w:r>
        <w:rPr>
          <w:rFonts w:hint="eastAsia" w:ascii="宋体" w:hAnsi="宋体" w:eastAsia="宋体" w:cs="宋体"/>
          <w:color w:val="auto"/>
          <w:sz w:val="24"/>
          <w:szCs w:val="24"/>
          <w:highlight w:val="none"/>
          <w:u w:val="single"/>
        </w:rPr>
        <w:t xml:space="preserve">（项目编号：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的投标供应商，在此郑重声明：</w:t>
      </w:r>
    </w:p>
    <w:p w14:paraId="784392CA">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1、在参加本次政府采购活动前3年内的经营活动中</w:t>
      </w:r>
      <w:r>
        <w:rPr>
          <w:rFonts w:hint="eastAsia" w:ascii="宋体" w:hAnsi="宋体" w:eastAsia="宋体" w:cs="宋体"/>
          <w:color w:val="auto"/>
          <w:sz w:val="24"/>
          <w:szCs w:val="24"/>
          <w:highlight w:val="none"/>
          <w:u w:val="none"/>
        </w:rPr>
        <w:t>__</w:t>
      </w:r>
      <w:r>
        <w:rPr>
          <w:rFonts w:hint="eastAsia" w:ascii="宋体" w:hAnsi="宋体" w:eastAsia="宋体" w:cs="宋体"/>
          <w:color w:val="auto"/>
          <w:sz w:val="24"/>
          <w:szCs w:val="24"/>
          <w:highlight w:val="none"/>
        </w:rPr>
        <w:t>（填“没有”或“有”）重大违法记录。供应商</w:t>
      </w:r>
      <w:r>
        <w:rPr>
          <w:rFonts w:hint="eastAsia" w:ascii="宋体" w:hAnsi="宋体" w:eastAsia="宋体" w:cs="宋体"/>
          <w:b/>
          <w:bCs/>
          <w:color w:val="auto"/>
          <w:sz w:val="24"/>
          <w:szCs w:val="24"/>
          <w:highlight w:val="none"/>
        </w:rPr>
        <w:t>在参加政府采购活动前3年内因违法经营被禁止在一定期限内参加政府采购活动，期限届满的，可以参加政府采购活动，但应提供期限届满的证明材料。</w:t>
      </w:r>
    </w:p>
    <w:p w14:paraId="63AA2671">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2、我方______（填“未被列入”或“被列入”）失信被执行人名单。</w:t>
      </w:r>
    </w:p>
    <w:p w14:paraId="3AC42DA2">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3、我方______（填“未被列入”或“被列入”）重大税收违法案件当事人名单。</w:t>
      </w:r>
    </w:p>
    <w:p w14:paraId="4304D633">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4、我方______（填“未被列入”或“被列入”）政府采购严重违法失信行为记录名单。</w:t>
      </w:r>
    </w:p>
    <w:p w14:paraId="7FDD555F">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如有不实，我方将无条件地退出本项目的采购活动，并遵照《政府采购法》有关“提供虚假材料的规定”接受处罚。</w:t>
      </w:r>
    </w:p>
    <w:p w14:paraId="3A159821">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5E7097B9">
      <w:pPr>
        <w:pStyle w:val="12"/>
        <w:spacing w:line="480" w:lineRule="auto"/>
        <w:rPr>
          <w:rFonts w:hint="eastAsia" w:ascii="宋体" w:hAnsi="宋体" w:eastAsia="宋体" w:cs="宋体"/>
        </w:rPr>
      </w:pPr>
    </w:p>
    <w:p w14:paraId="2013F86E">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供应商：（加盖公章）</w:t>
      </w:r>
    </w:p>
    <w:p w14:paraId="21B4FE62">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法定代表人/负责人或授权代表：（签字或盖章）</w:t>
      </w:r>
    </w:p>
    <w:p w14:paraId="24076A21">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202F9E4">
      <w:pPr>
        <w:rPr>
          <w:rFonts w:hint="eastAsia" w:ascii="宋体" w:hAnsi="宋体" w:eastAsia="宋体" w:cs="宋体"/>
          <w:b/>
          <w:lang w:val="en-US" w:eastAsia="zh-CN"/>
        </w:rPr>
      </w:pPr>
      <w:bookmarkStart w:id="85" w:name="_Toc22280"/>
      <w:bookmarkStart w:id="86" w:name="_Toc18199"/>
      <w:bookmarkStart w:id="87" w:name="_Toc11524"/>
      <w:bookmarkStart w:id="88" w:name="_Toc23199"/>
      <w:r>
        <w:rPr>
          <w:rFonts w:hint="eastAsia" w:ascii="宋体" w:hAnsi="宋体" w:eastAsia="宋体" w:cs="宋体"/>
          <w:b/>
          <w:lang w:val="en-US" w:eastAsia="zh-CN"/>
        </w:rPr>
        <w:br w:type="page"/>
      </w:r>
    </w:p>
    <w:p w14:paraId="692BE4F4">
      <w:pPr>
        <w:bidi w:val="0"/>
        <w:jc w:val="center"/>
        <w:outlineLvl w:val="9"/>
        <w:rPr>
          <w:rFonts w:hint="eastAsia" w:ascii="宋体" w:hAnsi="宋体" w:eastAsia="宋体" w:cs="宋体"/>
          <w:b/>
          <w:lang w:val="en-US" w:eastAsia="zh-CN"/>
        </w:rPr>
      </w:pPr>
      <w:r>
        <w:rPr>
          <w:rFonts w:hint="eastAsia" w:ascii="宋体" w:hAnsi="宋体" w:eastAsia="宋体" w:cs="宋体"/>
          <w:b/>
          <w:bCs/>
          <w:sz w:val="24"/>
          <w:szCs w:val="24"/>
          <w:lang w:val="en-US" w:eastAsia="zh-CN"/>
        </w:rPr>
        <w:t>榆林市政府采购货物类项目供应商信用承诺书</w:t>
      </w:r>
      <w:bookmarkEnd w:id="85"/>
    </w:p>
    <w:p w14:paraId="78FE503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市场主体名称：</w:t>
      </w:r>
    </w:p>
    <w:p w14:paraId="355F0003">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证件类型：统一社会信用代码</w:t>
      </w:r>
    </w:p>
    <w:p w14:paraId="645A0A35">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证件号码：</w:t>
      </w:r>
    </w:p>
    <w:p w14:paraId="06276527">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法人代表：</w:t>
      </w:r>
    </w:p>
    <w:p w14:paraId="03959311">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承诺有效期限：   年   月   日—    年    月    日</w:t>
      </w:r>
    </w:p>
    <w:p w14:paraId="23B7FA46">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承诺内容：</w:t>
      </w:r>
    </w:p>
    <w:p w14:paraId="56068272">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为维护公开、公平、公正的政府采购市场秩序，树立诚实守信的政府采购供应商形象，本单位自愿做出以下承诺：</w:t>
      </w:r>
    </w:p>
    <w:p w14:paraId="59E51836">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一、承诺本单位严格遵守国家法律、法规和规章，全面履行应尽的责任和义务，全面做到履约守信，具备《政府采购法》第二十二条第一款规定的条件;</w:t>
      </w:r>
    </w:p>
    <w:p w14:paraId="4798CD62">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二、承诺本单位提供给注册登记部门、行业管理部门、司法部门、行业组织以及在政府采购活动中提交的所有资料均合法、真实、有效，无任何伪造、修改、虚假成份，并对所提供资料的真实性负责；</w:t>
      </w:r>
    </w:p>
    <w:p w14:paraId="597D5AEE">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三、承诺本单位严格依法开展生产经营活动，主动接受行业监管，自愿接受依法开展的日常检查；违法失信经营后将自愿接受约束和惩戒，并依法承担相应责任；</w:t>
      </w:r>
    </w:p>
    <w:p w14:paraId="3CC57254">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四、承诺本单位自觉接受行政管理部门、行业组织、社会公众、新闻舆论的监督；</w:t>
      </w:r>
    </w:p>
    <w:p w14:paraId="54676000">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五、承诺本单位自我约束、自我管理，重合同、守信用，不制假售假、商标侵权、虚假宣传、违约毁约、恶意逃债、偷税漏税、价格欺诈、垄断和不正当竞争，维护经营者、消费者的合法权益；</w:t>
      </w:r>
    </w:p>
    <w:p w14:paraId="3D08DA74">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六、承诺本单位提出政府采购质疑和投诉坚持依法依规、诚实信用原则，在全国范围12个月内没有三次以上查无实据的政府采购投诉；</w:t>
      </w:r>
    </w:p>
    <w:p w14:paraId="74D9ED93">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七、根据政府采购相关法律法规的规定需要作出的其他承诺：</w:t>
      </w:r>
      <w:r>
        <w:rPr>
          <w:rFonts w:hint="eastAsia" w:ascii="宋体" w:hAnsi="宋体" w:eastAsia="宋体" w:cs="宋体"/>
          <w:color w:val="000000"/>
          <w:kern w:val="0"/>
          <w:sz w:val="24"/>
          <w:szCs w:val="24"/>
          <w:u w:val="single"/>
          <w:lang w:val="en-US" w:eastAsia="zh-CN" w:bidi="ar"/>
        </w:rPr>
        <w:t>      </w:t>
      </w:r>
      <w:r>
        <w:rPr>
          <w:rFonts w:hint="eastAsia" w:ascii="宋体" w:hAnsi="宋体" w:eastAsia="宋体" w:cs="宋体"/>
          <w:color w:val="000000"/>
          <w:kern w:val="0"/>
          <w:sz w:val="24"/>
          <w:szCs w:val="24"/>
          <w:lang w:val="en-US" w:eastAsia="zh-CN" w:bidi="ar"/>
        </w:rPr>
        <w:t>。</w:t>
      </w:r>
    </w:p>
    <w:p w14:paraId="1A13F380">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60E96E7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p>
    <w:p w14:paraId="11D75BD5">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承诺单位（盖章）：</w:t>
      </w:r>
    </w:p>
    <w:p w14:paraId="2BBC3984">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法定代表人/负责人：</w:t>
      </w:r>
    </w:p>
    <w:p w14:paraId="4D53785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法定代表人/负责人身份证号：</w:t>
      </w:r>
    </w:p>
    <w:p w14:paraId="700B316F">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承诺日期：</w:t>
      </w:r>
    </w:p>
    <w:p w14:paraId="28B27926">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注：法定代表人或负责人、主体名称发生变更的应当重新做出承诺；承诺书标题按照工程类、服务类、货物类确定。</w:t>
      </w:r>
    </w:p>
    <w:p w14:paraId="76B6BC2D">
      <w:pPr>
        <w:pStyle w:val="38"/>
        <w:pageBreakBefore w:val="0"/>
        <w:kinsoku/>
        <w:bidi w:val="0"/>
        <w:spacing w:line="360" w:lineRule="auto"/>
        <w:ind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注：此承诺书除附在投标文件中外还须上传至“信用中国（陕西榆林）”网站供应商自主上报信用承诺书附件。（承诺有效期为1年，承诺起始时间为提交投标文件截止之日，须后附截图。）法定代表人或负责人、主体名称发生变更的应当重新做出承诺。</w:t>
      </w:r>
    </w:p>
    <w:p w14:paraId="17FB4625">
      <w:pPr>
        <w:rPr>
          <w:rFonts w:hint="eastAsia" w:ascii="宋体" w:hAnsi="宋体" w:eastAsia="宋体" w:cs="宋体"/>
          <w:b/>
          <w:kern w:val="2"/>
          <w:sz w:val="28"/>
          <w:szCs w:val="18"/>
          <w:lang w:val="en-US" w:eastAsia="zh-CN" w:bidi="ar-SA"/>
        </w:rPr>
      </w:pPr>
      <w:r>
        <w:rPr>
          <w:rFonts w:hint="eastAsia" w:ascii="宋体" w:hAnsi="宋体" w:eastAsia="宋体" w:cs="宋体"/>
          <w:b/>
          <w:kern w:val="2"/>
          <w:sz w:val="28"/>
          <w:szCs w:val="18"/>
          <w:lang w:val="en-US" w:eastAsia="zh-CN" w:bidi="ar-SA"/>
        </w:rPr>
        <w:br w:type="page"/>
      </w:r>
    </w:p>
    <w:p w14:paraId="018C9E0D">
      <w:pPr>
        <w:bidi w:val="0"/>
        <w:jc w:val="center"/>
        <w:outlineLvl w:val="9"/>
        <w:rPr>
          <w:rFonts w:hint="eastAsia" w:ascii="宋体" w:hAnsi="宋体" w:eastAsia="宋体" w:cs="宋体"/>
          <w:b/>
          <w:bCs/>
          <w:sz w:val="24"/>
          <w:szCs w:val="24"/>
          <w:lang w:val="en-US" w:eastAsia="zh-CN"/>
        </w:rPr>
      </w:pPr>
      <w:bookmarkStart w:id="89" w:name="_Toc29031"/>
      <w:r>
        <w:rPr>
          <w:rFonts w:hint="eastAsia" w:ascii="宋体" w:hAnsi="宋体" w:eastAsia="宋体" w:cs="宋体"/>
          <w:b/>
          <w:bCs/>
          <w:sz w:val="24"/>
          <w:szCs w:val="24"/>
          <w:lang w:val="en-US" w:eastAsia="zh-CN"/>
        </w:rPr>
        <w:t>投标保证金信用承诺</w:t>
      </w:r>
      <w:bookmarkEnd w:id="86"/>
      <w:bookmarkEnd w:id="87"/>
      <w:bookmarkEnd w:id="88"/>
      <w:bookmarkEnd w:id="89"/>
    </w:p>
    <w:p w14:paraId="2EFFE39D">
      <w:pPr>
        <w:spacing w:line="560" w:lineRule="exact"/>
        <w:ind w:right="-2"/>
        <w:jc w:val="center"/>
        <w:rPr>
          <w:rFonts w:hint="eastAsia" w:ascii="宋体" w:hAnsi="宋体" w:eastAsia="宋体" w:cs="宋体"/>
          <w:color w:val="auto"/>
          <w:sz w:val="20"/>
          <w:szCs w:val="20"/>
        </w:rPr>
      </w:pPr>
      <w:r>
        <w:rPr>
          <w:rFonts w:hint="eastAsia" w:ascii="宋体" w:hAnsi="宋体" w:eastAsia="宋体" w:cs="宋体"/>
          <w:b/>
          <w:bCs/>
          <w:color w:val="auto"/>
          <w:sz w:val="24"/>
          <w:szCs w:val="24"/>
        </w:rPr>
        <w:t>投标信用承诺</w:t>
      </w:r>
    </w:p>
    <w:p w14:paraId="4B227E28">
      <w:pPr>
        <w:pStyle w:val="39"/>
        <w:keepNext w:val="0"/>
        <w:keepLines w:val="0"/>
        <w:pageBreakBefore w:val="0"/>
        <w:widowControl w:val="0"/>
        <w:shd w:val="clear" w:color="auto" w:fill="auto"/>
        <w:tabs>
          <w:tab w:val="left" w:pos="5894"/>
          <w:tab w:val="left" w:pos="9158"/>
          <w:tab w:val="left" w:pos="9163"/>
        </w:tabs>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pacing w:val="0"/>
          <w:w w:val="100"/>
          <w:position w:val="0"/>
          <w:sz w:val="24"/>
          <w:szCs w:val="24"/>
        </w:rPr>
        <w:t>项目</w:t>
      </w:r>
      <w:r>
        <w:rPr>
          <w:rFonts w:hint="eastAsia" w:ascii="宋体" w:hAnsi="宋体" w:eastAsia="宋体" w:cs="宋体"/>
          <w:color w:val="auto"/>
          <w:spacing w:val="0"/>
          <w:w w:val="100"/>
          <w:position w:val="0"/>
          <w:sz w:val="24"/>
          <w:szCs w:val="24"/>
          <w:lang w:eastAsia="zh-CN"/>
        </w:rPr>
        <w:t>名称</w:t>
      </w:r>
      <w:r>
        <w:rPr>
          <w:rFonts w:hint="eastAsia" w:ascii="宋体" w:hAnsi="宋体" w:eastAsia="宋体" w:cs="宋体"/>
          <w:color w:val="auto"/>
          <w:spacing w:val="0"/>
          <w:w w:val="100"/>
          <w:position w:val="0"/>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pacing w:val="0"/>
          <w:w w:val="100"/>
          <w:position w:val="0"/>
          <w:sz w:val="24"/>
          <w:szCs w:val="24"/>
        </w:rPr>
        <w:t xml:space="preserve"> </w:t>
      </w:r>
      <w:r>
        <w:rPr>
          <w:rFonts w:hint="eastAsia" w:ascii="宋体" w:hAnsi="宋体" w:eastAsia="宋体" w:cs="宋体"/>
          <w:color w:val="auto"/>
          <w:spacing w:val="0"/>
          <w:w w:val="100"/>
          <w:position w:val="0"/>
          <w:sz w:val="24"/>
          <w:szCs w:val="24"/>
          <w:lang w:eastAsia="zh-CN"/>
        </w:rPr>
        <w:t>供应商</w:t>
      </w:r>
      <w:r>
        <w:rPr>
          <w:rFonts w:hint="eastAsia" w:ascii="宋体" w:hAnsi="宋体" w:eastAsia="宋体" w:cs="宋体"/>
          <w:color w:val="auto"/>
          <w:spacing w:val="0"/>
          <w:w w:val="100"/>
          <w:position w:val="0"/>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p>
    <w:p w14:paraId="4658B14F">
      <w:pPr>
        <w:pStyle w:val="39"/>
        <w:keepNext w:val="0"/>
        <w:keepLines w:val="0"/>
        <w:pageBreakBefore w:val="0"/>
        <w:widowControl w:val="0"/>
        <w:shd w:val="clear" w:color="auto" w:fill="auto"/>
        <w:tabs>
          <w:tab w:val="left" w:pos="5894"/>
          <w:tab w:val="left" w:pos="9158"/>
          <w:tab w:val="left" w:pos="9163"/>
        </w:tabs>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统</w:t>
      </w:r>
      <w:r>
        <w:rPr>
          <w:rFonts w:hint="eastAsia" w:ascii="宋体" w:hAnsi="宋体" w:eastAsia="宋体" w:cs="宋体"/>
          <w:color w:val="auto"/>
          <w:spacing w:val="0"/>
          <w:w w:val="100"/>
          <w:position w:val="0"/>
          <w:sz w:val="24"/>
          <w:szCs w:val="24"/>
          <w:lang w:eastAsia="zh-CN"/>
        </w:rPr>
        <w:t>一</w:t>
      </w:r>
      <w:r>
        <w:rPr>
          <w:rFonts w:hint="eastAsia" w:ascii="宋体" w:hAnsi="宋体" w:eastAsia="宋体" w:cs="宋体"/>
          <w:color w:val="auto"/>
          <w:spacing w:val="0"/>
          <w:w w:val="100"/>
          <w:position w:val="0"/>
          <w:sz w:val="24"/>
          <w:szCs w:val="24"/>
        </w:rPr>
        <w:t>社会信用代码：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法定代表人</w:t>
      </w:r>
      <w:r>
        <w:rPr>
          <w:rFonts w:hint="eastAsia" w:ascii="宋体" w:hAnsi="宋体" w:eastAsia="宋体" w:cs="宋体"/>
          <w:color w:val="auto"/>
          <w:spacing w:val="0"/>
          <w:w w:val="100"/>
          <w:position w:val="0"/>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0"/>
          <w:w w:val="100"/>
          <w:position w:val="0"/>
          <w:sz w:val="24"/>
          <w:szCs w:val="24"/>
        </w:rPr>
        <w:t xml:space="preserve"> </w:t>
      </w:r>
    </w:p>
    <w:p w14:paraId="402D1BD4">
      <w:pPr>
        <w:pStyle w:val="39"/>
        <w:keepNext w:val="0"/>
        <w:keepLines w:val="0"/>
        <w:pageBreakBefore w:val="0"/>
        <w:widowControl w:val="0"/>
        <w:shd w:val="clear" w:color="auto" w:fill="auto"/>
        <w:tabs>
          <w:tab w:val="left" w:pos="5894"/>
          <w:tab w:val="left" w:pos="9158"/>
          <w:tab w:val="left" w:pos="9163"/>
        </w:tabs>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auto"/>
          <w:sz w:val="24"/>
          <w:szCs w:val="24"/>
        </w:rPr>
      </w:pPr>
      <w:r>
        <w:rPr>
          <w:rFonts w:hint="eastAsia" w:ascii="宋体" w:hAnsi="宋体" w:eastAsia="宋体" w:cs="宋体"/>
          <w:color w:val="auto"/>
          <w:spacing w:val="0"/>
          <w:w w:val="100"/>
          <w:position w:val="0"/>
          <w:sz w:val="24"/>
          <w:szCs w:val="24"/>
        </w:rPr>
        <w:t>在</w:t>
      </w:r>
      <w:r>
        <w:rPr>
          <w:rFonts w:hint="eastAsia" w:ascii="宋体" w:hAnsi="宋体" w:eastAsia="宋体" w:cs="宋体"/>
          <w:color w:val="auto"/>
          <w:spacing w:val="0"/>
          <w:w w:val="100"/>
          <w:position w:val="0"/>
          <w:sz w:val="24"/>
          <w:szCs w:val="24"/>
          <w:u w:val="single"/>
          <w:lang w:val="en-US" w:eastAsia="zh-CN"/>
        </w:rPr>
        <w:t xml:space="preserve">                   </w:t>
      </w:r>
      <w:r>
        <w:rPr>
          <w:rFonts w:hint="eastAsia" w:ascii="宋体" w:hAnsi="宋体" w:eastAsia="宋体" w:cs="宋体"/>
          <w:color w:val="auto"/>
          <w:spacing w:val="0"/>
          <w:w w:val="100"/>
          <w:position w:val="0"/>
          <w:sz w:val="24"/>
          <w:szCs w:val="24"/>
          <w:lang w:eastAsia="zh-CN"/>
        </w:rPr>
        <w:t>（项目名称及项目编号）</w:t>
      </w:r>
      <w:r>
        <w:rPr>
          <w:rFonts w:hint="eastAsia" w:ascii="宋体" w:hAnsi="宋体" w:eastAsia="宋体" w:cs="宋体"/>
          <w:color w:val="auto"/>
          <w:spacing w:val="0"/>
          <w:w w:val="100"/>
          <w:position w:val="0"/>
          <w:sz w:val="24"/>
          <w:szCs w:val="24"/>
        </w:rPr>
        <w:t>招投标活动中，我公司（单位）自愿作出以下投标信用承诺：</w:t>
      </w:r>
    </w:p>
    <w:p w14:paraId="5E3C3C5E">
      <w:pPr>
        <w:pStyle w:val="39"/>
        <w:keepNext w:val="0"/>
        <w:keepLines w:val="0"/>
        <w:pageBreakBefore w:val="0"/>
        <w:widowControl w:val="0"/>
        <w:shd w:val="clear" w:color="auto" w:fill="auto"/>
        <w:tabs>
          <w:tab w:val="left" w:pos="1238"/>
        </w:tabs>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color w:val="auto"/>
          <w:sz w:val="24"/>
          <w:szCs w:val="24"/>
        </w:rPr>
      </w:pPr>
      <w:r>
        <w:rPr>
          <w:rFonts w:hint="eastAsia" w:ascii="宋体" w:hAnsi="宋体" w:eastAsia="宋体" w:cs="宋体"/>
          <w:color w:val="auto"/>
          <w:spacing w:val="0"/>
          <w:w w:val="100"/>
          <w:position w:val="0"/>
          <w:sz w:val="24"/>
          <w:szCs w:val="24"/>
        </w:rPr>
        <w:t>（一）能严格遵守法律法规、职业道德和行业规范。</w:t>
      </w:r>
    </w:p>
    <w:p w14:paraId="47459C12">
      <w:pPr>
        <w:pStyle w:val="39"/>
        <w:keepNext w:val="0"/>
        <w:keepLines w:val="0"/>
        <w:pageBreakBefore w:val="0"/>
        <w:widowControl w:val="0"/>
        <w:shd w:val="clear" w:color="auto" w:fill="auto"/>
        <w:tabs>
          <w:tab w:val="left" w:pos="1253"/>
        </w:tabs>
        <w:kinsoku/>
        <w:wordWrap/>
        <w:overflowPunct/>
        <w:topLinePunct w:val="0"/>
        <w:autoSpaceDE/>
        <w:autoSpaceDN/>
        <w:bidi w:val="0"/>
        <w:adjustRightInd/>
        <w:snapToGrid/>
        <w:spacing w:before="0" w:after="0" w:line="360" w:lineRule="auto"/>
        <w:ind w:right="0"/>
        <w:jc w:val="both"/>
        <w:textAlignment w:val="auto"/>
        <w:rPr>
          <w:rFonts w:hint="eastAsia" w:ascii="宋体" w:hAnsi="宋体" w:eastAsia="宋体" w:cs="宋体"/>
          <w:color w:val="auto"/>
          <w:sz w:val="24"/>
          <w:szCs w:val="24"/>
        </w:rPr>
      </w:pPr>
      <w:r>
        <w:rPr>
          <w:rFonts w:hint="eastAsia" w:ascii="宋体" w:hAnsi="宋体" w:eastAsia="宋体" w:cs="宋体"/>
          <w:color w:val="auto"/>
          <w:spacing w:val="0"/>
          <w:w w:val="100"/>
          <w:position w:val="0"/>
          <w:sz w:val="24"/>
          <w:szCs w:val="24"/>
        </w:rPr>
        <w:t>（二）不得有以下违法违规行为：1.围标串标；以他人名义或者其他方式弄虚作假投标；出让出租资格、资质证书供他人投标；恶意竞标、强揽工程；以暴力、威胁、利诱等 手段阻止或者控制其他潜在</w:t>
      </w:r>
      <w:r>
        <w:rPr>
          <w:rFonts w:hint="eastAsia" w:ascii="宋体" w:hAnsi="宋体" w:eastAsia="宋体" w:cs="宋体"/>
          <w:color w:val="auto"/>
          <w:spacing w:val="0"/>
          <w:w w:val="100"/>
          <w:position w:val="0"/>
          <w:sz w:val="24"/>
          <w:szCs w:val="24"/>
          <w:lang w:eastAsia="zh-CN"/>
        </w:rPr>
        <w:t>供应商</w:t>
      </w:r>
      <w:r>
        <w:rPr>
          <w:rFonts w:hint="eastAsia" w:ascii="宋体" w:hAnsi="宋体" w:eastAsia="宋体" w:cs="宋体"/>
          <w:color w:val="auto"/>
          <w:spacing w:val="0"/>
          <w:w w:val="100"/>
          <w:position w:val="0"/>
          <w:sz w:val="24"/>
          <w:szCs w:val="24"/>
        </w:rPr>
        <w:t>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w:t>
      </w:r>
      <w:r>
        <w:rPr>
          <w:rFonts w:hint="eastAsia" w:ascii="宋体" w:hAnsi="宋体" w:eastAsia="宋体" w:cs="宋体"/>
          <w:color w:val="auto"/>
          <w:spacing w:val="0"/>
          <w:w w:val="100"/>
          <w:position w:val="0"/>
          <w:sz w:val="24"/>
          <w:szCs w:val="24"/>
          <w:lang w:eastAsia="zh-CN"/>
        </w:rPr>
        <w:t>其他</w:t>
      </w:r>
      <w:r>
        <w:rPr>
          <w:rFonts w:hint="eastAsia" w:ascii="宋体" w:hAnsi="宋体" w:eastAsia="宋体" w:cs="宋体"/>
          <w:color w:val="auto"/>
          <w:spacing w:val="0"/>
          <w:w w:val="100"/>
          <w:position w:val="0"/>
          <w:sz w:val="24"/>
          <w:szCs w:val="24"/>
        </w:rPr>
        <w:t xml:space="preserve"> 违法违规行为。</w:t>
      </w:r>
    </w:p>
    <w:p w14:paraId="54F758A8">
      <w:pPr>
        <w:pStyle w:val="39"/>
        <w:keepNext w:val="0"/>
        <w:keepLines w:val="0"/>
        <w:pageBreakBefore w:val="0"/>
        <w:widowControl w:val="0"/>
        <w:shd w:val="clear" w:color="auto" w:fill="auto"/>
        <w:tabs>
          <w:tab w:val="left" w:pos="1248"/>
        </w:tabs>
        <w:kinsoku/>
        <w:wordWrap/>
        <w:overflowPunct/>
        <w:topLinePunct w:val="0"/>
        <w:autoSpaceDE/>
        <w:autoSpaceDN/>
        <w:bidi w:val="0"/>
        <w:adjustRightInd/>
        <w:snapToGrid/>
        <w:spacing w:before="0" w:after="480" w:line="360" w:lineRule="auto"/>
        <w:ind w:right="0"/>
        <w:jc w:val="both"/>
        <w:textAlignment w:val="auto"/>
        <w:rPr>
          <w:rFonts w:hint="eastAsia" w:ascii="宋体" w:hAnsi="宋体" w:eastAsia="宋体" w:cs="宋体"/>
          <w:color w:val="auto"/>
          <w:sz w:val="24"/>
          <w:szCs w:val="24"/>
        </w:rPr>
      </w:pPr>
      <w:r>
        <w:rPr>
          <w:rFonts w:hint="eastAsia" w:ascii="宋体" w:hAnsi="宋体" w:eastAsia="宋体" w:cs="宋体"/>
          <w:color w:val="auto"/>
          <w:spacing w:val="0"/>
          <w:w w:val="100"/>
          <w:position w:val="0"/>
          <w:sz w:val="24"/>
          <w:szCs w:val="24"/>
        </w:rPr>
        <w:t xml:space="preserve">（三）若我公司（单位）及相关参与人员违背以上承诺事项，即被视为失信企业（法 人），依据《关于对公共资源交易领域严重失信主体开展联合惩戒的备忘录》（发改法规 </w:t>
      </w:r>
      <w:r>
        <w:rPr>
          <w:rFonts w:hint="eastAsia" w:ascii="宋体" w:hAnsi="宋体" w:eastAsia="宋体" w:cs="宋体"/>
          <w:color w:val="auto"/>
          <w:spacing w:val="0"/>
          <w:w w:val="100"/>
          <w:position w:val="0"/>
          <w:sz w:val="24"/>
          <w:szCs w:val="24"/>
          <w:lang w:val="en-US" w:eastAsia="en-US" w:bidi="en-US"/>
        </w:rPr>
        <w:t>20181457</w:t>
      </w:r>
      <w:r>
        <w:rPr>
          <w:rFonts w:hint="eastAsia" w:ascii="宋体" w:hAnsi="宋体" w:eastAsia="宋体" w:cs="宋体"/>
          <w:color w:val="auto"/>
          <w:spacing w:val="0"/>
          <w:w w:val="100"/>
          <w:position w:val="0"/>
          <w:sz w:val="24"/>
          <w:szCs w:val="24"/>
        </w:rPr>
        <w:t>号）</w:t>
      </w:r>
      <w:r>
        <w:rPr>
          <w:rFonts w:hint="eastAsia" w:ascii="宋体" w:hAnsi="宋体" w:eastAsia="宋体" w:cs="宋体"/>
          <w:color w:val="auto"/>
          <w:spacing w:val="0"/>
          <w:w w:val="100"/>
          <w:position w:val="0"/>
          <w:sz w:val="24"/>
          <w:szCs w:val="24"/>
          <w:lang w:eastAsia="zh-CN"/>
        </w:rPr>
        <w:t>，</w:t>
      </w:r>
      <w:r>
        <w:rPr>
          <w:rFonts w:hint="eastAsia" w:ascii="宋体" w:hAnsi="宋体" w:eastAsia="宋体" w:cs="宋体"/>
          <w:color w:val="auto"/>
          <w:spacing w:val="0"/>
          <w:w w:val="100"/>
          <w:position w:val="0"/>
          <w:sz w:val="24"/>
          <w:szCs w:val="24"/>
        </w:rPr>
        <w:t>自愿接受1至3年内限制参与公共资源交易活动。</w:t>
      </w:r>
    </w:p>
    <w:p w14:paraId="698CFAF7">
      <w:pPr>
        <w:pStyle w:val="39"/>
        <w:keepNext w:val="0"/>
        <w:keepLines w:val="0"/>
        <w:pageBreakBefore w:val="0"/>
        <w:widowControl w:val="0"/>
        <w:shd w:val="clear" w:color="auto" w:fill="auto"/>
        <w:tabs>
          <w:tab w:val="left" w:pos="4377"/>
        </w:tabs>
        <w:kinsoku/>
        <w:wordWrap/>
        <w:overflowPunct/>
        <w:topLinePunct w:val="0"/>
        <w:autoSpaceDE/>
        <w:autoSpaceDN/>
        <w:bidi w:val="0"/>
        <w:adjustRightInd/>
        <w:snapToGrid/>
        <w:spacing w:before="0" w:after="480" w:line="360" w:lineRule="auto"/>
        <w:ind w:left="0" w:right="0" w:firstLine="460"/>
        <w:jc w:val="left"/>
        <w:textAlignment w:val="auto"/>
        <w:rPr>
          <w:rFonts w:hint="eastAsia" w:ascii="宋体" w:hAnsi="宋体" w:eastAsia="宋体" w:cs="宋体"/>
          <w:color w:val="auto"/>
          <w:sz w:val="24"/>
          <w:szCs w:val="24"/>
        </w:rPr>
      </w:pPr>
      <w:r>
        <w:rPr>
          <w:rFonts w:hint="eastAsia" w:ascii="宋体" w:hAnsi="宋体" w:eastAsia="宋体" w:cs="宋体"/>
          <w:color w:val="auto"/>
          <w:spacing w:val="0"/>
          <w:w w:val="100"/>
          <w:position w:val="0"/>
          <w:sz w:val="24"/>
          <w:szCs w:val="24"/>
        </w:rPr>
        <w:t>法定代表人/负责人（签</w:t>
      </w:r>
      <w:r>
        <w:rPr>
          <w:rFonts w:hint="eastAsia" w:ascii="宋体" w:hAnsi="宋体" w:eastAsia="宋体" w:cs="宋体"/>
          <w:color w:val="auto"/>
          <w:spacing w:val="0"/>
          <w:w w:val="100"/>
          <w:position w:val="0"/>
          <w:sz w:val="24"/>
          <w:szCs w:val="24"/>
          <w:lang w:eastAsia="zh-CN"/>
        </w:rPr>
        <w:t>字</w:t>
      </w:r>
      <w:r>
        <w:rPr>
          <w:rFonts w:hint="eastAsia" w:ascii="宋体" w:hAnsi="宋体" w:eastAsia="宋体" w:cs="宋体"/>
          <w:color w:val="auto"/>
          <w:spacing w:val="0"/>
          <w:w w:val="100"/>
          <w:position w:val="0"/>
          <w:sz w:val="24"/>
          <w:szCs w:val="24"/>
        </w:rPr>
        <w:t>）：</w:t>
      </w:r>
      <w:r>
        <w:rPr>
          <w:rFonts w:hint="eastAsia" w:ascii="宋体" w:hAnsi="宋体" w:eastAsia="宋体" w:cs="宋体"/>
          <w:color w:val="auto"/>
          <w:spacing w:val="0"/>
          <w:w w:val="100"/>
          <w:position w:val="0"/>
          <w:sz w:val="24"/>
          <w:szCs w:val="24"/>
        </w:rPr>
        <w:tab/>
      </w:r>
      <w:r>
        <w:rPr>
          <w:rFonts w:hint="eastAsia" w:ascii="宋体" w:hAnsi="宋体" w:eastAsia="宋体" w:cs="宋体"/>
          <w:color w:val="auto"/>
          <w:spacing w:val="0"/>
          <w:w w:val="100"/>
          <w:position w:val="0"/>
          <w:sz w:val="24"/>
          <w:szCs w:val="24"/>
          <w:lang w:eastAsia="zh-CN"/>
        </w:rPr>
        <w:t>供应商</w:t>
      </w:r>
      <w:r>
        <w:rPr>
          <w:rFonts w:hint="eastAsia" w:ascii="宋体" w:hAnsi="宋体" w:eastAsia="宋体" w:cs="宋体"/>
          <w:color w:val="auto"/>
          <w:spacing w:val="0"/>
          <w:w w:val="100"/>
          <w:position w:val="0"/>
          <w:sz w:val="24"/>
          <w:szCs w:val="24"/>
        </w:rPr>
        <w:t>（盖章）：</w:t>
      </w:r>
    </w:p>
    <w:p w14:paraId="07E9893D">
      <w:pPr>
        <w:pStyle w:val="39"/>
        <w:keepNext w:val="0"/>
        <w:keepLines w:val="0"/>
        <w:pageBreakBefore w:val="0"/>
        <w:widowControl w:val="0"/>
        <w:shd w:val="clear" w:color="auto" w:fill="auto"/>
        <w:tabs>
          <w:tab w:val="left" w:pos="4377"/>
        </w:tabs>
        <w:kinsoku/>
        <w:wordWrap/>
        <w:overflowPunct/>
        <w:topLinePunct w:val="0"/>
        <w:autoSpaceDE/>
        <w:autoSpaceDN/>
        <w:bidi w:val="0"/>
        <w:adjustRightInd/>
        <w:snapToGrid/>
        <w:spacing w:before="0" w:after="480" w:line="360" w:lineRule="auto"/>
        <w:ind w:left="0" w:right="0" w:firstLine="4288" w:firstLineChars="1787"/>
        <w:jc w:val="left"/>
        <w:textAlignment w:val="auto"/>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承诺时间：</w:t>
      </w:r>
      <w:r>
        <w:rPr>
          <w:rFonts w:hint="eastAsia" w:ascii="宋体" w:hAnsi="宋体" w:eastAsia="宋体"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年</w:t>
      </w:r>
      <w:r>
        <w:rPr>
          <w:rFonts w:hint="eastAsia" w:ascii="宋体" w:hAnsi="宋体" w:eastAsia="宋体"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月</w:t>
      </w:r>
      <w:r>
        <w:rPr>
          <w:rFonts w:hint="eastAsia" w:ascii="宋体" w:hAnsi="宋体" w:eastAsia="宋体"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日</w:t>
      </w:r>
    </w:p>
    <w:p w14:paraId="07E5581A">
      <w:pPr>
        <w:pStyle w:val="38"/>
        <w:ind w:left="0" w:leftChars="0" w:firstLine="0" w:firstLineChars="0"/>
        <w:rPr>
          <w:rFonts w:hint="eastAsia" w:ascii="宋体" w:hAnsi="宋体" w:eastAsia="宋体" w:cs="宋体"/>
          <w:color w:val="auto"/>
          <w:spacing w:val="0"/>
          <w:w w:val="100"/>
          <w:kern w:val="2"/>
          <w:position w:val="0"/>
          <w:sz w:val="24"/>
          <w:szCs w:val="24"/>
          <w:u w:val="none"/>
          <w:shd w:val="clear" w:color="auto" w:fill="auto"/>
          <w:lang w:val="zh-TW" w:eastAsia="zh-TW" w:bidi="zh-TW"/>
        </w:rPr>
      </w:pPr>
      <w:r>
        <w:rPr>
          <w:rFonts w:hint="eastAsia" w:ascii="宋体" w:hAnsi="宋体" w:eastAsia="宋体" w:cs="宋体"/>
          <w:color w:val="auto"/>
          <w:spacing w:val="0"/>
          <w:w w:val="100"/>
          <w:kern w:val="2"/>
          <w:position w:val="0"/>
          <w:sz w:val="24"/>
          <w:szCs w:val="24"/>
          <w:u w:val="none"/>
          <w:shd w:val="clear" w:color="auto" w:fill="auto"/>
          <w:lang w:val="zh-TW" w:eastAsia="zh-TW" w:bidi="zh-TW"/>
        </w:rPr>
        <w:t>注：</w:t>
      </w:r>
      <w:r>
        <w:rPr>
          <w:rFonts w:hint="eastAsia" w:ascii="宋体" w:hAnsi="宋体" w:eastAsia="宋体" w:cs="宋体"/>
          <w:color w:val="auto"/>
          <w:spacing w:val="0"/>
          <w:w w:val="100"/>
          <w:kern w:val="2"/>
          <w:position w:val="0"/>
          <w:sz w:val="24"/>
          <w:szCs w:val="24"/>
          <w:u w:val="none"/>
          <w:shd w:val="clear" w:color="auto" w:fill="auto"/>
          <w:lang w:val="en-US" w:eastAsia="zh-CN" w:bidi="zh-TW"/>
        </w:rPr>
        <w:t>1.</w:t>
      </w:r>
      <w:r>
        <w:rPr>
          <w:rFonts w:hint="eastAsia" w:ascii="宋体" w:hAnsi="宋体" w:eastAsia="宋体" w:cs="宋体"/>
          <w:color w:val="auto"/>
          <w:spacing w:val="0"/>
          <w:w w:val="100"/>
          <w:kern w:val="2"/>
          <w:position w:val="0"/>
          <w:sz w:val="24"/>
          <w:szCs w:val="24"/>
          <w:u w:val="none"/>
          <w:shd w:val="clear" w:color="auto" w:fill="auto"/>
          <w:lang w:val="zh-TW" w:eastAsia="zh-TW" w:bidi="zh-TW"/>
        </w:rPr>
        <w:t>本承诺书效力和作用等同投标保证金，其有效期与投标有效期一致</w:t>
      </w:r>
      <w:r>
        <w:rPr>
          <w:rFonts w:hint="eastAsia" w:ascii="宋体" w:hAnsi="宋体" w:eastAsia="宋体" w:cs="宋体"/>
          <w:color w:val="auto"/>
          <w:spacing w:val="0"/>
          <w:w w:val="100"/>
          <w:kern w:val="2"/>
          <w:position w:val="0"/>
          <w:sz w:val="24"/>
          <w:szCs w:val="24"/>
          <w:u w:val="none"/>
          <w:shd w:val="clear" w:color="auto" w:fill="auto"/>
          <w:lang w:val="zh-TW" w:eastAsia="zh-CN" w:bidi="zh-TW"/>
        </w:rPr>
        <w:t>。</w:t>
      </w:r>
    </w:p>
    <w:p w14:paraId="0A1AC99C">
      <w:pPr>
        <w:pStyle w:val="38"/>
        <w:ind w:left="0" w:leftChars="0" w:firstLine="0" w:firstLineChars="0"/>
        <w:rPr>
          <w:rFonts w:hint="eastAsia" w:ascii="宋体" w:hAnsi="宋体" w:eastAsia="宋体" w:cs="宋体"/>
          <w:color w:val="auto"/>
          <w:sz w:val="18"/>
          <w:szCs w:val="18"/>
        </w:rPr>
      </w:pPr>
      <w:r>
        <w:rPr>
          <w:rFonts w:hint="eastAsia" w:ascii="宋体" w:hAnsi="宋体" w:eastAsia="宋体" w:cs="宋体"/>
          <w:color w:val="auto"/>
          <w:spacing w:val="0"/>
          <w:w w:val="100"/>
          <w:kern w:val="2"/>
          <w:position w:val="0"/>
          <w:sz w:val="24"/>
          <w:szCs w:val="24"/>
          <w:u w:val="none"/>
          <w:shd w:val="clear" w:color="auto" w:fill="auto"/>
          <w:lang w:val="en-US" w:eastAsia="zh-CN" w:bidi="zh-TW"/>
        </w:rPr>
        <w:t>2.</w:t>
      </w:r>
      <w:r>
        <w:rPr>
          <w:rFonts w:hint="eastAsia" w:ascii="宋体" w:hAnsi="宋体" w:eastAsia="宋体" w:cs="宋体"/>
          <w:color w:val="auto"/>
          <w:spacing w:val="0"/>
          <w:w w:val="100"/>
          <w:kern w:val="2"/>
          <w:position w:val="0"/>
          <w:sz w:val="24"/>
          <w:szCs w:val="24"/>
          <w:u w:val="none"/>
          <w:shd w:val="clear" w:color="auto" w:fill="auto"/>
          <w:lang w:val="zh-TW" w:eastAsia="zh-TW" w:bidi="zh-TW"/>
        </w:rPr>
        <w:t>此承诺书除附在投标文件中外还须上传至“信用中国（陕西榆林）”网站</w:t>
      </w:r>
      <w:r>
        <w:rPr>
          <w:rFonts w:hint="eastAsia" w:ascii="宋体" w:hAnsi="宋体" w:eastAsia="宋体" w:cs="宋体"/>
          <w:color w:val="auto"/>
          <w:spacing w:val="0"/>
          <w:w w:val="100"/>
          <w:kern w:val="2"/>
          <w:position w:val="0"/>
          <w:sz w:val="24"/>
          <w:szCs w:val="24"/>
          <w:u w:val="none"/>
          <w:shd w:val="clear" w:color="auto" w:fill="auto"/>
          <w:lang w:val="zh-TW" w:eastAsia="zh-CN" w:bidi="zh-TW"/>
        </w:rPr>
        <w:t>供应商</w:t>
      </w:r>
      <w:r>
        <w:rPr>
          <w:rFonts w:hint="eastAsia" w:ascii="宋体" w:hAnsi="宋体" w:eastAsia="宋体" w:cs="宋体"/>
          <w:color w:val="auto"/>
          <w:spacing w:val="0"/>
          <w:w w:val="100"/>
          <w:kern w:val="2"/>
          <w:position w:val="0"/>
          <w:sz w:val="24"/>
          <w:szCs w:val="24"/>
          <w:u w:val="none"/>
          <w:shd w:val="clear" w:color="auto" w:fill="auto"/>
          <w:lang w:val="zh-TW" w:eastAsia="zh-TW" w:bidi="zh-TW"/>
        </w:rPr>
        <w:t>自主上报信用承诺书附件。（承诺有效期同投标有效期，承诺起始时间为提交投标文件截止之日，须后附截图。）</w:t>
      </w:r>
    </w:p>
    <w:p w14:paraId="52C1446C">
      <w:pPr>
        <w:pStyle w:val="38"/>
        <w:ind w:firstLine="0" w:firstLineChars="0"/>
        <w:rPr>
          <w:rFonts w:hint="eastAsia" w:ascii="宋体" w:hAnsi="宋体" w:eastAsia="宋体" w:cs="宋体"/>
          <w:color w:val="auto"/>
          <w:sz w:val="21"/>
          <w:szCs w:val="21"/>
          <w:lang w:val="en-US" w:eastAsia="zh-CN"/>
        </w:rPr>
      </w:pPr>
    </w:p>
    <w:p w14:paraId="0B870B08">
      <w:pPr>
        <w:rPr>
          <w:rFonts w:hint="eastAsia" w:ascii="宋体" w:hAnsi="宋体" w:eastAsia="宋体" w:cs="宋体"/>
          <w:b/>
          <w:lang w:val="en-US" w:eastAsia="zh-CN"/>
        </w:rPr>
      </w:pPr>
      <w:bookmarkStart w:id="90" w:name="_Toc6250"/>
      <w:bookmarkStart w:id="91" w:name="_Toc15475"/>
      <w:bookmarkStart w:id="92" w:name="_Toc19010"/>
      <w:bookmarkStart w:id="93" w:name="_Toc12991"/>
      <w:r>
        <w:rPr>
          <w:rFonts w:hint="eastAsia" w:ascii="宋体" w:hAnsi="宋体" w:eastAsia="宋体" w:cs="宋体"/>
          <w:b/>
          <w:lang w:val="en-US" w:eastAsia="zh-CN"/>
        </w:rPr>
        <w:br w:type="page"/>
      </w:r>
    </w:p>
    <w:p w14:paraId="25134A79">
      <w:pPr>
        <w:bidi w:val="0"/>
        <w:jc w:val="center"/>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供应商信用承诺</w:t>
      </w:r>
    </w:p>
    <w:p w14:paraId="40888127">
      <w:pPr>
        <w:pageBreakBefore w:val="0"/>
        <w:widowControl/>
        <w:kinsoku/>
        <w:bidi w:val="0"/>
        <w:spacing w:line="360" w:lineRule="auto"/>
        <w:jc w:val="left"/>
        <w:textAlignment w:val="auto"/>
        <w:rPr>
          <w:rFonts w:hint="eastAsia" w:ascii="宋体" w:hAnsi="宋体" w:eastAsia="宋体" w:cs="宋体"/>
          <w:sz w:val="24"/>
          <w:szCs w:val="24"/>
          <w:u w:val="single"/>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p w14:paraId="07208622">
      <w:pPr>
        <w:pageBreakBefore w:val="0"/>
        <w:widowControl/>
        <w:kinsoku/>
        <w:bidi w:val="0"/>
        <w:spacing w:line="360" w:lineRule="auto"/>
        <w:jc w:val="left"/>
        <w:textAlignment w:val="auto"/>
        <w:rPr>
          <w:rFonts w:hint="eastAsia" w:ascii="宋体" w:hAnsi="宋体" w:eastAsia="宋体" w:cs="宋体"/>
          <w:sz w:val="24"/>
          <w:szCs w:val="24"/>
          <w:u w:val="single"/>
        </w:rPr>
      </w:pPr>
      <w:r>
        <w:rPr>
          <w:rFonts w:hint="eastAsia" w:ascii="宋体" w:hAnsi="宋体" w:eastAsia="宋体" w:cs="宋体"/>
          <w:sz w:val="24"/>
          <w:szCs w:val="24"/>
        </w:rPr>
        <w:t>统一社会信用代码：</w:t>
      </w:r>
      <w:r>
        <w:rPr>
          <w:rFonts w:hint="eastAsia" w:ascii="宋体" w:hAnsi="宋体" w:eastAsia="宋体" w:cs="宋体"/>
          <w:sz w:val="24"/>
          <w:szCs w:val="24"/>
          <w:u w:val="single"/>
        </w:rPr>
        <w:t xml:space="preserve">                             </w:t>
      </w:r>
      <w:r>
        <w:rPr>
          <w:rFonts w:hint="eastAsia" w:ascii="宋体" w:hAnsi="宋体" w:eastAsia="宋体" w:cs="宋体"/>
          <w:sz w:val="24"/>
          <w:szCs w:val="24"/>
        </w:rPr>
        <w:t>法人代表：</w:t>
      </w:r>
      <w:r>
        <w:rPr>
          <w:rFonts w:hint="eastAsia" w:ascii="宋体" w:hAnsi="宋体" w:eastAsia="宋体" w:cs="宋体"/>
          <w:sz w:val="24"/>
          <w:szCs w:val="24"/>
          <w:u w:val="single"/>
        </w:rPr>
        <w:t xml:space="preserve">                  </w:t>
      </w:r>
    </w:p>
    <w:p w14:paraId="31F4BE7C">
      <w:pPr>
        <w:pageBreakBefore w:val="0"/>
        <w:widowControl/>
        <w:kinsoku/>
        <w:bidi w:val="0"/>
        <w:spacing w:line="360" w:lineRule="auto"/>
        <w:jc w:val="left"/>
        <w:textAlignment w:val="auto"/>
        <w:rPr>
          <w:rFonts w:hint="eastAsia" w:ascii="宋体" w:hAnsi="宋体" w:eastAsia="宋体" w:cs="宋体"/>
          <w:sz w:val="24"/>
          <w:szCs w:val="24"/>
          <w:u w:val="single"/>
        </w:rPr>
      </w:pPr>
      <w:r>
        <w:rPr>
          <w:rFonts w:hint="eastAsia" w:ascii="宋体" w:hAnsi="宋体" w:eastAsia="宋体" w:cs="宋体"/>
          <w:sz w:val="24"/>
          <w:szCs w:val="24"/>
        </w:rPr>
        <w:t>承诺有效期限：</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7628B0E">
      <w:pPr>
        <w:pageBreakBefore w:val="0"/>
        <w:widowControl/>
        <w:kinsoku/>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w:t>
      </w:r>
      <w:r>
        <w:rPr>
          <w:rFonts w:hint="eastAsia" w:ascii="宋体" w:hAnsi="宋体" w:eastAsia="宋体" w:cs="宋体"/>
          <w:sz w:val="24"/>
          <w:szCs w:val="24"/>
          <w:u w:val="single"/>
        </w:rPr>
        <w:t xml:space="preserve">            </w:t>
      </w:r>
      <w:r>
        <w:rPr>
          <w:rFonts w:hint="eastAsia" w:ascii="宋体" w:hAnsi="宋体" w:eastAsia="宋体" w:cs="宋体"/>
          <w:sz w:val="24"/>
          <w:szCs w:val="24"/>
        </w:rPr>
        <w:t>项目招投标活动中，我公司（单位）郑重作出以下信用承诺：</w:t>
      </w:r>
    </w:p>
    <w:p w14:paraId="216060CF">
      <w:pPr>
        <w:pageBreakBefore w:val="0"/>
        <w:widowControl/>
        <w:kinsoku/>
        <w:bidi w:val="0"/>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536B73EA">
      <w:pPr>
        <w:pageBreakBefore w:val="0"/>
        <w:widowControl/>
        <w:kinsoku/>
        <w:bidi w:val="0"/>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sz w:val="24"/>
          <w:szCs w:val="24"/>
          <w:lang w:eastAsia="zh-CN"/>
        </w:rPr>
        <w:t>供应商</w:t>
      </w:r>
      <w:r>
        <w:rPr>
          <w:rFonts w:hint="eastAsia" w:ascii="宋体" w:hAnsi="宋体" w:eastAsia="宋体" w:cs="宋体"/>
          <w:sz w:val="24"/>
          <w:szCs w:val="24"/>
        </w:rPr>
        <w:t>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5190F4B0">
      <w:pPr>
        <w:pageBreakBefore w:val="0"/>
        <w:kinsoku/>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（三）自愿接受招投标监督部门和有关行政监督部门的依法检查。</w:t>
      </w:r>
    </w:p>
    <w:p w14:paraId="0E85F454">
      <w:pPr>
        <w:pageBreakBefore w:val="0"/>
        <w:widowControl/>
        <w:kinsoku/>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（四）同意将此信用承诺纳入陕西省公共信用信息平台和榆林市公共信用信息共享平台，并上网公示，接受社会监督。</w:t>
      </w:r>
    </w:p>
    <w:p w14:paraId="7BBEB51C">
      <w:pPr>
        <w:pageBreakBefore w:val="0"/>
        <w:widowControl/>
        <w:kinsoku/>
        <w:bidi w:val="0"/>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3F6E5D94">
      <w:pPr>
        <w:pageBreakBefore w:val="0"/>
        <w:widowControl/>
        <w:tabs>
          <w:tab w:val="left" w:pos="4395"/>
        </w:tabs>
        <w:kinsoku/>
        <w:bidi w:val="0"/>
        <w:adjustRightInd w:val="0"/>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法定代表人/负责人（签章）：                    </w:t>
      </w:r>
      <w:r>
        <w:rPr>
          <w:rFonts w:hint="eastAsia" w:ascii="宋体" w:hAnsi="宋体" w:eastAsia="宋体" w:cs="宋体"/>
          <w:sz w:val="24"/>
          <w:szCs w:val="24"/>
          <w:lang w:eastAsia="zh-CN"/>
        </w:rPr>
        <w:t>供应商</w:t>
      </w:r>
      <w:r>
        <w:rPr>
          <w:rFonts w:hint="eastAsia" w:ascii="宋体" w:hAnsi="宋体" w:eastAsia="宋体" w:cs="宋体"/>
          <w:sz w:val="24"/>
          <w:szCs w:val="24"/>
        </w:rPr>
        <w:t>（盖章）：</w:t>
      </w:r>
    </w:p>
    <w:p w14:paraId="28849256">
      <w:pPr>
        <w:pageBreakBefore w:val="0"/>
        <w:kinsoku/>
        <w:bidi w:val="0"/>
        <w:adjustRightInd w:val="0"/>
        <w:snapToGrid w:val="0"/>
        <w:spacing w:line="360" w:lineRule="auto"/>
        <w:jc w:val="center"/>
        <w:textAlignment w:val="auto"/>
        <w:rPr>
          <w:rFonts w:hint="eastAsia" w:ascii="宋体" w:hAnsi="宋体" w:eastAsia="宋体" w:cs="宋体"/>
          <w:b/>
          <w:bCs/>
          <w:sz w:val="24"/>
          <w:szCs w:val="24"/>
        </w:rPr>
      </w:pPr>
      <w:r>
        <w:rPr>
          <w:rFonts w:hint="eastAsia" w:ascii="宋体" w:hAnsi="宋体" w:eastAsia="宋体" w:cs="宋体"/>
          <w:sz w:val="24"/>
          <w:szCs w:val="24"/>
        </w:rPr>
        <w:t xml:space="preserve">                             承诺时间：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1900570">
      <w:pPr>
        <w:pageBreakBefore w:val="0"/>
        <w:kinsoku/>
        <w:bidi w:val="0"/>
        <w:spacing w:line="360" w:lineRule="auto"/>
        <w:jc w:val="left"/>
        <w:textAlignment w:val="auto"/>
        <w:rPr>
          <w:rFonts w:hint="eastAsia" w:ascii="宋体" w:hAnsi="宋体" w:eastAsia="宋体" w:cs="宋体"/>
          <w:sz w:val="24"/>
          <w:szCs w:val="24"/>
        </w:rPr>
      </w:pPr>
      <w:r>
        <w:rPr>
          <w:rFonts w:hint="eastAsia" w:ascii="宋体" w:hAnsi="宋体" w:eastAsia="宋体" w:cs="宋体"/>
          <w:b/>
          <w:bCs/>
          <w:sz w:val="24"/>
          <w:szCs w:val="24"/>
        </w:rPr>
        <w:t>注：</w:t>
      </w:r>
      <w:r>
        <w:rPr>
          <w:rFonts w:hint="eastAsia" w:ascii="宋体" w:hAnsi="宋体" w:eastAsia="宋体" w:cs="宋体"/>
          <w:sz w:val="24"/>
          <w:szCs w:val="24"/>
        </w:rPr>
        <w:t>此承诺书除附在投标文件中外还须上传至“信用中国（陕西榆林）”网站</w:t>
      </w:r>
      <w:r>
        <w:rPr>
          <w:rFonts w:hint="eastAsia" w:ascii="宋体" w:hAnsi="宋体" w:eastAsia="宋体" w:cs="宋体"/>
          <w:sz w:val="24"/>
          <w:szCs w:val="24"/>
          <w:lang w:eastAsia="zh-CN"/>
        </w:rPr>
        <w:t>供应商</w:t>
      </w:r>
      <w:r>
        <w:rPr>
          <w:rFonts w:hint="eastAsia" w:ascii="宋体" w:hAnsi="宋体" w:eastAsia="宋体" w:cs="宋体"/>
          <w:sz w:val="24"/>
          <w:szCs w:val="24"/>
        </w:rPr>
        <w:t>自主上报信用承诺书附件。（承诺有效期同投标有效期，承诺起始时间为提交投标文件截止之日，须后附截图。）</w:t>
      </w:r>
    </w:p>
    <w:p w14:paraId="1AF03EB9">
      <w:pPr>
        <w:pageBreakBefore w:val="0"/>
        <w:kinsoku/>
        <w:bidi w:val="0"/>
        <w:spacing w:line="360" w:lineRule="auto"/>
        <w:jc w:val="center"/>
        <w:textAlignment w:val="auto"/>
        <w:rPr>
          <w:rFonts w:hint="eastAsia" w:ascii="宋体" w:hAnsi="宋体" w:eastAsia="宋体" w:cs="宋体"/>
          <w:b/>
          <w:bCs/>
          <w:sz w:val="21"/>
          <w:szCs w:val="21"/>
        </w:rPr>
      </w:pPr>
      <w:r>
        <w:rPr>
          <w:rFonts w:hint="eastAsia" w:ascii="宋体" w:hAnsi="宋体" w:eastAsia="宋体" w:cs="宋体"/>
          <w:sz w:val="24"/>
          <w:szCs w:val="24"/>
        </w:rPr>
        <w:br w:type="page"/>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委托代理人员信用承诺书</w:t>
      </w:r>
    </w:p>
    <w:p w14:paraId="5B422973">
      <w:pPr>
        <w:pageBreakBefore w:val="0"/>
        <w:widowControl/>
        <w:kinsoku/>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w:t>
      </w:r>
      <w:r>
        <w:rPr>
          <w:rFonts w:hint="eastAsia" w:ascii="宋体" w:hAnsi="宋体" w:eastAsia="宋体" w:cs="宋体"/>
          <w:sz w:val="24"/>
          <w:szCs w:val="24"/>
          <w:u w:val="single"/>
        </w:rPr>
        <w:t xml:space="preserve">                    </w:t>
      </w:r>
      <w:r>
        <w:rPr>
          <w:rFonts w:hint="eastAsia" w:ascii="宋体" w:hAnsi="宋体" w:eastAsia="宋体" w:cs="宋体"/>
          <w:sz w:val="24"/>
          <w:szCs w:val="24"/>
        </w:rPr>
        <w:t>项目招投标活动中，我个人郑重作出以下信用承诺：</w:t>
      </w:r>
    </w:p>
    <w:p w14:paraId="06F896ED">
      <w:pPr>
        <w:pageBreakBefore w:val="0"/>
        <w:widowControl/>
        <w:kinsoku/>
        <w:bidi w:val="0"/>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（一）能严格遵守法律法规、职业道德和行业规范，具有独立承担民事责任的能力；无法律法规规定禁止开展从业活动情形。我所递交的文件资料合法、真实、准确、完整、有效，无弄虚作假等情形。</w:t>
      </w:r>
    </w:p>
    <w:p w14:paraId="35CEDEE6">
      <w:pPr>
        <w:pageBreakBefore w:val="0"/>
        <w:widowControl/>
        <w:kinsoku/>
        <w:bidi w:val="0"/>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sz w:val="24"/>
          <w:szCs w:val="24"/>
          <w:lang w:eastAsia="zh-CN"/>
        </w:rPr>
        <w:t>供应商</w:t>
      </w:r>
      <w:r>
        <w:rPr>
          <w:rFonts w:hint="eastAsia" w:ascii="宋体" w:hAnsi="宋体" w:eastAsia="宋体" w:cs="宋体"/>
          <w:sz w:val="24"/>
          <w:szCs w:val="24"/>
        </w:rPr>
        <w:t>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7D52D32E">
      <w:pPr>
        <w:pageBreakBefore w:val="0"/>
        <w:kinsoku/>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（三）自愿接受招投标监督部门和有关行政监督部门的依法检查。</w:t>
      </w:r>
    </w:p>
    <w:p w14:paraId="68A4B439">
      <w:pPr>
        <w:pageBreakBefore w:val="0"/>
        <w:widowControl/>
        <w:kinsoku/>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（四）同意将此信用承诺纳入陕西省公共信用信息平台和榆林市公共信用信息共享平台，并接受社会监督。</w:t>
      </w:r>
    </w:p>
    <w:p w14:paraId="50AEAAE7">
      <w:pPr>
        <w:pageBreakBefore w:val="0"/>
        <w:widowControl/>
        <w:kinsoku/>
        <w:bidi w:val="0"/>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47F49EAF">
      <w:pPr>
        <w:pageBreakBefore w:val="0"/>
        <w:widowControl/>
        <w:kinsoku/>
        <w:bidi w:val="0"/>
        <w:spacing w:line="360" w:lineRule="auto"/>
        <w:ind w:firstLine="482"/>
        <w:jc w:val="left"/>
        <w:textAlignment w:val="auto"/>
        <w:rPr>
          <w:rFonts w:hint="eastAsia" w:ascii="宋体" w:hAnsi="宋体" w:eastAsia="宋体" w:cs="宋体"/>
          <w:sz w:val="24"/>
          <w:szCs w:val="24"/>
        </w:rPr>
      </w:pPr>
    </w:p>
    <w:p w14:paraId="539EBA00">
      <w:pPr>
        <w:pageBreakBefore w:val="0"/>
        <w:widowControl/>
        <w:kinsoku/>
        <w:bidi w:val="0"/>
        <w:spacing w:line="360" w:lineRule="auto"/>
        <w:ind w:firstLine="482"/>
        <w:jc w:val="left"/>
        <w:textAlignment w:val="auto"/>
        <w:rPr>
          <w:rFonts w:hint="eastAsia" w:ascii="宋体" w:hAnsi="宋体" w:eastAsia="宋体" w:cs="宋体"/>
          <w:sz w:val="24"/>
          <w:szCs w:val="24"/>
          <w:u w:val="single"/>
        </w:rPr>
      </w:pPr>
      <w:r>
        <w:rPr>
          <w:rFonts w:hint="eastAsia" w:ascii="宋体" w:hAnsi="宋体" w:eastAsia="宋体" w:cs="宋体"/>
          <w:sz w:val="24"/>
          <w:szCs w:val="24"/>
        </w:rPr>
        <w:t>承诺有效期限：</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5B4E7EB">
      <w:pPr>
        <w:pageBreakBefore w:val="0"/>
        <w:widowControl/>
        <w:kinsoku/>
        <w:bidi w:val="0"/>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p w14:paraId="14EC1EC0">
      <w:pPr>
        <w:pageBreakBefore w:val="0"/>
        <w:widowControl/>
        <w:kinsoku/>
        <w:bidi w:val="0"/>
        <w:spacing w:line="360" w:lineRule="auto"/>
        <w:ind w:firstLine="482"/>
        <w:jc w:val="left"/>
        <w:textAlignment w:val="auto"/>
        <w:rPr>
          <w:rFonts w:hint="eastAsia" w:ascii="宋体" w:hAnsi="宋体" w:eastAsia="宋体" w:cs="宋体"/>
          <w:sz w:val="24"/>
          <w:szCs w:val="24"/>
          <w:u w:val="single"/>
        </w:rPr>
      </w:pPr>
      <w:r>
        <w:rPr>
          <w:rFonts w:hint="eastAsia" w:ascii="宋体" w:hAnsi="宋体" w:eastAsia="宋体" w:cs="宋体"/>
          <w:sz w:val="24"/>
          <w:szCs w:val="24"/>
        </w:rPr>
        <w:t>承诺人（签字）：</w:t>
      </w:r>
      <w:r>
        <w:rPr>
          <w:rFonts w:hint="eastAsia" w:ascii="宋体" w:hAnsi="宋体" w:eastAsia="宋体" w:cs="宋体"/>
          <w:sz w:val="24"/>
          <w:szCs w:val="24"/>
          <w:u w:val="single"/>
        </w:rPr>
        <w:t xml:space="preserve">                 </w:t>
      </w:r>
    </w:p>
    <w:p w14:paraId="61B99471">
      <w:pPr>
        <w:pageBreakBefore w:val="0"/>
        <w:widowControl/>
        <w:kinsoku/>
        <w:bidi w:val="0"/>
        <w:spacing w:line="360" w:lineRule="auto"/>
        <w:ind w:firstLine="482"/>
        <w:jc w:val="left"/>
        <w:textAlignment w:val="auto"/>
        <w:rPr>
          <w:rFonts w:hint="eastAsia" w:ascii="宋体" w:hAnsi="宋体" w:eastAsia="宋体" w:cs="宋体"/>
          <w:b/>
          <w:bCs/>
          <w:sz w:val="24"/>
          <w:szCs w:val="24"/>
        </w:rPr>
      </w:pPr>
      <w:r>
        <w:rPr>
          <w:rFonts w:hint="eastAsia" w:ascii="宋体" w:hAnsi="宋体" w:eastAsia="宋体" w:cs="宋体"/>
          <w:sz w:val="24"/>
          <w:szCs w:val="24"/>
        </w:rPr>
        <w:t>承诺时间：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C3C22A1">
      <w:pPr>
        <w:pageBreakBefore w:val="0"/>
        <w:kinsoku/>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注：此承诺书除附在投标文件中外还须上传至“信用中国（陕西榆林）”网站授权委托人自主上报信用承诺书附件。（承诺有效期同投标有效期，承诺起始时间为提交投标文件截止之日，须后附截图。）</w:t>
      </w:r>
    </w:p>
    <w:p w14:paraId="1F483FDD">
      <w:pPr>
        <w:bidi w:val="0"/>
        <w:jc w:val="center"/>
        <w:outlineLvl w:val="9"/>
        <w:rPr>
          <w:rFonts w:hint="eastAsia" w:ascii="宋体" w:hAnsi="宋体" w:eastAsia="宋体" w:cs="宋体"/>
          <w:b/>
          <w:lang w:val="en-US" w:eastAsia="zh-CN"/>
        </w:rPr>
      </w:pPr>
      <w:r>
        <w:rPr>
          <w:rFonts w:hint="eastAsia" w:ascii="宋体" w:hAnsi="宋体" w:eastAsia="宋体" w:cs="宋体"/>
          <w:sz w:val="24"/>
          <w:szCs w:val="24"/>
        </w:rPr>
        <w:br w:type="page"/>
      </w:r>
      <w:r>
        <w:rPr>
          <w:rFonts w:hint="eastAsia" w:ascii="宋体" w:hAnsi="宋体" w:eastAsia="宋体" w:cs="宋体"/>
          <w:b/>
          <w:bCs/>
          <w:sz w:val="24"/>
          <w:szCs w:val="24"/>
          <w:lang w:val="en-US" w:eastAsia="zh-CN"/>
        </w:rPr>
        <w:t>不接受联合体投标不允许分包</w:t>
      </w:r>
      <w:bookmarkEnd w:id="90"/>
      <w:bookmarkEnd w:id="91"/>
      <w:bookmarkEnd w:id="92"/>
      <w:bookmarkEnd w:id="93"/>
    </w:p>
    <w:p w14:paraId="64005AC4">
      <w:pPr>
        <w:keepNext w:val="0"/>
        <w:keepLines w:val="0"/>
        <w:widowControl/>
        <w:suppressLineNumbers w:val="0"/>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非联合体不分包投标声明（格式）</w:t>
      </w:r>
    </w:p>
    <w:p w14:paraId="1772A8AC">
      <w:pPr>
        <w:keepNext w:val="0"/>
        <w:keepLines w:val="0"/>
        <w:widowControl/>
        <w:suppressLineNumbers w:val="0"/>
        <w:shd w:val="clear" w:color="auto" w:fill="auto"/>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本单位郑重声明，参加陕西盛誉恒正项目管理有限公司的项目名称:</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（项目编号：______）采购活动，为非联合体谈判，本项目实施过程由本单位独立承担。 </w:t>
      </w:r>
    </w:p>
    <w:p w14:paraId="4F1E1AF4">
      <w:pPr>
        <w:keepNext w:val="0"/>
        <w:keepLines w:val="0"/>
        <w:widowControl/>
        <w:suppressLineNumbers w:val="0"/>
        <w:shd w:val="clear" w:color="auto" w:fill="auto"/>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本单位对上述声明的真实性负责。如有虚假，将依法承担相应责任。 </w:t>
      </w:r>
    </w:p>
    <w:p w14:paraId="47B200C9">
      <w:pPr>
        <w:keepNext w:val="0"/>
        <w:keepLines w:val="0"/>
        <w:widowControl/>
        <w:suppressLineNumbers w:val="0"/>
        <w:shd w:val="clear" w:color="auto" w:fill="auto"/>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p>
    <w:p w14:paraId="4894CA9C">
      <w:pPr>
        <w:keepNext w:val="0"/>
        <w:keepLines w:val="0"/>
        <w:widowControl/>
        <w:suppressLineNumbers w:val="0"/>
        <w:shd w:val="clear" w:color="auto" w:fill="auto"/>
        <w:spacing w:line="360" w:lineRule="auto"/>
        <w:ind w:firstLine="3840" w:firstLineChars="16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供应商名称：（加盖公章） </w:t>
      </w:r>
    </w:p>
    <w:p w14:paraId="6BFC04CD">
      <w:pPr>
        <w:keepNext w:val="0"/>
        <w:keepLines w:val="0"/>
        <w:widowControl/>
        <w:suppressLineNumbers w:val="0"/>
        <w:shd w:val="clear" w:color="auto" w:fill="auto"/>
        <w:spacing w:line="360" w:lineRule="auto"/>
        <w:ind w:firstLine="3840" w:firstLineChars="16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日期： 年 月 日 </w:t>
      </w:r>
    </w:p>
    <w:p w14:paraId="5DEEA532">
      <w:pPr>
        <w:spacing w:before="162" w:line="224" w:lineRule="auto"/>
        <w:ind w:left="3665"/>
        <w:outlineLvl w:val="1"/>
        <w:rPr>
          <w:rFonts w:ascii="宋体" w:hAnsi="宋体" w:eastAsia="宋体" w:cs="宋体"/>
          <w:sz w:val="31"/>
          <w:szCs w:val="31"/>
        </w:rPr>
      </w:pPr>
      <w:bookmarkStart w:id="94" w:name="_Toc21874"/>
      <w:bookmarkStart w:id="95" w:name="_Toc28830"/>
      <w:bookmarkStart w:id="96" w:name="_Toc27923"/>
      <w:bookmarkStart w:id="97" w:name="_Toc20290"/>
      <w:bookmarkStart w:id="98" w:name="_Toc11055"/>
      <w:bookmarkStart w:id="99" w:name="_Toc18512"/>
      <w:bookmarkStart w:id="100" w:name="_Toc24719"/>
      <w:bookmarkStart w:id="101" w:name="_Toc16095"/>
      <w:bookmarkStart w:id="102" w:name="_Toc9966"/>
      <w:bookmarkStart w:id="103" w:name="_Toc21713"/>
      <w:r>
        <w:rPr>
          <w:rFonts w:hint="eastAsia" w:ascii="宋体" w:hAnsi="宋体" w:eastAsia="宋体" w:cs="宋体"/>
          <w:b/>
          <w:lang w:val="en-US" w:eastAsia="zh-CN"/>
        </w:rPr>
        <w:br w:type="page"/>
      </w:r>
      <w:bookmarkStart w:id="104" w:name="_Toc9475"/>
      <w:r>
        <w:rPr>
          <w:rFonts w:hint="eastAsia" w:ascii="宋体" w:hAnsi="宋体" w:eastAsia="宋体" w:cs="宋体"/>
          <w:b/>
          <w:bCs/>
          <w:spacing w:val="5"/>
          <w:sz w:val="31"/>
          <w:szCs w:val="31"/>
          <w:lang w:val="en-US" w:eastAsia="zh-CN"/>
        </w:rPr>
        <w:t>四</w:t>
      </w:r>
      <w:r>
        <w:rPr>
          <w:rFonts w:ascii="宋体" w:hAnsi="宋体" w:eastAsia="宋体" w:cs="宋体"/>
          <w:b/>
          <w:bCs/>
          <w:spacing w:val="5"/>
          <w:sz w:val="31"/>
          <w:szCs w:val="31"/>
        </w:rPr>
        <w:t>、供应商概况</w:t>
      </w:r>
      <w:bookmarkEnd w:id="104"/>
    </w:p>
    <w:p w14:paraId="61947EF0">
      <w:pPr>
        <w:spacing w:before="145" w:line="227" w:lineRule="auto"/>
        <w:ind w:left="3386"/>
        <w:rPr>
          <w:rFonts w:ascii="宋体" w:hAnsi="宋体" w:eastAsia="宋体" w:cs="宋体"/>
          <w:sz w:val="20"/>
          <w:szCs w:val="20"/>
        </w:rPr>
      </w:pPr>
      <w:r>
        <w:rPr>
          <w:rFonts w:hint="eastAsia" w:ascii="宋体" w:hAnsi="宋体" w:eastAsia="宋体" w:cs="宋体"/>
          <w:b/>
          <w:bCs/>
          <w:spacing w:val="5"/>
          <w:sz w:val="20"/>
          <w:szCs w:val="20"/>
          <w:lang w:val="en-US" w:eastAsia="zh-CN"/>
        </w:rPr>
        <w:t>4</w:t>
      </w:r>
      <w:r>
        <w:rPr>
          <w:rFonts w:ascii="宋体" w:hAnsi="宋体" w:eastAsia="宋体" w:cs="宋体"/>
          <w:b/>
          <w:bCs/>
          <w:spacing w:val="5"/>
          <w:sz w:val="20"/>
          <w:szCs w:val="20"/>
        </w:rPr>
        <w:t>.1</w:t>
      </w:r>
      <w:r>
        <w:rPr>
          <w:rFonts w:ascii="宋体" w:hAnsi="宋体" w:eastAsia="宋体" w:cs="宋体"/>
          <w:spacing w:val="-26"/>
          <w:sz w:val="20"/>
          <w:szCs w:val="20"/>
        </w:rPr>
        <w:t xml:space="preserve"> </w:t>
      </w:r>
      <w:r>
        <w:rPr>
          <w:rFonts w:ascii="宋体" w:hAnsi="宋体" w:eastAsia="宋体" w:cs="宋体"/>
          <w:b/>
          <w:bCs/>
          <w:spacing w:val="5"/>
          <w:sz w:val="20"/>
          <w:szCs w:val="20"/>
        </w:rPr>
        <w:t>法定代表人/负责人证明书</w:t>
      </w:r>
    </w:p>
    <w:p w14:paraId="1DFCAB52">
      <w:pPr>
        <w:spacing w:line="14" w:lineRule="exact"/>
      </w:pPr>
    </w:p>
    <w:tbl>
      <w:tblPr>
        <w:tblStyle w:val="31"/>
        <w:tblW w:w="95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3"/>
        <w:gridCol w:w="2206"/>
        <w:gridCol w:w="2204"/>
        <w:gridCol w:w="186"/>
        <w:gridCol w:w="2202"/>
        <w:gridCol w:w="2163"/>
      </w:tblGrid>
      <w:tr w14:paraId="03DFB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9544" w:type="dxa"/>
            <w:gridSpan w:val="6"/>
            <w:vAlign w:val="top"/>
          </w:tcPr>
          <w:p w14:paraId="4E1836CD">
            <w:pPr>
              <w:pStyle w:val="32"/>
              <w:spacing w:before="287" w:line="219" w:lineRule="auto"/>
              <w:ind w:left="117"/>
              <w:rPr>
                <w:rFonts w:hint="eastAsia" w:eastAsia="宋体"/>
                <w:lang w:eastAsia="zh-CN"/>
              </w:rPr>
            </w:pPr>
            <w:r>
              <w:rPr>
                <w:spacing w:val="-1"/>
              </w:rPr>
              <w:t>致：</w:t>
            </w:r>
            <w:r>
              <w:rPr>
                <w:rFonts w:hint="eastAsia"/>
                <w:spacing w:val="-1"/>
                <w:lang w:eastAsia="zh-CN"/>
              </w:rPr>
              <w:t>陕西盛誉恒正项目管理有限公司</w:t>
            </w:r>
          </w:p>
        </w:tc>
      </w:tr>
      <w:tr w14:paraId="72E3D9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restart"/>
            <w:tcBorders>
              <w:bottom w:val="nil"/>
            </w:tcBorders>
            <w:textDirection w:val="tbRlV"/>
            <w:vAlign w:val="top"/>
          </w:tcPr>
          <w:p w14:paraId="7F7E4832">
            <w:pPr>
              <w:pStyle w:val="32"/>
              <w:spacing w:before="170" w:line="211" w:lineRule="auto"/>
              <w:ind w:left="629"/>
            </w:pPr>
            <w:r>
              <w:rPr>
                <w:spacing w:val="-1"/>
              </w:rPr>
              <w:t>企</w:t>
            </w:r>
            <w:r>
              <w:rPr>
                <w:spacing w:val="14"/>
              </w:rPr>
              <w:t xml:space="preserve">   </w:t>
            </w:r>
            <w:r>
              <w:rPr>
                <w:spacing w:val="-1"/>
              </w:rPr>
              <w:t>业</w:t>
            </w:r>
            <w:r>
              <w:rPr>
                <w:spacing w:val="14"/>
              </w:rPr>
              <w:t xml:space="preserve">   </w:t>
            </w:r>
            <w:r>
              <w:rPr>
                <w:spacing w:val="-1"/>
              </w:rPr>
              <w:t>法</w:t>
            </w:r>
            <w:r>
              <w:rPr>
                <w:spacing w:val="13"/>
              </w:rPr>
              <w:t xml:space="preserve">   </w:t>
            </w:r>
            <w:r>
              <w:rPr>
                <w:spacing w:val="-1"/>
              </w:rPr>
              <w:t>人</w:t>
            </w:r>
          </w:p>
        </w:tc>
        <w:tc>
          <w:tcPr>
            <w:tcW w:w="2206" w:type="dxa"/>
            <w:vAlign w:val="top"/>
          </w:tcPr>
          <w:p w14:paraId="27CFBBC3">
            <w:pPr>
              <w:pStyle w:val="32"/>
              <w:spacing w:before="272" w:line="221" w:lineRule="auto"/>
              <w:ind w:left="632"/>
            </w:pPr>
            <w:r>
              <w:rPr>
                <w:spacing w:val="-4"/>
              </w:rPr>
              <w:t>企业名称</w:t>
            </w:r>
          </w:p>
        </w:tc>
        <w:tc>
          <w:tcPr>
            <w:tcW w:w="6755" w:type="dxa"/>
            <w:gridSpan w:val="4"/>
            <w:vAlign w:val="top"/>
          </w:tcPr>
          <w:p w14:paraId="456CD015">
            <w:pPr>
              <w:rPr>
                <w:rFonts w:ascii="Arial"/>
                <w:sz w:val="21"/>
              </w:rPr>
            </w:pPr>
          </w:p>
        </w:tc>
      </w:tr>
      <w:tr w14:paraId="1104B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continue"/>
            <w:tcBorders>
              <w:top w:val="nil"/>
              <w:bottom w:val="nil"/>
            </w:tcBorders>
            <w:textDirection w:val="tbRlV"/>
            <w:vAlign w:val="top"/>
          </w:tcPr>
          <w:p w14:paraId="7D599905">
            <w:pPr>
              <w:rPr>
                <w:rFonts w:ascii="Arial"/>
                <w:sz w:val="21"/>
              </w:rPr>
            </w:pPr>
          </w:p>
        </w:tc>
        <w:tc>
          <w:tcPr>
            <w:tcW w:w="2206" w:type="dxa"/>
            <w:vAlign w:val="top"/>
          </w:tcPr>
          <w:p w14:paraId="1B12D367">
            <w:pPr>
              <w:pStyle w:val="32"/>
              <w:spacing w:before="271" w:line="220" w:lineRule="auto"/>
              <w:ind w:left="629"/>
            </w:pPr>
            <w:r>
              <w:rPr>
                <w:spacing w:val="-3"/>
              </w:rPr>
              <w:t>法定地址</w:t>
            </w:r>
          </w:p>
        </w:tc>
        <w:tc>
          <w:tcPr>
            <w:tcW w:w="6755" w:type="dxa"/>
            <w:gridSpan w:val="4"/>
            <w:vAlign w:val="top"/>
          </w:tcPr>
          <w:p w14:paraId="7C7995AC">
            <w:pPr>
              <w:rPr>
                <w:rFonts w:ascii="Arial"/>
                <w:sz w:val="21"/>
              </w:rPr>
            </w:pPr>
          </w:p>
        </w:tc>
      </w:tr>
      <w:tr w14:paraId="6D721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583" w:type="dxa"/>
            <w:vMerge w:val="continue"/>
            <w:tcBorders>
              <w:top w:val="nil"/>
              <w:bottom w:val="nil"/>
            </w:tcBorders>
            <w:textDirection w:val="tbRlV"/>
            <w:vAlign w:val="top"/>
          </w:tcPr>
          <w:p w14:paraId="08E2E784">
            <w:pPr>
              <w:rPr>
                <w:rFonts w:ascii="Arial"/>
                <w:sz w:val="21"/>
              </w:rPr>
            </w:pPr>
          </w:p>
        </w:tc>
        <w:tc>
          <w:tcPr>
            <w:tcW w:w="2206" w:type="dxa"/>
            <w:vAlign w:val="top"/>
          </w:tcPr>
          <w:p w14:paraId="0EBBAB3C">
            <w:pPr>
              <w:pStyle w:val="32"/>
              <w:spacing w:before="271" w:line="219" w:lineRule="auto"/>
              <w:ind w:left="646"/>
            </w:pPr>
            <w:r>
              <w:rPr>
                <w:spacing w:val="-7"/>
              </w:rPr>
              <w:t>邮政编码</w:t>
            </w:r>
          </w:p>
        </w:tc>
        <w:tc>
          <w:tcPr>
            <w:tcW w:w="6755" w:type="dxa"/>
            <w:gridSpan w:val="4"/>
            <w:vAlign w:val="top"/>
          </w:tcPr>
          <w:p w14:paraId="4A4E5D27">
            <w:pPr>
              <w:rPr>
                <w:rFonts w:ascii="Arial"/>
                <w:sz w:val="21"/>
              </w:rPr>
            </w:pPr>
          </w:p>
        </w:tc>
      </w:tr>
      <w:tr w14:paraId="4233D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583" w:type="dxa"/>
            <w:vMerge w:val="continue"/>
            <w:tcBorders>
              <w:top w:val="nil"/>
            </w:tcBorders>
            <w:textDirection w:val="tbRlV"/>
            <w:vAlign w:val="top"/>
          </w:tcPr>
          <w:p w14:paraId="266258DF">
            <w:pPr>
              <w:rPr>
                <w:rFonts w:ascii="Arial"/>
                <w:sz w:val="21"/>
              </w:rPr>
            </w:pPr>
          </w:p>
        </w:tc>
        <w:tc>
          <w:tcPr>
            <w:tcW w:w="2206" w:type="dxa"/>
            <w:vAlign w:val="top"/>
          </w:tcPr>
          <w:p w14:paraId="257E495C">
            <w:pPr>
              <w:spacing w:line="356" w:lineRule="auto"/>
              <w:rPr>
                <w:rFonts w:ascii="Arial"/>
                <w:sz w:val="21"/>
              </w:rPr>
            </w:pPr>
          </w:p>
          <w:p w14:paraId="3CEB54D2">
            <w:pPr>
              <w:pStyle w:val="32"/>
              <w:spacing w:before="78" w:line="219" w:lineRule="auto"/>
              <w:ind w:left="154"/>
            </w:pPr>
            <w:r>
              <w:rPr>
                <w:spacing w:val="-2"/>
              </w:rPr>
              <w:t>统一社会信用代码</w:t>
            </w:r>
          </w:p>
        </w:tc>
        <w:tc>
          <w:tcPr>
            <w:tcW w:w="6755" w:type="dxa"/>
            <w:gridSpan w:val="4"/>
            <w:vAlign w:val="top"/>
          </w:tcPr>
          <w:p w14:paraId="6543F060">
            <w:pPr>
              <w:rPr>
                <w:rFonts w:ascii="Arial"/>
                <w:sz w:val="21"/>
              </w:rPr>
            </w:pPr>
          </w:p>
        </w:tc>
      </w:tr>
      <w:tr w14:paraId="5860E0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restart"/>
            <w:tcBorders>
              <w:bottom w:val="nil"/>
            </w:tcBorders>
            <w:textDirection w:val="tbRlV"/>
            <w:vAlign w:val="top"/>
          </w:tcPr>
          <w:p w14:paraId="21B96F92">
            <w:pPr>
              <w:pStyle w:val="32"/>
              <w:spacing w:before="169" w:line="209" w:lineRule="auto"/>
              <w:ind w:left="405"/>
            </w:pPr>
            <w:r>
              <w:rPr>
                <w:spacing w:val="-1"/>
              </w:rPr>
              <w:t>法</w:t>
            </w:r>
            <w:r>
              <w:rPr>
                <w:spacing w:val="-36"/>
              </w:rPr>
              <w:t xml:space="preserve"> </w:t>
            </w:r>
            <w:r>
              <w:rPr>
                <w:spacing w:val="-1"/>
              </w:rPr>
              <w:t>定</w:t>
            </w:r>
            <w:r>
              <w:rPr>
                <w:spacing w:val="-40"/>
              </w:rPr>
              <w:t xml:space="preserve"> </w:t>
            </w:r>
            <w:r>
              <w:rPr>
                <w:spacing w:val="-1"/>
              </w:rPr>
              <w:t>代</w:t>
            </w:r>
            <w:r>
              <w:rPr>
                <w:spacing w:val="-41"/>
              </w:rPr>
              <w:t xml:space="preserve"> </w:t>
            </w:r>
            <w:r>
              <w:rPr>
                <w:spacing w:val="-1"/>
              </w:rPr>
              <w:t>表</w:t>
            </w:r>
            <w:r>
              <w:rPr>
                <w:spacing w:val="-38"/>
              </w:rPr>
              <w:t xml:space="preserve"> </w:t>
            </w:r>
            <w:r>
              <w:rPr>
                <w:spacing w:val="-1"/>
              </w:rPr>
              <w:t>人</w:t>
            </w:r>
          </w:p>
        </w:tc>
        <w:tc>
          <w:tcPr>
            <w:tcW w:w="2206" w:type="dxa"/>
            <w:vAlign w:val="top"/>
          </w:tcPr>
          <w:p w14:paraId="1B188209">
            <w:pPr>
              <w:pStyle w:val="32"/>
              <w:spacing w:before="273" w:line="219" w:lineRule="auto"/>
              <w:ind w:left="868"/>
            </w:pPr>
            <w:r>
              <w:rPr>
                <w:spacing w:val="-5"/>
              </w:rPr>
              <w:t>姓名</w:t>
            </w:r>
          </w:p>
        </w:tc>
        <w:tc>
          <w:tcPr>
            <w:tcW w:w="2390" w:type="dxa"/>
            <w:gridSpan w:val="2"/>
            <w:vAlign w:val="top"/>
          </w:tcPr>
          <w:p w14:paraId="79D1F2AD">
            <w:pPr>
              <w:rPr>
                <w:rFonts w:ascii="Arial"/>
                <w:sz w:val="21"/>
              </w:rPr>
            </w:pPr>
          </w:p>
        </w:tc>
        <w:tc>
          <w:tcPr>
            <w:tcW w:w="2202" w:type="dxa"/>
            <w:vAlign w:val="top"/>
          </w:tcPr>
          <w:p w14:paraId="67C13FB7">
            <w:pPr>
              <w:pStyle w:val="32"/>
              <w:spacing w:before="273" w:line="220" w:lineRule="auto"/>
              <w:ind w:left="871"/>
            </w:pPr>
            <w:r>
              <w:rPr>
                <w:spacing w:val="-7"/>
              </w:rPr>
              <w:t>性别</w:t>
            </w:r>
          </w:p>
        </w:tc>
        <w:tc>
          <w:tcPr>
            <w:tcW w:w="2163" w:type="dxa"/>
            <w:vAlign w:val="top"/>
          </w:tcPr>
          <w:p w14:paraId="38EE6A9D">
            <w:pPr>
              <w:rPr>
                <w:rFonts w:ascii="Arial"/>
                <w:sz w:val="21"/>
              </w:rPr>
            </w:pPr>
          </w:p>
        </w:tc>
      </w:tr>
      <w:tr w14:paraId="3243F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continue"/>
            <w:tcBorders>
              <w:top w:val="nil"/>
              <w:bottom w:val="nil"/>
            </w:tcBorders>
            <w:textDirection w:val="tbRlV"/>
            <w:vAlign w:val="top"/>
          </w:tcPr>
          <w:p w14:paraId="67DB9870">
            <w:pPr>
              <w:rPr>
                <w:rFonts w:ascii="Arial"/>
                <w:sz w:val="21"/>
              </w:rPr>
            </w:pPr>
          </w:p>
        </w:tc>
        <w:tc>
          <w:tcPr>
            <w:tcW w:w="2206" w:type="dxa"/>
            <w:vAlign w:val="top"/>
          </w:tcPr>
          <w:p w14:paraId="542BA24F">
            <w:pPr>
              <w:pStyle w:val="32"/>
              <w:spacing w:before="275" w:line="219" w:lineRule="auto"/>
              <w:ind w:left="869"/>
            </w:pPr>
            <w:r>
              <w:rPr>
                <w:spacing w:val="-6"/>
              </w:rPr>
              <w:t>职务</w:t>
            </w:r>
          </w:p>
        </w:tc>
        <w:tc>
          <w:tcPr>
            <w:tcW w:w="2390" w:type="dxa"/>
            <w:gridSpan w:val="2"/>
            <w:vAlign w:val="top"/>
          </w:tcPr>
          <w:p w14:paraId="17113CDF">
            <w:pPr>
              <w:rPr>
                <w:rFonts w:ascii="Arial"/>
                <w:sz w:val="21"/>
              </w:rPr>
            </w:pPr>
          </w:p>
        </w:tc>
        <w:tc>
          <w:tcPr>
            <w:tcW w:w="2202" w:type="dxa"/>
            <w:vAlign w:val="top"/>
          </w:tcPr>
          <w:p w14:paraId="59015822">
            <w:pPr>
              <w:pStyle w:val="32"/>
              <w:spacing w:before="275" w:line="221" w:lineRule="auto"/>
              <w:ind w:left="629"/>
            </w:pPr>
            <w:r>
              <w:rPr>
                <w:spacing w:val="-3"/>
              </w:rPr>
              <w:t>联系电话</w:t>
            </w:r>
          </w:p>
        </w:tc>
        <w:tc>
          <w:tcPr>
            <w:tcW w:w="2163" w:type="dxa"/>
            <w:vAlign w:val="top"/>
          </w:tcPr>
          <w:p w14:paraId="70DCFD12">
            <w:pPr>
              <w:rPr>
                <w:rFonts w:ascii="Arial"/>
                <w:sz w:val="21"/>
              </w:rPr>
            </w:pPr>
          </w:p>
        </w:tc>
      </w:tr>
      <w:tr w14:paraId="3308D9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583" w:type="dxa"/>
            <w:vMerge w:val="continue"/>
            <w:tcBorders>
              <w:top w:val="nil"/>
            </w:tcBorders>
            <w:textDirection w:val="tbRlV"/>
            <w:vAlign w:val="top"/>
          </w:tcPr>
          <w:p w14:paraId="34C60A12">
            <w:pPr>
              <w:rPr>
                <w:rFonts w:ascii="Arial"/>
                <w:sz w:val="21"/>
              </w:rPr>
            </w:pPr>
          </w:p>
        </w:tc>
        <w:tc>
          <w:tcPr>
            <w:tcW w:w="2206" w:type="dxa"/>
            <w:vAlign w:val="top"/>
          </w:tcPr>
          <w:p w14:paraId="563D7C29">
            <w:pPr>
              <w:pStyle w:val="32"/>
              <w:spacing w:before="273" w:line="219" w:lineRule="auto"/>
              <w:ind w:left="866"/>
            </w:pPr>
            <w:r>
              <w:rPr>
                <w:spacing w:val="-4"/>
              </w:rPr>
              <w:t>传真</w:t>
            </w:r>
          </w:p>
        </w:tc>
        <w:tc>
          <w:tcPr>
            <w:tcW w:w="6755" w:type="dxa"/>
            <w:gridSpan w:val="4"/>
            <w:vAlign w:val="top"/>
          </w:tcPr>
          <w:p w14:paraId="7922A7A3">
            <w:pPr>
              <w:rPr>
                <w:rFonts w:ascii="Arial"/>
                <w:sz w:val="21"/>
              </w:rPr>
            </w:pPr>
          </w:p>
        </w:tc>
      </w:tr>
      <w:tr w14:paraId="3B435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1" w:hRule="atLeast"/>
        </w:trPr>
        <w:tc>
          <w:tcPr>
            <w:tcW w:w="4993" w:type="dxa"/>
            <w:gridSpan w:val="3"/>
            <w:vMerge w:val="restart"/>
            <w:tcBorders>
              <w:bottom w:val="nil"/>
            </w:tcBorders>
            <w:vAlign w:val="top"/>
          </w:tcPr>
          <w:p w14:paraId="4640EF8B">
            <w:pPr>
              <w:spacing w:line="258" w:lineRule="auto"/>
              <w:rPr>
                <w:rFonts w:ascii="Arial"/>
                <w:sz w:val="21"/>
              </w:rPr>
            </w:pPr>
          </w:p>
          <w:p w14:paraId="6FED783D">
            <w:pPr>
              <w:spacing w:line="258" w:lineRule="auto"/>
              <w:rPr>
                <w:rFonts w:ascii="Arial"/>
                <w:sz w:val="21"/>
              </w:rPr>
            </w:pPr>
          </w:p>
          <w:p w14:paraId="3B189E15">
            <w:pPr>
              <w:spacing w:line="258" w:lineRule="auto"/>
              <w:rPr>
                <w:rFonts w:ascii="Arial"/>
                <w:sz w:val="21"/>
              </w:rPr>
            </w:pPr>
          </w:p>
          <w:p w14:paraId="630CF65E">
            <w:pPr>
              <w:spacing w:line="258" w:lineRule="auto"/>
              <w:rPr>
                <w:rFonts w:ascii="Arial"/>
                <w:sz w:val="21"/>
              </w:rPr>
            </w:pPr>
          </w:p>
          <w:p w14:paraId="7B3AA120">
            <w:pPr>
              <w:spacing w:line="258" w:lineRule="auto"/>
              <w:rPr>
                <w:rFonts w:ascii="Arial"/>
                <w:sz w:val="21"/>
              </w:rPr>
            </w:pPr>
          </w:p>
          <w:p w14:paraId="5A73E407">
            <w:pPr>
              <w:spacing w:line="259" w:lineRule="auto"/>
              <w:rPr>
                <w:rFonts w:ascii="Arial"/>
                <w:sz w:val="21"/>
              </w:rPr>
            </w:pPr>
          </w:p>
          <w:p w14:paraId="36959728">
            <w:pPr>
              <w:spacing w:line="259" w:lineRule="auto"/>
              <w:rPr>
                <w:rFonts w:ascii="Arial"/>
                <w:sz w:val="21"/>
              </w:rPr>
            </w:pPr>
          </w:p>
          <w:p w14:paraId="3D9138F0">
            <w:pPr>
              <w:spacing w:line="259" w:lineRule="auto"/>
              <w:rPr>
                <w:rFonts w:ascii="Arial"/>
                <w:sz w:val="21"/>
              </w:rPr>
            </w:pPr>
          </w:p>
          <w:p w14:paraId="1B89DED5">
            <w:pPr>
              <w:spacing w:line="259" w:lineRule="auto"/>
              <w:rPr>
                <w:rFonts w:ascii="Arial"/>
                <w:sz w:val="21"/>
              </w:rPr>
            </w:pPr>
          </w:p>
          <w:p w14:paraId="7F511063">
            <w:pPr>
              <w:pStyle w:val="32"/>
              <w:spacing w:before="78" w:line="219" w:lineRule="auto"/>
              <w:ind w:left="583"/>
            </w:pPr>
            <w:r>
              <w:rPr>
                <w:spacing w:val="-1"/>
              </w:rPr>
              <w:t>法定代表人身份证（正反面）复印件</w:t>
            </w:r>
          </w:p>
        </w:tc>
        <w:tc>
          <w:tcPr>
            <w:tcW w:w="4551" w:type="dxa"/>
            <w:gridSpan w:val="3"/>
            <w:vAlign w:val="top"/>
          </w:tcPr>
          <w:p w14:paraId="6CA76402">
            <w:pPr>
              <w:spacing w:line="256" w:lineRule="auto"/>
              <w:rPr>
                <w:rFonts w:ascii="Arial"/>
                <w:sz w:val="21"/>
              </w:rPr>
            </w:pPr>
          </w:p>
          <w:p w14:paraId="0088421C">
            <w:pPr>
              <w:spacing w:line="257" w:lineRule="auto"/>
              <w:rPr>
                <w:rFonts w:ascii="Arial"/>
                <w:sz w:val="21"/>
              </w:rPr>
            </w:pPr>
          </w:p>
          <w:p w14:paraId="75036E4D">
            <w:pPr>
              <w:spacing w:line="257" w:lineRule="auto"/>
              <w:rPr>
                <w:rFonts w:ascii="Arial"/>
                <w:sz w:val="21"/>
              </w:rPr>
            </w:pPr>
          </w:p>
          <w:p w14:paraId="1846F9B9">
            <w:pPr>
              <w:spacing w:line="257" w:lineRule="auto"/>
              <w:rPr>
                <w:rFonts w:ascii="Arial"/>
                <w:sz w:val="21"/>
              </w:rPr>
            </w:pPr>
          </w:p>
          <w:p w14:paraId="487FFD71">
            <w:pPr>
              <w:pStyle w:val="32"/>
              <w:spacing w:before="78" w:line="219" w:lineRule="auto"/>
              <w:ind w:left="662"/>
            </w:pPr>
            <w:r>
              <w:rPr>
                <w:spacing w:val="-1"/>
              </w:rPr>
              <w:t>法定代表人/负责人签字</w:t>
            </w:r>
            <w:r>
              <w:rPr>
                <w:rFonts w:hint="eastAsia"/>
                <w:spacing w:val="-1"/>
                <w:lang w:val="en-US" w:eastAsia="zh-CN"/>
              </w:rPr>
              <w:t>并</w:t>
            </w:r>
            <w:r>
              <w:rPr>
                <w:spacing w:val="-1"/>
              </w:rPr>
              <w:t>盖章</w:t>
            </w:r>
          </w:p>
        </w:tc>
      </w:tr>
      <w:tr w14:paraId="1864B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9" w:hRule="atLeast"/>
        </w:trPr>
        <w:tc>
          <w:tcPr>
            <w:tcW w:w="4993" w:type="dxa"/>
            <w:gridSpan w:val="3"/>
            <w:vMerge w:val="continue"/>
            <w:tcBorders>
              <w:top w:val="nil"/>
            </w:tcBorders>
            <w:vAlign w:val="top"/>
          </w:tcPr>
          <w:p w14:paraId="13203C4F">
            <w:pPr>
              <w:rPr>
                <w:rFonts w:ascii="Arial"/>
                <w:sz w:val="21"/>
              </w:rPr>
            </w:pPr>
          </w:p>
        </w:tc>
        <w:tc>
          <w:tcPr>
            <w:tcW w:w="4551" w:type="dxa"/>
            <w:gridSpan w:val="3"/>
            <w:vAlign w:val="top"/>
          </w:tcPr>
          <w:p w14:paraId="6BEA5402">
            <w:pPr>
              <w:spacing w:line="242" w:lineRule="auto"/>
              <w:rPr>
                <w:rFonts w:ascii="Arial"/>
                <w:sz w:val="21"/>
              </w:rPr>
            </w:pPr>
          </w:p>
          <w:p w14:paraId="6361204E">
            <w:pPr>
              <w:spacing w:line="242" w:lineRule="auto"/>
              <w:rPr>
                <w:rFonts w:ascii="Arial"/>
                <w:sz w:val="21"/>
              </w:rPr>
            </w:pPr>
          </w:p>
          <w:p w14:paraId="7D0785DC">
            <w:pPr>
              <w:spacing w:line="243" w:lineRule="auto"/>
              <w:rPr>
                <w:rFonts w:ascii="Arial"/>
                <w:sz w:val="21"/>
              </w:rPr>
            </w:pPr>
          </w:p>
          <w:p w14:paraId="7742074C">
            <w:pPr>
              <w:spacing w:line="243" w:lineRule="auto"/>
              <w:rPr>
                <w:rFonts w:ascii="Arial"/>
                <w:sz w:val="21"/>
              </w:rPr>
            </w:pPr>
          </w:p>
          <w:p w14:paraId="091E63E6">
            <w:pPr>
              <w:pStyle w:val="32"/>
              <w:spacing w:before="78" w:line="219" w:lineRule="auto"/>
              <w:ind w:left="1812"/>
            </w:pPr>
            <w:r>
              <w:rPr>
                <w:spacing w:val="-6"/>
              </w:rPr>
              <w:t>（公章）</w:t>
            </w:r>
          </w:p>
          <w:p w14:paraId="298D2911">
            <w:pPr>
              <w:spacing w:line="304" w:lineRule="auto"/>
              <w:rPr>
                <w:rFonts w:ascii="Arial"/>
                <w:sz w:val="21"/>
              </w:rPr>
            </w:pPr>
          </w:p>
          <w:p w14:paraId="612BF467">
            <w:pPr>
              <w:spacing w:line="304" w:lineRule="auto"/>
              <w:rPr>
                <w:rFonts w:ascii="Arial"/>
                <w:sz w:val="21"/>
              </w:rPr>
            </w:pPr>
          </w:p>
          <w:p w14:paraId="231FE757">
            <w:pPr>
              <w:spacing w:line="305" w:lineRule="auto"/>
              <w:rPr>
                <w:rFonts w:ascii="Arial"/>
                <w:sz w:val="21"/>
              </w:rPr>
            </w:pPr>
          </w:p>
          <w:p w14:paraId="3BF86191">
            <w:pPr>
              <w:pStyle w:val="32"/>
              <w:spacing w:before="78" w:line="202" w:lineRule="auto"/>
              <w:ind w:left="3249"/>
            </w:pPr>
            <w:r>
              <w:rPr>
                <w:spacing w:val="-9"/>
              </w:rPr>
              <w:t>年</w:t>
            </w:r>
            <w:r>
              <w:rPr>
                <w:spacing w:val="7"/>
              </w:rPr>
              <w:t xml:space="preserve">  </w:t>
            </w:r>
            <w:r>
              <w:rPr>
                <w:spacing w:val="-9"/>
              </w:rPr>
              <w:t>月</w:t>
            </w:r>
            <w:r>
              <w:rPr>
                <w:spacing w:val="26"/>
              </w:rPr>
              <w:t xml:space="preserve">  </w:t>
            </w:r>
            <w:r>
              <w:rPr>
                <w:spacing w:val="-9"/>
              </w:rPr>
              <w:t>日</w:t>
            </w:r>
          </w:p>
        </w:tc>
      </w:tr>
    </w:tbl>
    <w:p w14:paraId="6BF4A4EF">
      <w:pPr>
        <w:pStyle w:val="4"/>
      </w:pPr>
    </w:p>
    <w:p w14:paraId="0C7C5DE5">
      <w:pPr>
        <w:sectPr>
          <w:footerReference r:id="rId22" w:type="default"/>
          <w:pgSz w:w="11906" w:h="16839"/>
          <w:pgMar w:top="1431" w:right="1178" w:bottom="1187" w:left="1178" w:header="0" w:footer="1023" w:gutter="0"/>
          <w:pgNumType w:fmt="decimal"/>
          <w:cols w:space="720" w:num="1"/>
        </w:sectPr>
      </w:pPr>
    </w:p>
    <w:p w14:paraId="229965A2">
      <w:pPr>
        <w:spacing w:before="60" w:line="227" w:lineRule="auto"/>
        <w:ind w:left="2765"/>
        <w:rPr>
          <w:rFonts w:ascii="宋体" w:hAnsi="宋体" w:eastAsia="宋体" w:cs="宋体"/>
          <w:sz w:val="20"/>
          <w:szCs w:val="20"/>
        </w:rPr>
      </w:pPr>
      <w:r>
        <w:rPr>
          <w:rFonts w:hint="eastAsia" w:ascii="宋体" w:hAnsi="宋体" w:eastAsia="宋体" w:cs="宋体"/>
          <w:b/>
          <w:bCs/>
          <w:spacing w:val="6"/>
          <w:sz w:val="20"/>
          <w:szCs w:val="20"/>
          <w:lang w:val="en-US" w:eastAsia="zh-CN"/>
        </w:rPr>
        <w:t>4</w:t>
      </w:r>
      <w:r>
        <w:rPr>
          <w:rFonts w:ascii="宋体" w:hAnsi="宋体" w:eastAsia="宋体" w:cs="宋体"/>
          <w:b/>
          <w:bCs/>
          <w:spacing w:val="6"/>
          <w:sz w:val="20"/>
          <w:szCs w:val="20"/>
        </w:rPr>
        <w:t>.2</w:t>
      </w:r>
      <w:r>
        <w:rPr>
          <w:rFonts w:ascii="宋体" w:hAnsi="宋体" w:eastAsia="宋体" w:cs="宋体"/>
          <w:spacing w:val="-35"/>
          <w:sz w:val="20"/>
          <w:szCs w:val="20"/>
        </w:rPr>
        <w:t xml:space="preserve"> </w:t>
      </w:r>
      <w:r>
        <w:rPr>
          <w:rFonts w:ascii="宋体" w:hAnsi="宋体" w:eastAsia="宋体" w:cs="宋体"/>
          <w:b/>
          <w:bCs/>
          <w:spacing w:val="6"/>
          <w:sz w:val="20"/>
          <w:szCs w:val="20"/>
        </w:rPr>
        <w:t>法定代表人/负责人授权委托书</w:t>
      </w:r>
    </w:p>
    <w:p w14:paraId="404634A9">
      <w:pPr>
        <w:spacing w:before="207" w:line="480" w:lineRule="auto"/>
        <w:ind w:left="219" w:right="210" w:firstLine="571"/>
        <w:jc w:val="both"/>
        <w:rPr>
          <w:rFonts w:ascii="宋体" w:hAnsi="宋体" w:eastAsia="宋体" w:cs="宋体"/>
          <w:sz w:val="24"/>
          <w:szCs w:val="24"/>
        </w:rPr>
      </w:pPr>
      <w:r>
        <w:rPr>
          <w:rFonts w:ascii="宋体" w:hAnsi="宋体" w:eastAsia="宋体" w:cs="宋体"/>
          <w:spacing w:val="-2"/>
          <w:sz w:val="24"/>
          <w:szCs w:val="24"/>
        </w:rPr>
        <w:t>本授权委托书声明：我</w:t>
      </w:r>
      <w:r>
        <w:rPr>
          <w:rFonts w:ascii="宋体" w:hAnsi="宋体" w:eastAsia="宋体" w:cs="宋体"/>
          <w:spacing w:val="-2"/>
          <w:sz w:val="24"/>
          <w:szCs w:val="24"/>
          <w:u w:val="single" w:color="auto"/>
        </w:rPr>
        <w:t>（法定代表人/负责人姓名）</w:t>
      </w:r>
      <w:r>
        <w:rPr>
          <w:rFonts w:ascii="宋体" w:hAnsi="宋体" w:eastAsia="宋体" w:cs="宋体"/>
          <w:spacing w:val="-2"/>
          <w:sz w:val="24"/>
          <w:szCs w:val="24"/>
        </w:rPr>
        <w:t>系注册于</w:t>
      </w:r>
      <w:r>
        <w:rPr>
          <w:rFonts w:ascii="宋体" w:hAnsi="宋体" w:eastAsia="宋体" w:cs="宋体"/>
          <w:spacing w:val="110"/>
          <w:sz w:val="24"/>
          <w:szCs w:val="24"/>
          <w:u w:val="single" w:color="auto"/>
        </w:rPr>
        <w:t xml:space="preserve"> </w:t>
      </w:r>
      <w:r>
        <w:rPr>
          <w:rFonts w:ascii="宋体" w:hAnsi="宋体" w:eastAsia="宋体" w:cs="宋体"/>
          <w:spacing w:val="-2"/>
          <w:sz w:val="24"/>
          <w:szCs w:val="24"/>
          <w:u w:val="single" w:color="auto"/>
        </w:rPr>
        <w:t>（供应商地</w:t>
      </w:r>
      <w:r>
        <w:rPr>
          <w:rFonts w:ascii="宋体" w:hAnsi="宋体" w:eastAsia="宋体" w:cs="宋体"/>
          <w:sz w:val="24"/>
          <w:szCs w:val="24"/>
        </w:rPr>
        <w:t xml:space="preserve"> </w:t>
      </w:r>
      <w:r>
        <w:rPr>
          <w:rFonts w:ascii="宋体" w:hAnsi="宋体" w:eastAsia="宋体" w:cs="宋体"/>
          <w:spacing w:val="-4"/>
          <w:sz w:val="24"/>
          <w:szCs w:val="24"/>
          <w:u w:val="single" w:color="auto"/>
        </w:rPr>
        <w:t>址）</w:t>
      </w:r>
      <w:r>
        <w:rPr>
          <w:rFonts w:ascii="宋体" w:hAnsi="宋体" w:eastAsia="宋体" w:cs="宋体"/>
          <w:spacing w:val="9"/>
          <w:sz w:val="24"/>
          <w:szCs w:val="24"/>
          <w:u w:val="single" w:color="auto"/>
        </w:rPr>
        <w:t xml:space="preserve">          </w:t>
      </w:r>
      <w:r>
        <w:rPr>
          <w:rFonts w:ascii="宋体" w:hAnsi="宋体" w:eastAsia="宋体" w:cs="宋体"/>
          <w:spacing w:val="-82"/>
          <w:sz w:val="24"/>
          <w:szCs w:val="24"/>
        </w:rPr>
        <w:t xml:space="preserve"> </w:t>
      </w:r>
      <w:r>
        <w:rPr>
          <w:rFonts w:ascii="宋体" w:hAnsi="宋体" w:eastAsia="宋体" w:cs="宋体"/>
          <w:spacing w:val="-4"/>
          <w:sz w:val="24"/>
          <w:szCs w:val="24"/>
        </w:rPr>
        <w:t>的</w:t>
      </w:r>
      <w:r>
        <w:rPr>
          <w:rFonts w:ascii="宋体" w:hAnsi="宋体" w:eastAsia="宋体" w:cs="宋体"/>
          <w:spacing w:val="-4"/>
          <w:sz w:val="24"/>
          <w:szCs w:val="24"/>
          <w:u w:val="single" w:color="auto"/>
        </w:rPr>
        <w:t>（供应商名称）</w:t>
      </w:r>
      <w:r>
        <w:rPr>
          <w:rFonts w:ascii="宋体" w:hAnsi="宋体" w:eastAsia="宋体" w:cs="宋体"/>
          <w:spacing w:val="96"/>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4"/>
          <w:sz w:val="24"/>
          <w:szCs w:val="24"/>
        </w:rPr>
        <w:t>的法定代表人/负责人，现代表公司授权下</w:t>
      </w:r>
      <w:r>
        <w:rPr>
          <w:rFonts w:ascii="宋体" w:hAnsi="宋体" w:eastAsia="宋体" w:cs="宋体"/>
          <w:sz w:val="24"/>
          <w:szCs w:val="24"/>
        </w:rPr>
        <w:t xml:space="preserve"> </w:t>
      </w:r>
      <w:r>
        <w:rPr>
          <w:rFonts w:ascii="宋体" w:hAnsi="宋体" w:eastAsia="宋体" w:cs="宋体"/>
          <w:spacing w:val="-8"/>
          <w:sz w:val="24"/>
          <w:szCs w:val="24"/>
        </w:rPr>
        <w:t>面签字的</w:t>
      </w:r>
      <w:r>
        <w:rPr>
          <w:rFonts w:ascii="宋体" w:hAnsi="宋体" w:eastAsia="宋体" w:cs="宋体"/>
          <w:spacing w:val="-8"/>
          <w:sz w:val="24"/>
          <w:szCs w:val="24"/>
          <w:u w:val="single" w:color="auto"/>
        </w:rPr>
        <w:t>（被授权人的姓名、职务）</w:t>
      </w:r>
      <w:r>
        <w:rPr>
          <w:rFonts w:ascii="宋体" w:hAnsi="宋体" w:eastAsia="宋体" w:cs="宋体"/>
          <w:spacing w:val="-8"/>
          <w:sz w:val="24"/>
          <w:szCs w:val="24"/>
        </w:rPr>
        <w:t>为我公司合法代理人，代表</w:t>
      </w:r>
      <w:r>
        <w:rPr>
          <w:rFonts w:ascii="宋体" w:hAnsi="宋体" w:eastAsia="宋体" w:cs="宋体"/>
          <w:spacing w:val="-9"/>
          <w:sz w:val="24"/>
          <w:szCs w:val="24"/>
        </w:rPr>
        <w:t>本公司参加</w:t>
      </w:r>
      <w:r>
        <w:rPr>
          <w:rFonts w:ascii="宋体" w:hAnsi="宋体" w:eastAsia="宋体" w:cs="宋体"/>
          <w:spacing w:val="64"/>
          <w:sz w:val="24"/>
          <w:szCs w:val="24"/>
          <w:u w:val="single" w:color="auto"/>
        </w:rPr>
        <w:t xml:space="preserve"> </w:t>
      </w:r>
      <w:r>
        <w:rPr>
          <w:rFonts w:ascii="宋体" w:hAnsi="宋体" w:eastAsia="宋体" w:cs="宋体"/>
          <w:spacing w:val="-9"/>
          <w:sz w:val="24"/>
          <w:szCs w:val="24"/>
          <w:u w:val="single" w:color="auto"/>
        </w:rPr>
        <w:t>（采</w:t>
      </w:r>
      <w:r>
        <w:rPr>
          <w:rFonts w:ascii="宋体" w:hAnsi="宋体" w:eastAsia="宋体" w:cs="宋体"/>
          <w:sz w:val="24"/>
          <w:szCs w:val="24"/>
        </w:rPr>
        <w:t xml:space="preserve"> </w:t>
      </w:r>
      <w:r>
        <w:rPr>
          <w:rFonts w:ascii="宋体" w:hAnsi="宋体" w:eastAsia="宋体" w:cs="宋体"/>
          <w:spacing w:val="-2"/>
          <w:sz w:val="24"/>
          <w:szCs w:val="24"/>
          <w:u w:val="single" w:color="auto"/>
        </w:rPr>
        <w:t>购项目名称）</w:t>
      </w:r>
      <w:r>
        <w:rPr>
          <w:rFonts w:ascii="宋体" w:hAnsi="宋体" w:eastAsia="宋体" w:cs="宋体"/>
          <w:spacing w:val="67"/>
          <w:sz w:val="24"/>
          <w:szCs w:val="24"/>
          <w:u w:val="single" w:color="auto"/>
        </w:rPr>
        <w:t xml:space="preserve"> </w:t>
      </w:r>
      <w:r>
        <w:rPr>
          <w:rFonts w:ascii="宋体" w:hAnsi="宋体" w:eastAsia="宋体" w:cs="宋体"/>
          <w:spacing w:val="-2"/>
          <w:sz w:val="24"/>
          <w:szCs w:val="24"/>
          <w:u w:val="single" w:color="auto"/>
        </w:rPr>
        <w:t>(</w:t>
      </w:r>
      <w:r>
        <w:rPr>
          <w:rFonts w:ascii="宋体" w:hAnsi="宋体" w:eastAsia="宋体" w:cs="宋体"/>
          <w:spacing w:val="-2"/>
          <w:sz w:val="24"/>
          <w:szCs w:val="24"/>
        </w:rPr>
        <w:t>采购项目编号)为</w:t>
      </w:r>
      <w:r>
        <w:rPr>
          <w:rFonts w:ascii="宋体" w:hAnsi="宋体" w:eastAsia="宋体" w:cs="宋体"/>
          <w:spacing w:val="-2"/>
          <w:sz w:val="24"/>
          <w:szCs w:val="24"/>
          <w:u w:val="single" w:color="auto"/>
        </w:rPr>
        <w:t xml:space="preserve">             </w:t>
      </w:r>
      <w:r>
        <w:rPr>
          <w:rFonts w:ascii="宋体" w:hAnsi="宋体" w:eastAsia="宋体" w:cs="宋体"/>
          <w:spacing w:val="30"/>
          <w:sz w:val="24"/>
          <w:szCs w:val="24"/>
        </w:rPr>
        <w:t xml:space="preserve"> </w:t>
      </w:r>
      <w:r>
        <w:rPr>
          <w:rFonts w:ascii="宋体" w:hAnsi="宋体" w:eastAsia="宋体" w:cs="宋体"/>
          <w:spacing w:val="-2"/>
          <w:sz w:val="24"/>
          <w:szCs w:val="24"/>
        </w:rPr>
        <w:t>的谈判活动。代理人在本次谈</w:t>
      </w:r>
      <w:r>
        <w:rPr>
          <w:rFonts w:ascii="宋体" w:hAnsi="宋体" w:eastAsia="宋体" w:cs="宋体"/>
          <w:sz w:val="24"/>
          <w:szCs w:val="24"/>
        </w:rPr>
        <w:t xml:space="preserve"> 判中所签署的一切文件和处理的一切有关事物</w:t>
      </w:r>
      <w:r>
        <w:rPr>
          <w:rFonts w:ascii="宋体" w:hAnsi="宋体" w:eastAsia="宋体" w:cs="宋体"/>
          <w:spacing w:val="-1"/>
          <w:sz w:val="24"/>
          <w:szCs w:val="24"/>
        </w:rPr>
        <w:t>，我公司均予承认。</w:t>
      </w:r>
    </w:p>
    <w:p w14:paraId="138C3FD6">
      <w:pPr>
        <w:spacing w:before="1" w:line="449" w:lineRule="auto"/>
        <w:ind w:left="225" w:right="212" w:firstLine="476"/>
        <w:rPr>
          <w:rFonts w:ascii="宋体" w:hAnsi="宋体" w:eastAsia="宋体" w:cs="宋体"/>
          <w:sz w:val="24"/>
          <w:szCs w:val="24"/>
        </w:rPr>
      </w:pPr>
      <w:r>
        <w:rPr>
          <w:rFonts w:ascii="宋体" w:hAnsi="宋体" w:eastAsia="宋体" w:cs="宋体"/>
          <w:spacing w:val="-5"/>
          <w:sz w:val="24"/>
          <w:szCs w:val="24"/>
        </w:rPr>
        <w:t xml:space="preserve">本授权书于 </w:t>
      </w:r>
      <w:r>
        <w:rPr>
          <w:rFonts w:ascii="宋体" w:hAnsi="宋体" w:eastAsia="宋体" w:cs="宋体"/>
          <w:spacing w:val="-5"/>
          <w:sz w:val="24"/>
          <w:szCs w:val="24"/>
          <w:u w:val="single" w:color="auto"/>
        </w:rPr>
        <w:t xml:space="preserve">     </w:t>
      </w:r>
      <w:r>
        <w:rPr>
          <w:rFonts w:ascii="宋体" w:hAnsi="宋体" w:eastAsia="宋体" w:cs="宋体"/>
          <w:spacing w:val="-94"/>
          <w:sz w:val="24"/>
          <w:szCs w:val="24"/>
        </w:rPr>
        <w:t xml:space="preserve"> </w:t>
      </w:r>
      <w:r>
        <w:rPr>
          <w:rFonts w:ascii="宋体" w:hAnsi="宋体" w:eastAsia="宋体" w:cs="宋体"/>
          <w:spacing w:val="-5"/>
          <w:sz w:val="24"/>
          <w:szCs w:val="24"/>
        </w:rPr>
        <w:t>年</w:t>
      </w:r>
      <w:r>
        <w:rPr>
          <w:rFonts w:ascii="宋体" w:hAnsi="宋体" w:eastAsia="宋体" w:cs="宋体"/>
          <w:spacing w:val="-5"/>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5"/>
          <w:sz w:val="24"/>
          <w:szCs w:val="24"/>
        </w:rPr>
        <w:t>月</w:t>
      </w:r>
      <w:r>
        <w:rPr>
          <w:rFonts w:ascii="宋体" w:hAnsi="宋体" w:eastAsia="宋体" w:cs="宋体"/>
          <w:spacing w:val="-5"/>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5"/>
          <w:sz w:val="24"/>
          <w:szCs w:val="24"/>
        </w:rPr>
        <w:t>日签字（盖章）生效，有效期自谈判之日起</w:t>
      </w:r>
      <w:bookmarkStart w:id="129" w:name="_GoBack"/>
      <w:bookmarkEnd w:id="129"/>
      <w:r>
        <w:rPr>
          <w:rFonts w:ascii="宋体" w:hAnsi="宋体" w:eastAsia="宋体" w:cs="宋体"/>
          <w:spacing w:val="-2"/>
          <w:sz w:val="24"/>
          <w:szCs w:val="24"/>
        </w:rPr>
        <w:t>天（等同于投标有效期</w:t>
      </w:r>
      <w:r>
        <w:rPr>
          <w:rFonts w:ascii="宋体" w:hAnsi="宋体" w:eastAsia="宋体" w:cs="宋体"/>
          <w:spacing w:val="-53"/>
          <w:sz w:val="24"/>
          <w:szCs w:val="24"/>
        </w:rPr>
        <w:t>），</w:t>
      </w:r>
      <w:r>
        <w:rPr>
          <w:rFonts w:ascii="宋体" w:hAnsi="宋体" w:eastAsia="宋体" w:cs="宋体"/>
          <w:spacing w:val="-2"/>
          <w:sz w:val="24"/>
          <w:szCs w:val="24"/>
        </w:rPr>
        <w:t>特此声明。</w:t>
      </w:r>
    </w:p>
    <w:p w14:paraId="7ADC1482">
      <w:pPr>
        <w:spacing w:line="316" w:lineRule="auto"/>
        <w:ind w:left="224" w:right="210" w:firstLine="495"/>
        <w:rPr>
          <w:rFonts w:ascii="宋体" w:hAnsi="宋体" w:eastAsia="宋体" w:cs="宋体"/>
          <w:sz w:val="24"/>
          <w:szCs w:val="24"/>
        </w:rPr>
      </w:pPr>
      <w:r>
        <w:rPr>
          <w:rFonts w:ascii="宋体" w:hAnsi="宋体" w:eastAsia="宋体" w:cs="宋体"/>
          <w:spacing w:val="-7"/>
          <w:sz w:val="24"/>
          <w:szCs w:val="24"/>
        </w:rPr>
        <w:t>附：法定代表人/负责人、被授权人身份证复印件。（  注：此授权书的有效</w:t>
      </w:r>
      <w:r>
        <w:rPr>
          <w:rFonts w:ascii="宋体" w:hAnsi="宋体" w:eastAsia="宋体" w:cs="宋体"/>
          <w:spacing w:val="2"/>
          <w:sz w:val="24"/>
          <w:szCs w:val="24"/>
        </w:rPr>
        <w:t xml:space="preserve"> </w:t>
      </w:r>
      <w:r>
        <w:rPr>
          <w:rFonts w:ascii="宋体" w:hAnsi="宋体" w:eastAsia="宋体" w:cs="宋体"/>
          <w:spacing w:val="-3"/>
          <w:sz w:val="24"/>
          <w:szCs w:val="24"/>
        </w:rPr>
        <w:t>期应与投标文件有效期一致。身份证正反面复印件必须依次加盖单位鲜章。）</w:t>
      </w:r>
    </w:p>
    <w:tbl>
      <w:tblPr>
        <w:tblStyle w:val="31"/>
        <w:tblW w:w="87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24"/>
        <w:gridCol w:w="4399"/>
      </w:tblGrid>
      <w:tr w14:paraId="1A6A8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0" w:hRule="atLeast"/>
        </w:trPr>
        <w:tc>
          <w:tcPr>
            <w:tcW w:w="4324" w:type="dxa"/>
            <w:vAlign w:val="top"/>
          </w:tcPr>
          <w:p w14:paraId="2F454E9E">
            <w:pPr>
              <w:spacing w:line="292" w:lineRule="auto"/>
              <w:rPr>
                <w:rFonts w:ascii="Arial"/>
                <w:sz w:val="21"/>
              </w:rPr>
            </w:pPr>
          </w:p>
          <w:p w14:paraId="68D44111">
            <w:pPr>
              <w:spacing w:line="293" w:lineRule="auto"/>
              <w:rPr>
                <w:rFonts w:ascii="Arial"/>
                <w:sz w:val="21"/>
              </w:rPr>
            </w:pPr>
          </w:p>
          <w:p w14:paraId="5F19B447">
            <w:pPr>
              <w:spacing w:line="293" w:lineRule="auto"/>
              <w:rPr>
                <w:rFonts w:ascii="Arial"/>
                <w:sz w:val="21"/>
              </w:rPr>
            </w:pPr>
          </w:p>
          <w:p w14:paraId="54323C74">
            <w:pPr>
              <w:spacing w:line="293" w:lineRule="auto"/>
              <w:rPr>
                <w:rFonts w:ascii="Arial"/>
                <w:sz w:val="21"/>
              </w:rPr>
            </w:pPr>
          </w:p>
          <w:p w14:paraId="243FF4A4">
            <w:pPr>
              <w:pStyle w:val="32"/>
              <w:spacing w:before="78" w:line="219" w:lineRule="auto"/>
              <w:ind w:left="430"/>
            </w:pPr>
            <w:r>
              <w:rPr>
                <w:spacing w:val="-1"/>
              </w:rPr>
              <w:t>法定代表人/负责人身份证复印件</w:t>
            </w:r>
          </w:p>
        </w:tc>
        <w:tc>
          <w:tcPr>
            <w:tcW w:w="4399" w:type="dxa"/>
            <w:vAlign w:val="top"/>
          </w:tcPr>
          <w:p w14:paraId="7A54238A">
            <w:pPr>
              <w:spacing w:line="292" w:lineRule="auto"/>
              <w:rPr>
                <w:rFonts w:ascii="Arial"/>
                <w:sz w:val="21"/>
              </w:rPr>
            </w:pPr>
          </w:p>
          <w:p w14:paraId="761B6D60">
            <w:pPr>
              <w:spacing w:line="293" w:lineRule="auto"/>
              <w:rPr>
                <w:rFonts w:ascii="Arial"/>
                <w:sz w:val="21"/>
              </w:rPr>
            </w:pPr>
          </w:p>
          <w:p w14:paraId="2947E447">
            <w:pPr>
              <w:spacing w:line="293" w:lineRule="auto"/>
              <w:rPr>
                <w:rFonts w:ascii="Arial"/>
                <w:sz w:val="21"/>
              </w:rPr>
            </w:pPr>
          </w:p>
          <w:p w14:paraId="10C305E8">
            <w:pPr>
              <w:spacing w:line="293" w:lineRule="auto"/>
              <w:rPr>
                <w:rFonts w:ascii="Arial"/>
                <w:sz w:val="21"/>
              </w:rPr>
            </w:pPr>
          </w:p>
          <w:p w14:paraId="4A2CDBA5">
            <w:pPr>
              <w:pStyle w:val="32"/>
              <w:spacing w:before="78" w:line="219" w:lineRule="auto"/>
              <w:ind w:left="1004"/>
            </w:pPr>
            <w:r>
              <w:rPr>
                <w:spacing w:val="-1"/>
              </w:rPr>
              <w:t>被授权人身份证复印件</w:t>
            </w:r>
          </w:p>
        </w:tc>
      </w:tr>
      <w:tr w14:paraId="09F31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2" w:hRule="atLeast"/>
        </w:trPr>
        <w:tc>
          <w:tcPr>
            <w:tcW w:w="4324" w:type="dxa"/>
            <w:vAlign w:val="top"/>
          </w:tcPr>
          <w:p w14:paraId="27EF2002">
            <w:pPr>
              <w:spacing w:line="291" w:lineRule="auto"/>
              <w:rPr>
                <w:rFonts w:ascii="Arial"/>
                <w:sz w:val="21"/>
              </w:rPr>
            </w:pPr>
          </w:p>
          <w:p w14:paraId="4C4C01C0">
            <w:pPr>
              <w:spacing w:line="291" w:lineRule="auto"/>
              <w:rPr>
                <w:rFonts w:ascii="Arial"/>
                <w:sz w:val="21"/>
              </w:rPr>
            </w:pPr>
          </w:p>
          <w:p w14:paraId="7B3C792B">
            <w:pPr>
              <w:spacing w:line="291" w:lineRule="auto"/>
              <w:rPr>
                <w:rFonts w:ascii="Arial"/>
                <w:sz w:val="21"/>
              </w:rPr>
            </w:pPr>
          </w:p>
          <w:p w14:paraId="59541924">
            <w:pPr>
              <w:pStyle w:val="32"/>
              <w:spacing w:before="78" w:line="219" w:lineRule="auto"/>
              <w:ind w:left="430"/>
            </w:pPr>
            <w:r>
              <w:rPr>
                <w:spacing w:val="-1"/>
              </w:rPr>
              <w:t>法定代表人/负责人身份证复印件</w:t>
            </w:r>
          </w:p>
        </w:tc>
        <w:tc>
          <w:tcPr>
            <w:tcW w:w="4399" w:type="dxa"/>
            <w:vAlign w:val="top"/>
          </w:tcPr>
          <w:p w14:paraId="62F5CA5D">
            <w:pPr>
              <w:spacing w:line="291" w:lineRule="auto"/>
              <w:rPr>
                <w:rFonts w:ascii="Arial"/>
                <w:sz w:val="21"/>
              </w:rPr>
            </w:pPr>
          </w:p>
          <w:p w14:paraId="5F1C6159">
            <w:pPr>
              <w:spacing w:line="291" w:lineRule="auto"/>
              <w:rPr>
                <w:rFonts w:ascii="Arial"/>
                <w:sz w:val="21"/>
              </w:rPr>
            </w:pPr>
          </w:p>
          <w:p w14:paraId="2D7ABD36">
            <w:pPr>
              <w:spacing w:line="291" w:lineRule="auto"/>
              <w:rPr>
                <w:rFonts w:ascii="Arial"/>
                <w:sz w:val="21"/>
              </w:rPr>
            </w:pPr>
          </w:p>
          <w:p w14:paraId="7AC0556E">
            <w:pPr>
              <w:pStyle w:val="32"/>
              <w:spacing w:before="78" w:line="219" w:lineRule="auto"/>
              <w:ind w:left="1004"/>
            </w:pPr>
            <w:r>
              <w:rPr>
                <w:spacing w:val="-1"/>
              </w:rPr>
              <w:t>被授权人身份证复印件</w:t>
            </w:r>
          </w:p>
        </w:tc>
      </w:tr>
    </w:tbl>
    <w:p w14:paraId="4EC623B1">
      <w:pPr>
        <w:pStyle w:val="4"/>
        <w:spacing w:line="241" w:lineRule="auto"/>
      </w:pPr>
    </w:p>
    <w:p w14:paraId="17CA1028">
      <w:pPr>
        <w:pStyle w:val="4"/>
        <w:spacing w:line="241" w:lineRule="auto"/>
      </w:pPr>
    </w:p>
    <w:p w14:paraId="4D91AE91">
      <w:pPr>
        <w:pStyle w:val="4"/>
        <w:spacing w:line="241" w:lineRule="auto"/>
      </w:pPr>
    </w:p>
    <w:p w14:paraId="34501AD6">
      <w:pPr>
        <w:pStyle w:val="4"/>
        <w:spacing w:line="242" w:lineRule="auto"/>
      </w:pPr>
    </w:p>
    <w:p w14:paraId="796495EE">
      <w:pPr>
        <w:spacing w:before="78" w:line="219" w:lineRule="auto"/>
        <w:ind w:left="3581"/>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42"/>
          <w:w w:val="65"/>
          <w:sz w:val="24"/>
          <w:szCs w:val="24"/>
        </w:rPr>
        <w:t>：</w:t>
      </w:r>
      <w:r>
        <w:rPr>
          <w:rFonts w:ascii="宋体" w:hAnsi="宋体" w:eastAsia="宋体" w:cs="宋体"/>
          <w:sz w:val="24"/>
          <w:szCs w:val="24"/>
          <w:u w:val="single" w:color="auto"/>
        </w:rPr>
        <w:t xml:space="preserve">                            </w:t>
      </w:r>
      <w:r>
        <w:rPr>
          <w:rFonts w:ascii="宋体" w:hAnsi="宋体" w:eastAsia="宋体" w:cs="宋体"/>
          <w:spacing w:val="-42"/>
          <w:w w:val="65"/>
          <w:sz w:val="24"/>
          <w:szCs w:val="24"/>
        </w:rPr>
        <w:t>（</w:t>
      </w:r>
      <w:r>
        <w:rPr>
          <w:rFonts w:ascii="宋体" w:hAnsi="宋体" w:eastAsia="宋体" w:cs="宋体"/>
          <w:spacing w:val="4"/>
          <w:sz w:val="24"/>
          <w:szCs w:val="24"/>
        </w:rPr>
        <w:t>公章）</w:t>
      </w:r>
    </w:p>
    <w:p w14:paraId="52F1F58D">
      <w:pPr>
        <w:spacing w:before="184" w:line="219" w:lineRule="auto"/>
        <w:ind w:left="3582"/>
        <w:rPr>
          <w:rFonts w:ascii="宋体" w:hAnsi="宋体" w:eastAsia="宋体" w:cs="宋体"/>
          <w:sz w:val="24"/>
          <w:szCs w:val="24"/>
        </w:rPr>
      </w:pPr>
      <w:r>
        <w:rPr>
          <w:rFonts w:ascii="宋体" w:hAnsi="宋体" w:eastAsia="宋体" w:cs="宋体"/>
          <w:spacing w:val="-1"/>
          <w:sz w:val="24"/>
          <w:szCs w:val="24"/>
        </w:rPr>
        <w:t>法定代表人/负责人（签字并盖章</w:t>
      </w:r>
      <w:r>
        <w:rPr>
          <w:rFonts w:ascii="宋体" w:hAnsi="宋体" w:eastAsia="宋体" w:cs="宋体"/>
          <w:spacing w:val="-59"/>
          <w:sz w:val="24"/>
          <w:szCs w:val="24"/>
        </w:rPr>
        <w:t>）：</w:t>
      </w:r>
      <w:r>
        <w:rPr>
          <w:rFonts w:ascii="宋体" w:hAnsi="宋体" w:eastAsia="宋体" w:cs="宋体"/>
          <w:sz w:val="24"/>
          <w:szCs w:val="24"/>
          <w:u w:val="single" w:color="auto"/>
        </w:rPr>
        <w:t xml:space="preserve">          </w:t>
      </w:r>
    </w:p>
    <w:p w14:paraId="5229FBB7">
      <w:pPr>
        <w:spacing w:before="184" w:line="219" w:lineRule="auto"/>
        <w:ind w:left="3581"/>
        <w:rPr>
          <w:rFonts w:ascii="宋体" w:hAnsi="宋体" w:eastAsia="宋体" w:cs="宋体"/>
          <w:sz w:val="24"/>
          <w:szCs w:val="24"/>
        </w:rPr>
      </w:pPr>
      <w:r>
        <w:rPr>
          <w:rFonts w:ascii="宋体" w:hAnsi="宋体" w:eastAsia="宋体" w:cs="宋体"/>
          <w:spacing w:val="-2"/>
          <w:sz w:val="24"/>
          <w:szCs w:val="24"/>
        </w:rPr>
        <w:t>被授权代表（签字</w:t>
      </w:r>
      <w:r>
        <w:rPr>
          <w:rFonts w:ascii="宋体" w:hAnsi="宋体" w:eastAsia="宋体" w:cs="宋体"/>
          <w:spacing w:val="-63"/>
          <w:w w:val="99"/>
          <w:sz w:val="24"/>
          <w:szCs w:val="24"/>
        </w:rPr>
        <w:t>）：</w:t>
      </w:r>
      <w:r>
        <w:rPr>
          <w:rFonts w:ascii="宋体" w:hAnsi="宋体" w:eastAsia="宋体" w:cs="宋体"/>
          <w:spacing w:val="16"/>
          <w:sz w:val="24"/>
          <w:szCs w:val="24"/>
        </w:rPr>
        <w:t xml:space="preserve"> </w:t>
      </w:r>
      <w:r>
        <w:rPr>
          <w:rFonts w:ascii="宋体" w:hAnsi="宋体" w:eastAsia="宋体" w:cs="宋体"/>
          <w:sz w:val="24"/>
          <w:szCs w:val="24"/>
          <w:u w:val="single" w:color="auto"/>
        </w:rPr>
        <w:t xml:space="preserve">                      </w:t>
      </w:r>
    </w:p>
    <w:p w14:paraId="10208B8F">
      <w:pPr>
        <w:spacing w:line="219" w:lineRule="auto"/>
        <w:rPr>
          <w:rFonts w:ascii="宋体" w:hAnsi="宋体" w:eastAsia="宋体" w:cs="宋体"/>
          <w:sz w:val="24"/>
          <w:szCs w:val="24"/>
        </w:rPr>
        <w:sectPr>
          <w:footerReference r:id="rId23" w:type="default"/>
          <w:pgSz w:w="11906" w:h="16839"/>
          <w:pgMar w:top="1431" w:right="1589" w:bottom="1186" w:left="1588" w:header="0" w:footer="1023" w:gutter="0"/>
          <w:pgNumType w:fmt="decimal"/>
          <w:cols w:space="720" w:num="1"/>
        </w:sectPr>
      </w:pPr>
    </w:p>
    <w:p w14:paraId="25B494EC">
      <w:pPr>
        <w:spacing w:before="60" w:line="227" w:lineRule="auto"/>
        <w:ind w:left="2765"/>
        <w:rPr>
          <w:rFonts w:hint="eastAsia" w:ascii="宋体" w:hAnsi="宋体" w:eastAsia="宋体" w:cs="宋体"/>
          <w:b/>
          <w:bCs/>
          <w:spacing w:val="6"/>
          <w:sz w:val="20"/>
          <w:szCs w:val="20"/>
        </w:rPr>
      </w:pPr>
      <w:bookmarkStart w:id="105" w:name="_Toc957"/>
      <w:r>
        <w:rPr>
          <w:rFonts w:hint="eastAsia" w:ascii="宋体" w:hAnsi="宋体" w:eastAsia="宋体" w:cs="宋体"/>
          <w:b/>
          <w:bCs/>
          <w:spacing w:val="6"/>
          <w:sz w:val="20"/>
          <w:szCs w:val="20"/>
          <w:lang w:val="en-US" w:eastAsia="zh-CN"/>
        </w:rPr>
        <w:t>4.3</w:t>
      </w:r>
      <w:r>
        <w:rPr>
          <w:rFonts w:hint="eastAsia" w:ascii="宋体" w:hAnsi="宋体" w:eastAsia="宋体" w:cs="宋体"/>
          <w:b/>
          <w:bCs/>
          <w:spacing w:val="6"/>
          <w:sz w:val="20"/>
          <w:szCs w:val="20"/>
        </w:rPr>
        <w:t>、</w:t>
      </w:r>
      <w:r>
        <w:rPr>
          <w:rFonts w:hint="eastAsia" w:ascii="宋体" w:hAnsi="宋体" w:eastAsia="宋体" w:cs="宋体"/>
          <w:b/>
          <w:bCs/>
          <w:spacing w:val="6"/>
          <w:sz w:val="20"/>
          <w:szCs w:val="20"/>
          <w:lang w:val="zh-CN"/>
        </w:rPr>
        <w:t>企业控股关联关系</w:t>
      </w:r>
      <w:r>
        <w:rPr>
          <w:rFonts w:hint="eastAsia" w:ascii="宋体" w:hAnsi="宋体" w:eastAsia="宋体" w:cs="宋体"/>
          <w:b/>
          <w:bCs/>
          <w:spacing w:val="6"/>
          <w:sz w:val="20"/>
          <w:szCs w:val="20"/>
        </w:rPr>
        <w:t>说明</w:t>
      </w:r>
    </w:p>
    <w:p w14:paraId="4DA0E4AD">
      <w:pPr>
        <w:spacing w:before="60" w:line="227" w:lineRule="auto"/>
        <w:ind w:left="2765"/>
        <w:rPr>
          <w:rFonts w:hint="eastAsia" w:ascii="宋体" w:hAnsi="宋体" w:eastAsia="宋体" w:cs="宋体"/>
          <w:b/>
          <w:bCs/>
          <w:spacing w:val="6"/>
          <w:sz w:val="20"/>
          <w:szCs w:val="20"/>
        </w:rPr>
      </w:pPr>
    </w:p>
    <w:p w14:paraId="2886B26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供应商</w:t>
      </w:r>
      <w:r>
        <w:rPr>
          <w:rFonts w:hint="eastAsia" w:ascii="宋体" w:hAnsi="宋体" w:eastAsia="宋体" w:cs="宋体"/>
          <w:sz w:val="24"/>
          <w:szCs w:val="24"/>
        </w:rPr>
        <w:t>在本项目投标活动中，不存在与其它参与投标的</w:t>
      </w:r>
      <w:r>
        <w:rPr>
          <w:rFonts w:hint="eastAsia" w:ascii="宋体" w:hAnsi="宋体" w:eastAsia="宋体" w:cs="宋体"/>
          <w:sz w:val="24"/>
          <w:szCs w:val="24"/>
          <w:lang w:eastAsia="zh-CN"/>
        </w:rPr>
        <w:t>供应商</w:t>
      </w:r>
      <w:r>
        <w:rPr>
          <w:rFonts w:hint="eastAsia" w:ascii="宋体" w:hAnsi="宋体" w:eastAsia="宋体" w:cs="宋体"/>
          <w:sz w:val="24"/>
          <w:szCs w:val="24"/>
        </w:rPr>
        <w:t>负责人为同一人，有控股、管理等关联关系承诺：</w:t>
      </w:r>
    </w:p>
    <w:p w14:paraId="0D97D2F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bookmarkStart w:id="106" w:name="_Toc16856"/>
      <w:r>
        <w:rPr>
          <w:rFonts w:hint="eastAsia" w:ascii="宋体" w:hAnsi="宋体" w:eastAsia="宋体" w:cs="宋体"/>
          <w:sz w:val="24"/>
          <w:szCs w:val="24"/>
        </w:rPr>
        <w:t>1.1管理关系说明：</w:t>
      </w:r>
      <w:bookmarkEnd w:id="106"/>
    </w:p>
    <w:p w14:paraId="30173CA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我单位管理的具有独立法人的下属单位有：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3BC1D0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我单位的上级管理单位有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C11079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bookmarkStart w:id="107" w:name="_Toc12117"/>
      <w:r>
        <w:rPr>
          <w:rFonts w:hint="eastAsia" w:ascii="宋体" w:hAnsi="宋体" w:eastAsia="宋体" w:cs="宋体"/>
          <w:sz w:val="24"/>
          <w:szCs w:val="24"/>
        </w:rPr>
        <w:t>1.2股权关系说明：</w:t>
      </w:r>
      <w:bookmarkEnd w:id="107"/>
    </w:p>
    <w:p w14:paraId="59D3280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我单位控股的单位有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42C3DE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我单位被</w:t>
      </w:r>
      <w:r>
        <w:rPr>
          <w:rFonts w:hint="eastAsia" w:ascii="宋体" w:hAnsi="宋体" w:eastAsia="宋体" w:cs="宋体"/>
          <w:sz w:val="24"/>
          <w:szCs w:val="24"/>
          <w:u w:val="single"/>
        </w:rPr>
        <w:t xml:space="preserve">             </w:t>
      </w:r>
      <w:r>
        <w:rPr>
          <w:rFonts w:hint="eastAsia" w:ascii="宋体" w:hAnsi="宋体" w:eastAsia="宋体" w:cs="宋体"/>
          <w:sz w:val="24"/>
          <w:szCs w:val="24"/>
        </w:rPr>
        <w:t>单位控股。</w:t>
      </w:r>
    </w:p>
    <w:p w14:paraId="642078D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bookmarkStart w:id="108" w:name="_Toc18126"/>
      <w:r>
        <w:rPr>
          <w:rFonts w:hint="eastAsia" w:ascii="宋体" w:hAnsi="宋体" w:eastAsia="宋体" w:cs="宋体"/>
          <w:sz w:val="24"/>
          <w:szCs w:val="24"/>
        </w:rPr>
        <w:t>1.3单位负责人：</w:t>
      </w:r>
      <w:bookmarkEnd w:id="108"/>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5CA3584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 xml:space="preserve">         </w:t>
      </w:r>
      <w:r>
        <w:rPr>
          <w:rFonts w:hint="eastAsia" w:ascii="宋体" w:hAnsi="宋体" w:eastAsia="宋体" w:cs="宋体"/>
          <w:sz w:val="24"/>
          <w:szCs w:val="24"/>
        </w:rPr>
        <w:t>（填写是或否）为本采购项目提供</w:t>
      </w:r>
      <w:r>
        <w:rPr>
          <w:rFonts w:hint="eastAsia" w:ascii="宋体" w:hAnsi="宋体" w:eastAsia="宋体" w:cs="宋体"/>
          <w:sz w:val="24"/>
          <w:szCs w:val="24"/>
          <w:lang w:val="en-US" w:eastAsia="zh-CN"/>
        </w:rPr>
        <w:t>前期</w:t>
      </w:r>
      <w:r>
        <w:rPr>
          <w:rFonts w:hint="eastAsia" w:ascii="宋体" w:hAnsi="宋体" w:eastAsia="宋体" w:cs="宋体"/>
          <w:sz w:val="24"/>
          <w:szCs w:val="24"/>
        </w:rPr>
        <w:t>整体设计、规范编制或者项目管理、监理、检测等服务的</w:t>
      </w:r>
      <w:r>
        <w:rPr>
          <w:rFonts w:hint="eastAsia" w:ascii="宋体" w:hAnsi="宋体" w:eastAsia="宋体" w:cs="宋体"/>
          <w:sz w:val="24"/>
          <w:szCs w:val="24"/>
          <w:lang w:eastAsia="zh-CN"/>
        </w:rPr>
        <w:t>供应商</w:t>
      </w:r>
      <w:r>
        <w:rPr>
          <w:rFonts w:hint="eastAsia" w:ascii="宋体" w:hAnsi="宋体" w:eastAsia="宋体" w:cs="宋体"/>
          <w:sz w:val="24"/>
          <w:szCs w:val="24"/>
        </w:rPr>
        <w:t>。</w:t>
      </w:r>
    </w:p>
    <w:p w14:paraId="5E53B99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u w:val="single"/>
        </w:rPr>
      </w:pPr>
      <w:r>
        <w:rPr>
          <w:rFonts w:hint="eastAsia" w:ascii="宋体" w:hAnsi="宋体" w:eastAsia="宋体" w:cs="宋体"/>
          <w:sz w:val="24"/>
          <w:szCs w:val="24"/>
        </w:rPr>
        <w:t>3.其他与本项目有关的利害关系说明：</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F336ED5">
      <w:pPr>
        <w:pStyle w:val="4"/>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p>
    <w:p w14:paraId="42475C7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我单位承诺以上说明真实有效，无虚假内容或隐瞒。</w:t>
      </w:r>
    </w:p>
    <w:p w14:paraId="201AE9D1">
      <w:pPr>
        <w:pageBreakBefore w:val="0"/>
        <w:kinsoku/>
        <w:bidi w:val="0"/>
        <w:spacing w:line="360" w:lineRule="auto"/>
        <w:ind w:firstLine="240" w:firstLineChars="100"/>
        <w:textAlignment w:val="auto"/>
        <w:rPr>
          <w:rFonts w:hint="eastAsia" w:ascii="宋体" w:hAnsi="宋体" w:eastAsia="宋体" w:cs="宋体"/>
          <w:sz w:val="24"/>
          <w:szCs w:val="24"/>
        </w:rPr>
      </w:pPr>
    </w:p>
    <w:p w14:paraId="19DF5F76">
      <w:pPr>
        <w:pStyle w:val="4"/>
        <w:pageBreakBefore w:val="0"/>
        <w:kinsoku/>
        <w:bidi w:val="0"/>
        <w:spacing w:line="360" w:lineRule="auto"/>
        <w:textAlignment w:val="auto"/>
        <w:rPr>
          <w:rFonts w:hint="eastAsia" w:ascii="宋体" w:hAnsi="宋体" w:eastAsia="宋体" w:cs="宋体"/>
          <w:sz w:val="24"/>
          <w:szCs w:val="24"/>
        </w:rPr>
      </w:pPr>
    </w:p>
    <w:p w14:paraId="5AC416DD">
      <w:pPr>
        <w:pageBreakBefore w:val="0"/>
        <w:kinsoku/>
        <w:bidi w:val="0"/>
        <w:spacing w:line="360" w:lineRule="auto"/>
        <w:ind w:firstLine="2420" w:firstLineChars="1100"/>
        <w:textAlignment w:val="auto"/>
        <w:rPr>
          <w:rFonts w:hint="eastAsia" w:ascii="宋体" w:hAnsi="宋体" w:eastAsia="宋体" w:cs="宋体"/>
          <w:sz w:val="24"/>
          <w:szCs w:val="24"/>
          <w:lang w:eastAsia="zh-CN"/>
        </w:rPr>
      </w:pPr>
      <w:r>
        <w:rPr>
          <w:rFonts w:hint="eastAsia" w:ascii="宋体" w:hAnsi="宋体" w:eastAsia="宋体" w:cs="宋体"/>
          <w:spacing w:val="-10"/>
          <w:sz w:val="24"/>
          <w:szCs w:val="24"/>
          <w:u w:val="none"/>
          <w:lang w:eastAsia="zh-CN"/>
        </w:rPr>
        <w:t>供应商</w:t>
      </w:r>
      <w:r>
        <w:rPr>
          <w:rFonts w:hint="eastAsia" w:ascii="宋体" w:hAnsi="宋体" w:eastAsia="宋体" w:cs="宋体"/>
          <w:spacing w:val="-10"/>
          <w:sz w:val="24"/>
          <w:szCs w:val="24"/>
          <w:u w:val="none"/>
        </w:rPr>
        <w:t>名称</w:t>
      </w:r>
      <w:r>
        <w:rPr>
          <w:rFonts w:hint="eastAsia" w:ascii="宋体" w:hAnsi="宋体" w:eastAsia="宋体" w:cs="宋体"/>
          <w:sz w:val="24"/>
          <w:szCs w:val="24"/>
        </w:rPr>
        <w:t>（加盖公章）</w:t>
      </w:r>
      <w:r>
        <w:rPr>
          <w:rFonts w:hint="eastAsia" w:ascii="宋体" w:hAnsi="宋体" w:eastAsia="宋体" w:cs="宋体"/>
          <w:sz w:val="24"/>
          <w:szCs w:val="24"/>
          <w:lang w:eastAsia="zh-CN"/>
        </w:rPr>
        <w:t>：</w:t>
      </w:r>
    </w:p>
    <w:p w14:paraId="7F87BCA8">
      <w:pPr>
        <w:pageBreakBefore w:val="0"/>
        <w:kinsoku/>
        <w:bidi w:val="0"/>
        <w:spacing w:line="360" w:lineRule="auto"/>
        <w:ind w:firstLine="240" w:firstLineChars="100"/>
        <w:textAlignment w:val="auto"/>
        <w:rPr>
          <w:rFonts w:hint="eastAsia" w:ascii="宋体" w:hAnsi="宋体" w:eastAsia="宋体" w:cs="宋体"/>
          <w:sz w:val="24"/>
          <w:szCs w:val="24"/>
        </w:rPr>
      </w:pPr>
    </w:p>
    <w:p w14:paraId="096BF4E6">
      <w:pPr>
        <w:pageBreakBefore w:val="0"/>
        <w:kinsoku/>
        <w:bidi w:val="0"/>
        <w:spacing w:line="360" w:lineRule="auto"/>
        <w:ind w:firstLine="2400" w:firstLineChars="1000"/>
        <w:textAlignment w:val="auto"/>
        <w:rPr>
          <w:rFonts w:hint="eastAsia" w:ascii="宋体" w:hAnsi="宋体" w:eastAsia="宋体" w:cs="宋体"/>
          <w:sz w:val="24"/>
          <w:szCs w:val="24"/>
        </w:rPr>
      </w:pPr>
      <w:r>
        <w:rPr>
          <w:rFonts w:hint="eastAsia" w:ascii="宋体" w:hAnsi="宋体" w:eastAsia="宋体" w:cs="宋体"/>
          <w:sz w:val="24"/>
          <w:szCs w:val="24"/>
        </w:rPr>
        <w:t>法定代表人/负责人或被授权人：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p>
    <w:p w14:paraId="50BD0753">
      <w:pPr>
        <w:pageBreakBefore w:val="0"/>
        <w:kinsoku/>
        <w:bidi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2EB39498">
      <w:pPr>
        <w:pageBreakBefore w:val="0"/>
        <w:kinsoku/>
        <w:bidi w:val="0"/>
        <w:spacing w:line="360" w:lineRule="auto"/>
        <w:ind w:firstLine="2400" w:firstLineChars="1000"/>
        <w:textAlignment w:val="auto"/>
        <w:rPr>
          <w:rFonts w:hint="eastAsia" w:ascii="宋体" w:hAnsi="宋体" w:eastAsia="宋体" w:cs="宋体"/>
          <w:sz w:val="21"/>
          <w:szCs w:val="21"/>
        </w:rPr>
      </w:pPr>
      <w:r>
        <w:rPr>
          <w:rFonts w:hint="eastAsia" w:ascii="宋体" w:hAnsi="宋体" w:eastAsia="宋体" w:cs="宋体"/>
          <w:sz w:val="24"/>
          <w:szCs w:val="24"/>
        </w:rPr>
        <w:t>日期：     年   月   日</w:t>
      </w:r>
    </w:p>
    <w:p w14:paraId="46DEC6E0">
      <w:pPr>
        <w:pageBreakBefore w:val="0"/>
        <w:kinsoku/>
        <w:bidi w:val="0"/>
        <w:spacing w:line="360" w:lineRule="auto"/>
        <w:textAlignment w:val="auto"/>
        <w:rPr>
          <w:rFonts w:hint="eastAsia" w:ascii="宋体" w:hAnsi="宋体" w:eastAsia="宋体" w:cs="宋体"/>
          <w:b/>
          <w:bCs/>
          <w:sz w:val="21"/>
          <w:szCs w:val="21"/>
        </w:rPr>
      </w:pPr>
    </w:p>
    <w:p w14:paraId="398125E8">
      <w:pPr>
        <w:pageBreakBefore w:val="0"/>
        <w:kinsoku/>
        <w:bidi w:val="0"/>
        <w:spacing w:line="360" w:lineRule="auto"/>
        <w:textAlignment w:val="auto"/>
        <w:rPr>
          <w:rFonts w:hint="eastAsia" w:ascii="宋体" w:hAnsi="宋体" w:eastAsia="宋体" w:cs="宋体"/>
          <w:b/>
          <w:bCs/>
          <w:sz w:val="21"/>
          <w:szCs w:val="21"/>
        </w:rPr>
      </w:pPr>
    </w:p>
    <w:p w14:paraId="487C8A3C">
      <w:pPr>
        <w:pageBreakBefore w:val="0"/>
        <w:kinsoku/>
        <w:bidi w:val="0"/>
        <w:spacing w:line="360" w:lineRule="auto"/>
        <w:jc w:val="center"/>
        <w:textAlignment w:val="auto"/>
        <w:rPr>
          <w:rFonts w:hint="eastAsia" w:ascii="宋体" w:hAnsi="宋体" w:eastAsia="宋体" w:cs="宋体"/>
          <w:b/>
          <w:sz w:val="21"/>
          <w:szCs w:val="21"/>
        </w:rPr>
      </w:pPr>
      <w:r>
        <w:rPr>
          <w:rFonts w:hint="eastAsia" w:ascii="宋体" w:hAnsi="宋体" w:eastAsia="宋体" w:cs="宋体"/>
          <w:b/>
          <w:bCs/>
          <w:sz w:val="21"/>
          <w:szCs w:val="21"/>
        </w:rPr>
        <w:t>注：</w:t>
      </w:r>
      <w:r>
        <w:rPr>
          <w:rFonts w:hint="eastAsia" w:ascii="宋体" w:hAnsi="宋体" w:eastAsia="宋体" w:cs="宋体"/>
          <w:sz w:val="21"/>
          <w:szCs w:val="21"/>
        </w:rPr>
        <w:t>请详细填写</w:t>
      </w:r>
      <w:r>
        <w:rPr>
          <w:rFonts w:hint="eastAsia" w:ascii="宋体" w:hAnsi="宋体" w:eastAsia="宋体" w:cs="宋体"/>
          <w:sz w:val="21"/>
          <w:szCs w:val="21"/>
          <w:lang w:val="zh-CN"/>
        </w:rPr>
        <w:t>企业关系关联说明，未如实填写将否决</w:t>
      </w:r>
      <w:r>
        <w:rPr>
          <w:rFonts w:hint="eastAsia" w:ascii="宋体" w:hAnsi="宋体" w:eastAsia="宋体" w:cs="宋体"/>
          <w:sz w:val="21"/>
          <w:szCs w:val="21"/>
        </w:rPr>
        <w:t>投标</w:t>
      </w:r>
      <w:r>
        <w:rPr>
          <w:rFonts w:hint="eastAsia" w:ascii="宋体" w:hAnsi="宋体" w:eastAsia="宋体" w:cs="宋体"/>
          <w:sz w:val="21"/>
          <w:szCs w:val="21"/>
          <w:lang w:val="zh-CN"/>
        </w:rPr>
        <w:t>。</w:t>
      </w:r>
      <w:r>
        <w:rPr>
          <w:rFonts w:ascii="宋体" w:hAnsi="宋体"/>
          <w:b/>
          <w:sz w:val="32"/>
          <w:szCs w:val="32"/>
        </w:rPr>
        <w:br w:type="page"/>
      </w:r>
      <w:bookmarkEnd w:id="105"/>
      <w:r>
        <w:rPr>
          <w:rFonts w:hint="eastAsia" w:ascii="宋体" w:hAnsi="宋体" w:eastAsia="宋体" w:cs="宋体"/>
          <w:b/>
          <w:sz w:val="28"/>
          <w:szCs w:val="28"/>
          <w:lang w:eastAsia="zh-CN"/>
        </w:rPr>
        <w:t>供应商</w:t>
      </w:r>
      <w:r>
        <w:rPr>
          <w:rFonts w:hint="eastAsia" w:ascii="宋体" w:hAnsi="宋体" w:eastAsia="宋体" w:cs="宋体"/>
          <w:b/>
          <w:sz w:val="28"/>
          <w:szCs w:val="28"/>
        </w:rPr>
        <w:t>性质</w:t>
      </w:r>
    </w:p>
    <w:p w14:paraId="2B2535B0">
      <w:pPr>
        <w:shd w:val="clear" w:color="auto" w:fill="auto"/>
        <w:spacing w:line="360" w:lineRule="auto"/>
        <w:rPr>
          <w:rFonts w:hint="eastAsia" w:ascii="宋体" w:hAnsi="宋体" w:eastAsia="宋体" w:cs="宋体"/>
          <w:sz w:val="24"/>
          <w:szCs w:val="24"/>
        </w:rPr>
      </w:pPr>
      <w:r>
        <w:rPr>
          <w:rFonts w:hint="eastAsia" w:ascii="宋体" w:hAnsi="宋体" w:eastAsia="宋体" w:cs="宋体"/>
          <w:sz w:val="24"/>
          <w:szCs w:val="24"/>
        </w:rPr>
        <w:t>中/小/微型企业、残疾人福利性单位投标时，应提供声明函（按下文给定格式）。未提供或未按给定格式提供声明函或声明函填写错误的，将视同为大型企业，作否决投标处理。监狱企业投标时，应当提供由省级以上监狱管理局、戒毒管理局（含新疆生产建设兵团）出具的属于监狱企业的证明文件（格式不做要求）。</w:t>
      </w:r>
    </w:p>
    <w:p w14:paraId="21773F9F">
      <w:pPr>
        <w:pStyle w:val="8"/>
        <w:rPr>
          <w:rFonts w:hint="eastAsia" w:ascii="宋体" w:hAnsi="宋体" w:eastAsia="宋体" w:cs="宋体"/>
          <w:sz w:val="24"/>
          <w:szCs w:val="24"/>
        </w:rPr>
      </w:pPr>
      <w:r>
        <w:rPr>
          <w:rFonts w:ascii="宋体" w:hAnsi="宋体"/>
          <w:b/>
          <w:sz w:val="32"/>
          <w:szCs w:val="32"/>
        </w:rPr>
        <w:br w:type="page"/>
      </w:r>
    </w:p>
    <w:p w14:paraId="72EA0013">
      <w:pPr>
        <w:pageBreakBefore w:val="0"/>
        <w:kinsoku/>
        <w:bidi w:val="0"/>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8"/>
          <w:szCs w:val="28"/>
        </w:rPr>
        <w:t>中小企业声明函（</w:t>
      </w:r>
      <w:r>
        <w:rPr>
          <w:rFonts w:hint="eastAsia" w:ascii="宋体" w:hAnsi="宋体" w:eastAsia="宋体" w:cs="宋体"/>
          <w:b/>
          <w:sz w:val="28"/>
          <w:szCs w:val="28"/>
          <w:lang w:val="en-US" w:eastAsia="zh-CN"/>
        </w:rPr>
        <w:t>货物</w:t>
      </w:r>
      <w:r>
        <w:rPr>
          <w:rFonts w:hint="eastAsia" w:ascii="宋体" w:hAnsi="宋体" w:eastAsia="宋体" w:cs="宋体"/>
          <w:b/>
          <w:sz w:val="28"/>
          <w:szCs w:val="28"/>
        </w:rPr>
        <w:t>）</w:t>
      </w:r>
    </w:p>
    <w:p w14:paraId="36F9C03C">
      <w:pPr>
        <w:pageBreakBefore w:val="0"/>
        <w:kinsoku/>
        <w:bidi w:val="0"/>
        <w:spacing w:line="360" w:lineRule="auto"/>
        <w:ind w:firstLine="420" w:firstLineChars="200"/>
        <w:textAlignment w:val="auto"/>
        <w:rPr>
          <w:rFonts w:hint="eastAsia" w:ascii="宋体" w:hAnsi="宋体" w:eastAsia="宋体" w:cs="宋体"/>
          <w:sz w:val="21"/>
          <w:szCs w:val="21"/>
        </w:rPr>
      </w:pPr>
    </w:p>
    <w:p w14:paraId="67EE54E3">
      <w:pPr>
        <w:pageBreakBefore w:val="0"/>
        <w:kinsoku/>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本公司郑重声明，根据《政府采购促进中小企业发展管理办法》（财库﹝2020﹞46 号）的规定，本公司参加</w:t>
      </w:r>
      <w:r>
        <w:rPr>
          <w:rFonts w:hint="eastAsia" w:ascii="宋体" w:hAnsi="宋体" w:eastAsia="宋体" w:cs="宋体"/>
          <w:sz w:val="24"/>
          <w:szCs w:val="24"/>
          <w:u w:val="single"/>
        </w:rPr>
        <w:t>（采购人名称）</w:t>
      </w:r>
      <w:r>
        <w:rPr>
          <w:rFonts w:hint="eastAsia" w:ascii="宋体" w:hAnsi="宋体" w:eastAsia="宋体" w:cs="宋体"/>
          <w:sz w:val="24"/>
          <w:szCs w:val="24"/>
        </w:rPr>
        <w:t>的</w:t>
      </w:r>
      <w:r>
        <w:rPr>
          <w:rFonts w:hint="eastAsia" w:ascii="宋体" w:hAnsi="宋体" w:eastAsia="宋体" w:cs="宋体"/>
          <w:sz w:val="24"/>
          <w:szCs w:val="24"/>
          <w:u w:val="single"/>
        </w:rPr>
        <w:t xml:space="preserve"> 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采购活动，提供的</w:t>
      </w:r>
      <w:r>
        <w:rPr>
          <w:rFonts w:hint="eastAsia" w:ascii="宋体" w:hAnsi="宋体" w:eastAsia="宋体" w:cs="宋体"/>
          <w:sz w:val="24"/>
          <w:szCs w:val="24"/>
          <w:lang w:val="en-US" w:eastAsia="zh-CN"/>
        </w:rPr>
        <w:t>服务</w:t>
      </w:r>
      <w:r>
        <w:rPr>
          <w:rFonts w:hint="eastAsia" w:ascii="宋体" w:hAnsi="宋体" w:eastAsia="宋体" w:cs="宋体"/>
          <w:sz w:val="24"/>
          <w:szCs w:val="24"/>
        </w:rPr>
        <w:t>全部由符合政策要求的中小企业制造。具体情况如下：</w:t>
      </w:r>
    </w:p>
    <w:p w14:paraId="5E82FBBC">
      <w:pPr>
        <w:pageBreakBefore w:val="0"/>
        <w:kinsoku/>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万元，属于（中型企业/小型企业/微型企业）。</w:t>
      </w:r>
    </w:p>
    <w:p w14:paraId="234EDFFD">
      <w:pPr>
        <w:pageBreakBefore w:val="0"/>
        <w:kinsoku/>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万元，属于（中型企业/小型企业/微型企业）。</w:t>
      </w:r>
    </w:p>
    <w:p w14:paraId="6883F19D">
      <w:pPr>
        <w:pageBreakBefore w:val="0"/>
        <w:kinsoku/>
        <w:bidi w:val="0"/>
        <w:spacing w:line="360" w:lineRule="auto"/>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w:t>
      </w:r>
    </w:p>
    <w:p w14:paraId="71FE8A3F">
      <w:pPr>
        <w:pageBreakBefore w:val="0"/>
        <w:kinsoku/>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以上企业，不属于大企业的分支机构，不存在控股股东为大企业的情形，也不存在与大企业的负责人为同一人的情形。</w:t>
      </w:r>
    </w:p>
    <w:p w14:paraId="2CB12727">
      <w:pPr>
        <w:pageBreakBefore w:val="0"/>
        <w:kinsoku/>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本企业对上述声明内容的真实性负责。如有虚假，将依法承担相应责任。</w:t>
      </w:r>
    </w:p>
    <w:p w14:paraId="62F33241">
      <w:pPr>
        <w:pageBreakBefore w:val="0"/>
        <w:kinsoku/>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41D18767">
      <w:pPr>
        <w:pageBreakBefore w:val="0"/>
        <w:kinsoku/>
        <w:bidi w:val="0"/>
        <w:spacing w:line="360" w:lineRule="auto"/>
        <w:ind w:firstLine="5040" w:firstLineChars="2100"/>
        <w:textAlignment w:val="auto"/>
        <w:rPr>
          <w:rFonts w:hint="eastAsia" w:ascii="宋体" w:hAnsi="宋体" w:eastAsia="宋体" w:cs="宋体"/>
          <w:sz w:val="24"/>
          <w:szCs w:val="24"/>
        </w:rPr>
      </w:pPr>
      <w:r>
        <w:rPr>
          <w:rFonts w:hint="eastAsia" w:ascii="宋体" w:hAnsi="宋体" w:eastAsia="宋体" w:cs="宋体"/>
          <w:sz w:val="24"/>
          <w:szCs w:val="24"/>
        </w:rPr>
        <w:t>企业名称（盖章）：</w:t>
      </w:r>
    </w:p>
    <w:p w14:paraId="73CED7EB">
      <w:pPr>
        <w:pageBreakBefore w:val="0"/>
        <w:kinsoku/>
        <w:bidi w:val="0"/>
        <w:spacing w:line="360" w:lineRule="auto"/>
        <w:ind w:firstLine="480" w:firstLineChars="200"/>
        <w:textAlignment w:val="auto"/>
        <w:rPr>
          <w:rFonts w:hint="eastAsia" w:ascii="宋体" w:hAnsi="宋体" w:eastAsia="宋体" w:cs="宋体"/>
          <w:sz w:val="21"/>
          <w:szCs w:val="21"/>
        </w:rPr>
      </w:pPr>
      <w:r>
        <w:rPr>
          <w:rFonts w:hint="eastAsia" w:ascii="宋体" w:hAnsi="宋体" w:eastAsia="宋体" w:cs="宋体"/>
          <w:sz w:val="24"/>
          <w:szCs w:val="24"/>
        </w:rPr>
        <w:t xml:space="preserve">                                      日期：</w:t>
      </w:r>
    </w:p>
    <w:p w14:paraId="142C050C">
      <w:pPr>
        <w:pStyle w:val="4"/>
        <w:rPr>
          <w:rFonts w:hint="eastAsia" w:ascii="宋体" w:hAnsi="宋体" w:eastAsia="宋体" w:cs="宋体"/>
          <w:sz w:val="24"/>
          <w:szCs w:val="24"/>
        </w:rPr>
      </w:pPr>
    </w:p>
    <w:p w14:paraId="59305F36">
      <w:pPr>
        <w:rPr>
          <w:rFonts w:hint="eastAsia" w:ascii="宋体" w:hAnsi="宋体" w:eastAsia="宋体" w:cs="宋体"/>
          <w:sz w:val="24"/>
          <w:szCs w:val="24"/>
        </w:rPr>
      </w:pPr>
    </w:p>
    <w:p w14:paraId="213809AA">
      <w:pPr>
        <w:pStyle w:val="12"/>
        <w:rPr>
          <w:rFonts w:hint="eastAsia" w:ascii="宋体" w:hAnsi="宋体" w:eastAsia="宋体" w:cs="宋体"/>
          <w:sz w:val="24"/>
          <w:szCs w:val="24"/>
        </w:rPr>
      </w:pPr>
    </w:p>
    <w:p w14:paraId="08297C49">
      <w:pPr>
        <w:widowControl/>
        <w:spacing w:line="360" w:lineRule="auto"/>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注：</w:t>
      </w:r>
      <w:r>
        <w:rPr>
          <w:rFonts w:hint="eastAsia" w:ascii="宋体" w:hAnsi="宋体" w:eastAsia="宋体" w:cs="宋体"/>
          <w:color w:val="auto"/>
          <w:kern w:val="0"/>
          <w:sz w:val="24"/>
          <w:szCs w:val="24"/>
          <w:lang w:bidi="ar"/>
        </w:rPr>
        <w:t>从业人员、营业收入、资产总额填报上一年度数据，无上一年度数据的新成立企业可不填报。</w:t>
      </w:r>
    </w:p>
    <w:p w14:paraId="2BC2474D">
      <w:pPr>
        <w:rPr>
          <w:rFonts w:hint="eastAsia" w:ascii="宋体" w:hAnsi="宋体" w:eastAsia="宋体" w:cs="宋体"/>
          <w:sz w:val="24"/>
          <w:szCs w:val="24"/>
        </w:rPr>
      </w:pPr>
      <w:r>
        <w:rPr>
          <w:rFonts w:ascii="宋体" w:hAnsi="宋体"/>
          <w:b/>
          <w:sz w:val="32"/>
          <w:szCs w:val="32"/>
        </w:rPr>
        <w:br w:type="page"/>
      </w:r>
    </w:p>
    <w:p w14:paraId="21782912">
      <w:pPr>
        <w:pageBreakBefore w:val="0"/>
        <w:kinsoku/>
        <w:bidi w:val="0"/>
        <w:spacing w:before="190" w:beforeLines="50" w:line="360" w:lineRule="auto"/>
        <w:ind w:firstLine="482" w:firstLineChars="200"/>
        <w:jc w:val="center"/>
        <w:textAlignment w:val="auto"/>
        <w:rPr>
          <w:rFonts w:hint="eastAsia" w:ascii="宋体" w:hAnsi="宋体" w:eastAsia="宋体" w:cs="宋体"/>
          <w:b/>
          <w:color w:val="auto"/>
          <w:sz w:val="24"/>
          <w:szCs w:val="24"/>
        </w:rPr>
      </w:pPr>
      <w:bookmarkStart w:id="109" w:name="_Toc48834336"/>
      <w:r>
        <w:rPr>
          <w:rFonts w:hint="eastAsia" w:ascii="宋体" w:hAnsi="宋体" w:eastAsia="宋体" w:cs="宋体"/>
          <w:b/>
          <w:bCs/>
          <w:color w:val="auto"/>
          <w:sz w:val="24"/>
          <w:szCs w:val="24"/>
        </w:rPr>
        <w:t>残疾人福利性单位声明函</w:t>
      </w:r>
      <w:bookmarkEnd w:id="109"/>
    </w:p>
    <w:p w14:paraId="295AF2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（项目编号：）第___标段采购活动由本单位提供服务，或者提供其他残疾人福利性单位提供的服务。</w:t>
      </w:r>
    </w:p>
    <w:p w14:paraId="1752CD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51C3F2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14:paraId="4F6F1F3B">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lang w:val="en-US" w:eastAsia="zh-CN"/>
        </w:rPr>
        <w:t>企业</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（加盖公章）</w:t>
      </w:r>
    </w:p>
    <w:p w14:paraId="739C1F68">
      <w:pPr>
        <w:keepNext w:val="0"/>
        <w:keepLines w:val="0"/>
        <w:pageBreakBefore w:val="0"/>
        <w:widowControl w:val="0"/>
        <w:tabs>
          <w:tab w:val="left" w:pos="56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5F63B8A3">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项目不分标段的，第___标段空白处填写“/”。</w:t>
      </w:r>
    </w:p>
    <w:p w14:paraId="5AB5497E">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1F37D2AD">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1C897D08">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00B0E6DC">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（二）依法与安置的每位残疾人签订了一年以上（含一年）的劳动合同或服务协议；</w:t>
      </w:r>
    </w:p>
    <w:p w14:paraId="5D60FA89">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575002E7">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0047E3DD">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6BC704BA">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661F9A0">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二、中标、成交</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为残疾人福利性单位的，采购人或者其委托的采购代理机构应当随中标、成交结果同时公告其《残疾人福利性单位声明函》，接受社会监督。</w:t>
      </w:r>
    </w:p>
    <w:p w14:paraId="175AD8B8">
      <w:pPr>
        <w:pageBreakBefore w:val="0"/>
        <w:tabs>
          <w:tab w:val="left" w:pos="5670"/>
        </w:tabs>
        <w:kinsoku/>
        <w:bidi w:val="0"/>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监狱企业证明函</w:t>
      </w:r>
    </w:p>
    <w:p w14:paraId="13FD2DB2">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05634825">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092761">
      <w:pPr>
        <w:pStyle w:val="8"/>
        <w:rPr>
          <w:rFonts w:hint="eastAsia" w:ascii="宋体" w:hAnsi="宋体" w:eastAsia="宋体" w:cs="宋体"/>
        </w:rPr>
      </w:pPr>
    </w:p>
    <w:p w14:paraId="0B8A110C">
      <w:pPr>
        <w:pageBreakBefore w:val="0"/>
        <w:kinsoku/>
        <w:bidi w:val="0"/>
        <w:spacing w:line="360" w:lineRule="auto"/>
        <w:jc w:val="center"/>
        <w:textAlignment w:val="auto"/>
        <w:rPr>
          <w:rFonts w:hint="eastAsia" w:ascii="宋体" w:hAnsi="宋体" w:eastAsia="宋体" w:cs="宋体"/>
          <w:b/>
          <w:bCs/>
          <w:sz w:val="28"/>
          <w:szCs w:val="28"/>
        </w:rPr>
        <w:sectPr>
          <w:pgSz w:w="11906" w:h="16838"/>
          <w:pgMar w:top="1440" w:right="1800" w:bottom="1440" w:left="1800" w:header="1134" w:footer="1134" w:gutter="0"/>
          <w:pgBorders>
            <w:top w:val="none" w:sz="0" w:space="0"/>
            <w:left w:val="none" w:sz="0" w:space="0"/>
            <w:bottom w:val="none" w:sz="0" w:space="0"/>
            <w:right w:val="none" w:sz="0" w:space="0"/>
          </w:pgBorders>
          <w:pgNumType w:fmt="decimal"/>
          <w:cols w:space="720" w:num="1"/>
          <w:titlePg/>
          <w:rtlGutter w:val="0"/>
          <w:docGrid w:type="lines" w:linePitch="312" w:charSpace="0"/>
        </w:sectPr>
      </w:pPr>
    </w:p>
    <w:p w14:paraId="28ECFB1B">
      <w:pPr>
        <w:spacing w:before="91" w:line="220" w:lineRule="auto"/>
        <w:ind w:left="144"/>
        <w:rPr>
          <w:rFonts w:hint="eastAsia" w:ascii="宋体" w:hAnsi="宋体" w:eastAsia="宋体" w:cs="宋体"/>
          <w:color w:val="000000"/>
          <w:sz w:val="28"/>
          <w:szCs w:val="28"/>
        </w:rPr>
      </w:pPr>
      <w:r>
        <w:rPr>
          <w:rFonts w:hint="eastAsia" w:ascii="宋体" w:hAnsi="宋体" w:eastAsia="宋体" w:cs="宋体"/>
          <w:color w:val="000000"/>
          <w:spacing w:val="-4"/>
          <w:sz w:val="28"/>
          <w:szCs w:val="28"/>
        </w:rPr>
        <w:t>附</w:t>
      </w:r>
      <w:r>
        <w:rPr>
          <w:rFonts w:hint="eastAsia" w:ascii="宋体" w:hAnsi="宋体" w:eastAsia="宋体" w:cs="宋体"/>
          <w:color w:val="000000"/>
          <w:spacing w:val="-3"/>
          <w:sz w:val="28"/>
          <w:szCs w:val="28"/>
        </w:rPr>
        <w:t>：</w:t>
      </w:r>
      <w:r>
        <w:rPr>
          <w:rFonts w:hint="eastAsia" w:ascii="宋体" w:hAnsi="宋体" w:eastAsia="宋体" w:cs="宋体"/>
          <w:color w:val="000000"/>
          <w:spacing w:val="-2"/>
          <w:sz w:val="28"/>
          <w:szCs w:val="28"/>
        </w:rPr>
        <w:t>中小企业划型标准</w:t>
      </w:r>
      <w:r>
        <w:rPr>
          <w:rFonts w:hint="eastAsia" w:ascii="宋体" w:hAnsi="宋体" w:eastAsia="宋体" w:cs="宋体"/>
          <w:b/>
          <w:bCs/>
          <w:sz w:val="28"/>
          <w:szCs w:val="28"/>
          <w:lang w:eastAsia="zh-CN"/>
        </w:rPr>
        <w:drawing>
          <wp:inline distT="0" distB="0" distL="114300" distR="114300">
            <wp:extent cx="5438775" cy="7696200"/>
            <wp:effectExtent l="0" t="0" r="9525" b="0"/>
            <wp:docPr id="24" name="图片 24" descr="关于印发中小企业划型标准规定的通知（工信部联企业〔2011〕300号）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关于印发中小企业划型标准规定的通知（工信部联企业〔2011〕300号）_00"/>
                    <pic:cNvPicPr>
                      <a:picLocks noChangeAspect="1"/>
                    </pic:cNvPicPr>
                  </pic:nvPicPr>
                  <pic:blipFill>
                    <a:blip r:embed="rId35"/>
                    <a:stretch>
                      <a:fillRect/>
                    </a:stretch>
                  </pic:blipFill>
                  <pic:spPr>
                    <a:xfrm>
                      <a:off x="0" y="0"/>
                      <a:ext cx="5438775" cy="7696200"/>
                    </a:xfrm>
                    <a:prstGeom prst="rect">
                      <a:avLst/>
                    </a:prstGeom>
                  </pic:spPr>
                </pic:pic>
              </a:graphicData>
            </a:graphic>
          </wp:inline>
        </w:drawing>
      </w:r>
    </w:p>
    <w:p w14:paraId="3E746D87">
      <w:pPr>
        <w:rPr>
          <w:rFonts w:hint="eastAsia" w:ascii="宋体" w:hAnsi="宋体" w:eastAsia="宋体" w:cs="宋体"/>
          <w:b/>
          <w:lang w:val="en-US" w:eastAsia="zh-CN"/>
        </w:rPr>
      </w:pPr>
      <w:r>
        <w:rPr>
          <w:rFonts w:hint="eastAsia" w:ascii="宋体" w:hAnsi="宋体" w:eastAsia="宋体" w:cs="宋体"/>
          <w:b/>
          <w:bCs/>
          <w:sz w:val="28"/>
          <w:szCs w:val="28"/>
          <w:lang w:eastAsia="zh-CN"/>
        </w:rPr>
        <w:drawing>
          <wp:inline distT="0" distB="0" distL="114300" distR="114300">
            <wp:extent cx="5326380" cy="7536815"/>
            <wp:effectExtent l="0" t="0" r="7620" b="6985"/>
            <wp:docPr id="23" name="图片 23" descr="关于印发中小企业划型标准规定的通知（工信部联企业〔2011〕300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关于印发中小企业划型标准规定的通知（工信部联企业〔2011〕300号）_01"/>
                    <pic:cNvPicPr>
                      <a:picLocks noChangeAspect="1"/>
                    </pic:cNvPicPr>
                  </pic:nvPicPr>
                  <pic:blipFill>
                    <a:blip r:embed="rId36"/>
                    <a:stretch>
                      <a:fillRect/>
                    </a:stretch>
                  </pic:blipFill>
                  <pic:spPr>
                    <a:xfrm>
                      <a:off x="0" y="0"/>
                      <a:ext cx="5326380" cy="7536815"/>
                    </a:xfrm>
                    <a:prstGeom prst="rect">
                      <a:avLst/>
                    </a:prstGeom>
                  </pic:spPr>
                </pic:pic>
              </a:graphicData>
            </a:graphic>
          </wp:inline>
        </w:drawing>
      </w:r>
      <w:r>
        <w:rPr>
          <w:rFonts w:hint="eastAsia" w:ascii="宋体" w:hAnsi="宋体" w:eastAsia="宋体" w:cs="宋体"/>
          <w:b/>
          <w:bCs/>
          <w:sz w:val="28"/>
          <w:szCs w:val="28"/>
          <w:lang w:eastAsia="zh-CN"/>
        </w:rPr>
        <w:drawing>
          <wp:inline distT="0" distB="0" distL="114300" distR="114300">
            <wp:extent cx="5476240" cy="7748905"/>
            <wp:effectExtent l="0" t="0" r="10160" b="4445"/>
            <wp:docPr id="19" name="图片 19" descr="关于印发中小企业划型标准规定的通知（工信部联企业〔2011〕300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关于印发中小企业划型标准规定的通知（工信部联企业〔2011〕300号）_02"/>
                    <pic:cNvPicPr>
                      <a:picLocks noChangeAspect="1"/>
                    </pic:cNvPicPr>
                  </pic:nvPicPr>
                  <pic:blipFill>
                    <a:blip r:embed="rId37"/>
                    <a:stretch>
                      <a:fillRect/>
                    </a:stretch>
                  </pic:blipFill>
                  <pic:spPr>
                    <a:xfrm>
                      <a:off x="0" y="0"/>
                      <a:ext cx="5476240" cy="7748905"/>
                    </a:xfrm>
                    <a:prstGeom prst="rect">
                      <a:avLst/>
                    </a:prstGeom>
                  </pic:spPr>
                </pic:pic>
              </a:graphicData>
            </a:graphic>
          </wp:inline>
        </w:drawing>
      </w:r>
      <w:r>
        <w:rPr>
          <w:rFonts w:hint="eastAsia" w:ascii="宋体" w:hAnsi="宋体" w:eastAsia="宋体" w:cs="宋体"/>
          <w:b/>
          <w:bCs/>
          <w:sz w:val="28"/>
          <w:szCs w:val="28"/>
          <w:lang w:eastAsia="zh-CN"/>
        </w:rPr>
        <w:drawing>
          <wp:inline distT="0" distB="0" distL="114300" distR="114300">
            <wp:extent cx="5603240" cy="7928610"/>
            <wp:effectExtent l="0" t="0" r="16510" b="15240"/>
            <wp:docPr id="5" name="图片 5" descr="关于印发中小企业划型标准规定的通知（工信部联企业〔2011〕300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关于印发中小企业划型标准规定的通知（工信部联企业〔2011〕300号）_03"/>
                    <pic:cNvPicPr>
                      <a:picLocks noChangeAspect="1"/>
                    </pic:cNvPicPr>
                  </pic:nvPicPr>
                  <pic:blipFill>
                    <a:blip r:embed="rId38"/>
                    <a:stretch>
                      <a:fillRect/>
                    </a:stretch>
                  </pic:blipFill>
                  <pic:spPr>
                    <a:xfrm>
                      <a:off x="0" y="0"/>
                      <a:ext cx="5603240" cy="7928610"/>
                    </a:xfrm>
                    <a:prstGeom prst="rect">
                      <a:avLst/>
                    </a:prstGeom>
                  </pic:spPr>
                </pic:pic>
              </a:graphicData>
            </a:graphic>
          </wp:inline>
        </w:drawing>
      </w:r>
    </w:p>
    <w:bookmarkEnd w:id="94"/>
    <w:bookmarkEnd w:id="95"/>
    <w:bookmarkEnd w:id="96"/>
    <w:bookmarkEnd w:id="97"/>
    <w:bookmarkEnd w:id="98"/>
    <w:bookmarkEnd w:id="99"/>
    <w:bookmarkEnd w:id="100"/>
    <w:bookmarkEnd w:id="101"/>
    <w:bookmarkEnd w:id="102"/>
    <w:bookmarkEnd w:id="103"/>
    <w:p w14:paraId="1200B269">
      <w:pPr>
        <w:spacing w:before="162" w:line="224" w:lineRule="auto"/>
        <w:jc w:val="center"/>
        <w:outlineLvl w:val="1"/>
        <w:rPr>
          <w:rFonts w:hint="eastAsia" w:ascii="宋体" w:hAnsi="宋体" w:eastAsia="宋体" w:cs="宋体"/>
          <w:b/>
          <w:bCs/>
          <w:spacing w:val="5"/>
          <w:sz w:val="31"/>
          <w:szCs w:val="31"/>
        </w:rPr>
      </w:pPr>
      <w:bookmarkStart w:id="110" w:name="_Toc600"/>
      <w:r>
        <w:rPr>
          <w:rFonts w:hint="eastAsia" w:ascii="宋体" w:hAnsi="宋体" w:eastAsia="宋体" w:cs="宋体"/>
          <w:sz w:val="24"/>
          <w:szCs w:val="24"/>
        </w:rPr>
        <w:br w:type="page"/>
      </w:r>
      <w:r>
        <w:rPr>
          <w:rFonts w:hint="eastAsia" w:ascii="宋体" w:hAnsi="宋体" w:eastAsia="宋体" w:cs="宋体"/>
          <w:b/>
          <w:bCs/>
          <w:spacing w:val="5"/>
          <w:sz w:val="31"/>
          <w:szCs w:val="31"/>
          <w:lang w:val="en-US" w:eastAsia="zh-CN"/>
        </w:rPr>
        <w:t>五、</w:t>
      </w:r>
      <w:r>
        <w:rPr>
          <w:rFonts w:hint="eastAsia" w:ascii="宋体" w:hAnsi="宋体" w:eastAsia="宋体" w:cs="宋体"/>
          <w:b/>
          <w:bCs/>
          <w:spacing w:val="5"/>
          <w:sz w:val="31"/>
          <w:szCs w:val="31"/>
          <w:lang w:eastAsia="zh-CN"/>
        </w:rPr>
        <w:t>供应商</w:t>
      </w:r>
      <w:r>
        <w:rPr>
          <w:rFonts w:hint="eastAsia" w:ascii="宋体" w:hAnsi="宋体" w:eastAsia="宋体" w:cs="宋体"/>
          <w:b/>
          <w:bCs/>
          <w:spacing w:val="5"/>
          <w:sz w:val="31"/>
          <w:szCs w:val="31"/>
        </w:rPr>
        <w:t>参加政府采购活动承诺书</w:t>
      </w:r>
    </w:p>
    <w:p w14:paraId="3BD7B08C">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beforeLines="0" w:beforeAutospacing="0" w:afterLines="0" w:afterAutospacing="0" w:line="240" w:lineRule="auto"/>
        <w:jc w:val="center"/>
        <w:textAlignment w:val="auto"/>
        <w:outlineLvl w:val="9"/>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陕西省政府采购供应商拒绝政府采购领域商业贿赂承诺书</w:t>
      </w:r>
    </w:p>
    <w:p w14:paraId="271CFE1B">
      <w:pPr>
        <w:keepNext/>
        <w:keepLines/>
        <w:pageBreakBefore w:val="0"/>
        <w:widowControl w:val="0"/>
        <w:numPr>
          <w:ilvl w:val="0"/>
          <w:numId w:val="0"/>
        </w:numPr>
        <w:shd w:val="clear" w:color="auto" w:fill="auto"/>
        <w:kinsoku/>
        <w:wordWrap/>
        <w:overflowPunct/>
        <w:topLinePunct w:val="0"/>
        <w:autoSpaceDE/>
        <w:autoSpaceDN/>
        <w:bidi w:val="0"/>
        <w:adjustRightInd/>
        <w:snapToGrid/>
        <w:spacing w:beforeLines="0" w:beforeAutospacing="0" w:afterLines="0" w:afterAutospacing="0" w:line="360" w:lineRule="auto"/>
        <w:jc w:val="center"/>
        <w:textAlignment w:val="auto"/>
        <w:outlineLvl w:val="9"/>
        <w:rPr>
          <w:rFonts w:hint="eastAsia" w:ascii="宋体" w:hAnsi="宋体" w:eastAsia="宋体" w:cs="宋体"/>
          <w:b/>
          <w:color w:val="auto"/>
          <w:kern w:val="2"/>
          <w:sz w:val="30"/>
          <w:highlight w:val="none"/>
          <w:lang w:val="en-US" w:eastAsia="zh-CN" w:bidi="ar-SA"/>
        </w:rPr>
      </w:pPr>
      <w:r>
        <w:rPr>
          <w:rFonts w:hint="eastAsia" w:ascii="宋体" w:hAnsi="宋体" w:eastAsia="宋体" w:cs="宋体"/>
          <w:b/>
          <w:color w:val="auto"/>
          <w:kern w:val="2"/>
          <w:sz w:val="30"/>
          <w:highlight w:val="none"/>
          <w:lang w:val="en-US" w:eastAsia="zh-CN" w:bidi="ar-SA"/>
        </w:rPr>
        <w:t>承诺书（一）</w:t>
      </w:r>
    </w:p>
    <w:p w14:paraId="249E7785">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为响应党中央、国务院关于治理政府采购领域商业贿赂行为的号召，我公司在此庄严承诺：</w:t>
      </w:r>
    </w:p>
    <w:p w14:paraId="24FA6AB3">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1、在参与政府采购活动中遵纪守法、诚信经营、公平竞标。</w:t>
      </w:r>
    </w:p>
    <w:p w14:paraId="56519ED6">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2、不向政府采购人、采购代理机构和政府采购评审专家进行任何形式的商业贿赂以谋取交易机会。</w:t>
      </w:r>
    </w:p>
    <w:p w14:paraId="6C6A63C0">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3、不向政府采购代理机构和采购人提供虚假资质文件或采用虚假应标方式参与政府采购市场竞争并谋取中标、成交。</w:t>
      </w:r>
    </w:p>
    <w:p w14:paraId="399D53B5">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4、不采取“围标、陪标”等商业欺诈手段获得政府采购定单。</w:t>
      </w:r>
    </w:p>
    <w:p w14:paraId="35E0D75A">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5、不采取不正当手段诋毁、排挤其他供应商。</w:t>
      </w:r>
    </w:p>
    <w:p w14:paraId="1EF2C7B5">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6、不在提供商品和服务时“偷梁换柱、以次充好”损害采购人的合法权益。</w:t>
      </w:r>
    </w:p>
    <w:p w14:paraId="4DE33FD8">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7、不与采购人、采购代理机构政府采购评审专家或其它供应商恶意串通，进行质疑和投诉，维护政府采购市场秩序。</w:t>
      </w:r>
    </w:p>
    <w:p w14:paraId="26052B33">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8、尊重和接受政府采购监督管理部门的监督和政府采购代理机构招标采购要求，承担因违约行为给采购人造成的损失。</w:t>
      </w:r>
    </w:p>
    <w:p w14:paraId="4D7EC662">
      <w:pPr>
        <w:keepNext w:val="0"/>
        <w:keepLines w:val="0"/>
        <w:pageBreakBefore w:val="0"/>
        <w:widowControl/>
        <w:shd w:val="clear" w:color="auto" w:fill="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9、不发生其他有悖于政府采购公开、公平、公正和诚信原则的行为。</w:t>
      </w:r>
    </w:p>
    <w:p w14:paraId="4B5A9625">
      <w:pPr>
        <w:widowControl/>
        <w:shd w:val="clear" w:color="auto" w:fill="auto"/>
        <w:spacing w:line="360" w:lineRule="auto"/>
        <w:ind w:left="239" w:leftChars="114" w:firstLine="470" w:firstLineChars="196"/>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承诺单位</w:t>
      </w:r>
      <w:r>
        <w:rPr>
          <w:rFonts w:hint="eastAsia" w:ascii="宋体" w:hAnsi="宋体" w:eastAsia="宋体" w:cs="宋体"/>
          <w:color w:val="auto"/>
          <w:kern w:val="0"/>
          <w:sz w:val="24"/>
          <w:highlight w:val="none"/>
          <w:lang w:eastAsia="zh-CN"/>
        </w:rPr>
        <w:t>名称</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（盖章）</w:t>
      </w:r>
    </w:p>
    <w:p w14:paraId="033CB7FD">
      <w:pPr>
        <w:widowControl/>
        <w:shd w:val="clear" w:color="auto" w:fill="auto"/>
        <w:spacing w:line="360" w:lineRule="auto"/>
        <w:ind w:left="239" w:leftChars="114" w:firstLine="470" w:firstLineChars="196"/>
        <w:jc w:val="left"/>
        <w:rPr>
          <w:rFonts w:hint="eastAsia" w:ascii="宋体" w:hAnsi="宋体" w:eastAsia="宋体" w:cs="宋体"/>
          <w:color w:val="auto"/>
          <w:kern w:val="0"/>
          <w:sz w:val="24"/>
          <w:highlight w:val="none"/>
        </w:rPr>
      </w:pPr>
      <w:r>
        <w:rPr>
          <w:rFonts w:hint="eastAsia" w:ascii="宋体" w:hAnsi="宋体" w:eastAsia="宋体" w:cs="宋体"/>
          <w:color w:val="auto"/>
          <w:sz w:val="24"/>
          <w:szCs w:val="24"/>
          <w:highlight w:val="none"/>
        </w:rPr>
        <w:t>法定代表人/负责人或被授权人：</w:t>
      </w:r>
      <w:r>
        <w:rPr>
          <w:rFonts w:hint="eastAsia" w:ascii="宋体" w:hAnsi="宋体" w:eastAsia="宋体" w:cs="宋体"/>
          <w:color w:val="auto"/>
          <w:kern w:val="0"/>
          <w:sz w:val="24"/>
          <w:highlight w:val="none"/>
        </w:rPr>
        <w:t>（签字）</w:t>
      </w:r>
    </w:p>
    <w:p w14:paraId="4C353228">
      <w:pPr>
        <w:widowControl/>
        <w:shd w:val="clear" w:color="auto" w:fill="auto"/>
        <w:spacing w:line="360" w:lineRule="auto"/>
        <w:ind w:left="239" w:leftChars="114" w:firstLine="470" w:firstLineChars="196"/>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址：</w:t>
      </w:r>
    </w:p>
    <w:p w14:paraId="2A07CA94">
      <w:pPr>
        <w:widowControl/>
        <w:shd w:val="clear" w:color="auto" w:fill="auto"/>
        <w:spacing w:line="360" w:lineRule="auto"/>
        <w:ind w:left="239" w:leftChars="114" w:firstLine="470" w:firstLineChars="196"/>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编：</w:t>
      </w:r>
    </w:p>
    <w:p w14:paraId="35CF4BF5">
      <w:pPr>
        <w:widowControl/>
        <w:shd w:val="clear" w:color="auto" w:fill="auto"/>
        <w:spacing w:line="360" w:lineRule="auto"/>
        <w:ind w:left="239" w:leftChars="114" w:firstLine="470" w:firstLineChars="196"/>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话：         </w:t>
      </w:r>
    </w:p>
    <w:p w14:paraId="76C31FEB">
      <w:pPr>
        <w:widowControl/>
        <w:shd w:val="clear" w:color="auto" w:fill="auto"/>
        <w:spacing w:line="360" w:lineRule="auto"/>
        <w:ind w:left="239" w:leftChars="114" w:firstLine="470" w:firstLineChars="196"/>
        <w:jc w:val="left"/>
        <w:rPr>
          <w:rFonts w:hint="eastAsia" w:ascii="宋体" w:hAnsi="宋体" w:eastAsia="宋体" w:cs="宋体"/>
          <w:color w:val="auto"/>
          <w:kern w:val="0"/>
          <w:sz w:val="24"/>
          <w:highlight w:val="none"/>
        </w:rPr>
        <w:sectPr>
          <w:pgSz w:w="11906" w:h="16838"/>
          <w:pgMar w:top="1440" w:right="1800" w:bottom="1440" w:left="1800" w:header="1134" w:footer="1134" w:gutter="0"/>
          <w:pgBorders>
            <w:top w:val="none" w:sz="0" w:space="0"/>
            <w:left w:val="none" w:sz="0" w:space="0"/>
            <w:bottom w:val="none" w:sz="0" w:space="0"/>
            <w:right w:val="none" w:sz="0" w:space="0"/>
          </w:pgBorders>
          <w:pgNumType w:fmt="decimal"/>
          <w:cols w:space="720" w:num="1"/>
          <w:titlePg/>
          <w:rtlGutter w:val="0"/>
          <w:docGrid w:type="lines" w:linePitch="312" w:charSpace="0"/>
        </w:sectPr>
      </w:pPr>
      <w:r>
        <w:rPr>
          <w:rFonts w:hint="eastAsia" w:ascii="宋体" w:hAnsi="宋体" w:eastAsia="宋体" w:cs="宋体"/>
          <w:color w:val="auto"/>
          <w:kern w:val="0"/>
          <w:sz w:val="24"/>
          <w:highlight w:val="none"/>
        </w:rPr>
        <w:t>日  期：         </w:t>
      </w:r>
    </w:p>
    <w:p w14:paraId="7E226C63">
      <w:pPr>
        <w:keepNext/>
        <w:keepLines/>
        <w:widowControl w:val="0"/>
        <w:shd w:val="clear" w:color="auto" w:fill="auto"/>
        <w:bidi w:val="0"/>
        <w:spacing w:before="260" w:beforeLines="0" w:beforeAutospacing="0" w:after="260" w:afterLines="0" w:afterAutospacing="0" w:line="360" w:lineRule="auto"/>
        <w:jc w:val="center"/>
        <w:outlineLvl w:val="9"/>
        <w:rPr>
          <w:rFonts w:hint="eastAsia" w:ascii="宋体" w:hAnsi="宋体" w:eastAsia="宋体" w:cs="宋体"/>
          <w:b/>
          <w:color w:val="auto"/>
          <w:kern w:val="2"/>
          <w:sz w:val="24"/>
          <w:highlight w:val="none"/>
          <w:lang w:val="en-US" w:eastAsia="zh-CN" w:bidi="ar-SA"/>
        </w:rPr>
      </w:pPr>
      <w:r>
        <w:rPr>
          <w:rFonts w:hint="eastAsia" w:ascii="宋体" w:hAnsi="宋体" w:eastAsia="宋体" w:cs="宋体"/>
          <w:b/>
          <w:color w:val="auto"/>
          <w:kern w:val="2"/>
          <w:sz w:val="30"/>
          <w:highlight w:val="none"/>
          <w:lang w:val="en-US" w:eastAsia="zh-CN" w:bidi="ar-SA"/>
        </w:rPr>
        <w:t>承诺书（二）</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2"/>
        <w:gridCol w:w="3465"/>
        <w:gridCol w:w="2371"/>
      </w:tblGrid>
      <w:tr w14:paraId="1580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118" w:type="dxa"/>
            <w:gridSpan w:val="3"/>
            <w:noWrap w:val="0"/>
            <w:vAlign w:val="center"/>
          </w:tcPr>
          <w:p w14:paraId="191BA7C8">
            <w:pPr>
              <w:shd w:val="clear" w:color="auto" w:fill="auto"/>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陕西盛誉恒正项目管理有限公司</w:t>
            </w:r>
          </w:p>
        </w:tc>
      </w:tr>
      <w:tr w14:paraId="2392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jc w:val="center"/>
        </w:trPr>
        <w:tc>
          <w:tcPr>
            <w:tcW w:w="9118" w:type="dxa"/>
            <w:gridSpan w:val="3"/>
            <w:noWrap w:val="0"/>
            <w:vAlign w:val="center"/>
          </w:tcPr>
          <w:p w14:paraId="1D53DCB8">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作为参加贵公司组织的本次招标项目的供应商，本公司承诺：在参加本项目招标之前不存在被依法禁止经营行为、财产被接管或冻结的情况，如有隐瞒实情，愿承担一切责任及后果。</w:t>
            </w:r>
          </w:p>
        </w:tc>
      </w:tr>
      <w:tr w14:paraId="4D823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3282" w:type="dxa"/>
            <w:noWrap w:val="0"/>
            <w:vAlign w:val="center"/>
          </w:tcPr>
          <w:p w14:paraId="3C03A44D">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p>
        </w:tc>
        <w:tc>
          <w:tcPr>
            <w:tcW w:w="3465" w:type="dxa"/>
            <w:noWrap w:val="0"/>
            <w:vAlign w:val="center"/>
          </w:tcPr>
          <w:p w14:paraId="15AC2A80">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/负责人</w:t>
            </w:r>
          </w:p>
        </w:tc>
        <w:tc>
          <w:tcPr>
            <w:tcW w:w="2371" w:type="dxa"/>
            <w:noWrap w:val="0"/>
            <w:vAlign w:val="center"/>
          </w:tcPr>
          <w:p w14:paraId="1058316C">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0E4C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3282" w:type="dxa"/>
            <w:noWrap w:val="0"/>
            <w:vAlign w:val="center"/>
          </w:tcPr>
          <w:p w14:paraId="1E327C22">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65" w:type="dxa"/>
            <w:noWrap w:val="0"/>
            <w:vAlign w:val="center"/>
          </w:tcPr>
          <w:p w14:paraId="62E043B9">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eastAsia="zh-CN"/>
              </w:rPr>
              <w:t>并</w:t>
            </w:r>
            <w:r>
              <w:rPr>
                <w:rFonts w:hint="eastAsia" w:ascii="宋体" w:hAnsi="宋体" w:eastAsia="宋体" w:cs="宋体"/>
                <w:color w:val="auto"/>
                <w:sz w:val="24"/>
                <w:highlight w:val="none"/>
              </w:rPr>
              <w:t>盖章）</w:t>
            </w:r>
          </w:p>
        </w:tc>
        <w:tc>
          <w:tcPr>
            <w:tcW w:w="2371" w:type="dxa"/>
            <w:noWrap w:val="0"/>
            <w:vAlign w:val="center"/>
          </w:tcPr>
          <w:p w14:paraId="2FFA234A">
            <w:pPr>
              <w:shd w:val="clear" w:color="auto" w:fill="auto"/>
              <w:spacing w:line="360" w:lineRule="auto"/>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35E16F16">
      <w:pPr>
        <w:keepNext/>
        <w:keepLines/>
        <w:widowControl w:val="0"/>
        <w:shd w:val="clear" w:color="auto" w:fill="auto"/>
        <w:bidi w:val="0"/>
        <w:spacing w:before="260" w:beforeLines="0" w:beforeAutospacing="0" w:after="260" w:afterLines="0" w:afterAutospacing="0" w:line="360" w:lineRule="auto"/>
        <w:jc w:val="center"/>
        <w:outlineLvl w:val="9"/>
        <w:rPr>
          <w:rFonts w:hint="eastAsia" w:ascii="宋体" w:hAnsi="宋体" w:eastAsia="宋体" w:cs="宋体"/>
          <w:b/>
          <w:color w:val="auto"/>
          <w:kern w:val="2"/>
          <w:sz w:val="30"/>
          <w:highlight w:val="none"/>
          <w:lang w:val="en-US" w:eastAsia="zh-CN" w:bidi="ar-SA"/>
        </w:rPr>
      </w:pPr>
      <w:r>
        <w:rPr>
          <w:rFonts w:hint="eastAsia" w:ascii="宋体" w:hAnsi="宋体" w:eastAsia="宋体" w:cs="宋体"/>
          <w:b/>
          <w:color w:val="auto"/>
          <w:kern w:val="2"/>
          <w:sz w:val="30"/>
          <w:highlight w:val="none"/>
          <w:lang w:val="en-US" w:eastAsia="zh-CN" w:bidi="ar-SA"/>
        </w:rPr>
        <w:t>承诺书（三）</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3"/>
        <w:gridCol w:w="3497"/>
        <w:gridCol w:w="2392"/>
      </w:tblGrid>
      <w:tr w14:paraId="4D96C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202" w:type="dxa"/>
            <w:gridSpan w:val="3"/>
            <w:noWrap w:val="0"/>
            <w:vAlign w:val="center"/>
          </w:tcPr>
          <w:p w14:paraId="02039557">
            <w:pPr>
              <w:shd w:val="clear" w:color="auto" w:fill="auto"/>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陕西盛誉恒正项目管理有限公司</w:t>
            </w:r>
          </w:p>
        </w:tc>
      </w:tr>
      <w:tr w14:paraId="0AA3A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jc w:val="center"/>
        </w:trPr>
        <w:tc>
          <w:tcPr>
            <w:tcW w:w="9202" w:type="dxa"/>
            <w:gridSpan w:val="3"/>
            <w:noWrap w:val="0"/>
            <w:vAlign w:val="center"/>
          </w:tcPr>
          <w:p w14:paraId="62001767">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作为参加贵公司组织的本次招标项目的供应商，本公司郑重申告并承诺：近三年受到有关行政主管部门的行政处理、不良行为记录为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次（没有填零），如有隐瞒实情，愿承担一切责任及后果。</w:t>
            </w:r>
          </w:p>
        </w:tc>
      </w:tr>
      <w:tr w14:paraId="1BEA4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3313" w:type="dxa"/>
            <w:noWrap w:val="0"/>
            <w:vAlign w:val="center"/>
          </w:tcPr>
          <w:p w14:paraId="1DDCC27E">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97" w:type="dxa"/>
            <w:noWrap w:val="0"/>
            <w:vAlign w:val="center"/>
          </w:tcPr>
          <w:p w14:paraId="2CB5F3AE">
            <w:pPr>
              <w:shd w:val="clear" w:color="auto" w:fill="auto"/>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/负责人</w:t>
            </w:r>
          </w:p>
        </w:tc>
        <w:tc>
          <w:tcPr>
            <w:tcW w:w="2392" w:type="dxa"/>
            <w:noWrap w:val="0"/>
            <w:vAlign w:val="center"/>
          </w:tcPr>
          <w:p w14:paraId="0E6F0F73">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6C5DD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3313" w:type="dxa"/>
            <w:noWrap w:val="0"/>
            <w:vAlign w:val="center"/>
          </w:tcPr>
          <w:p w14:paraId="100CA164">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97" w:type="dxa"/>
            <w:noWrap w:val="0"/>
            <w:vAlign w:val="center"/>
          </w:tcPr>
          <w:p w14:paraId="32ED910C">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eastAsia="zh-CN"/>
              </w:rPr>
              <w:t>并</w:t>
            </w:r>
            <w:r>
              <w:rPr>
                <w:rFonts w:hint="eastAsia" w:ascii="宋体" w:hAnsi="宋体" w:eastAsia="宋体" w:cs="宋体"/>
                <w:color w:val="auto"/>
                <w:sz w:val="24"/>
                <w:highlight w:val="none"/>
              </w:rPr>
              <w:t>盖章）</w:t>
            </w:r>
          </w:p>
        </w:tc>
        <w:tc>
          <w:tcPr>
            <w:tcW w:w="2392" w:type="dxa"/>
            <w:noWrap w:val="0"/>
            <w:vAlign w:val="center"/>
          </w:tcPr>
          <w:p w14:paraId="18CB84C9">
            <w:pPr>
              <w:shd w:val="clear" w:color="auto" w:fill="auto"/>
              <w:spacing w:line="360" w:lineRule="auto"/>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31861169">
      <w:pPr>
        <w:shd w:val="clear" w:color="auto" w:fill="auto"/>
        <w:bidi w:val="0"/>
        <w:rPr>
          <w:rFonts w:hint="eastAsia" w:ascii="宋体" w:hAnsi="宋体" w:eastAsia="宋体" w:cs="宋体"/>
          <w:color w:val="auto"/>
          <w:highlight w:val="none"/>
        </w:rPr>
        <w:sectPr>
          <w:pgSz w:w="11906" w:h="16838"/>
          <w:pgMar w:top="1440" w:right="1800" w:bottom="1440" w:left="1800" w:header="1134" w:footer="1134" w:gutter="0"/>
          <w:pgBorders>
            <w:top w:val="none" w:sz="0" w:space="0"/>
            <w:left w:val="none" w:sz="0" w:space="0"/>
            <w:bottom w:val="none" w:sz="0" w:space="0"/>
            <w:right w:val="none" w:sz="0" w:space="0"/>
          </w:pgBorders>
          <w:pgNumType w:fmt="decimal"/>
          <w:cols w:space="720" w:num="1"/>
          <w:titlePg/>
          <w:rtlGutter w:val="0"/>
          <w:docGrid w:type="lines" w:linePitch="312" w:charSpace="0"/>
        </w:sectPr>
      </w:pPr>
    </w:p>
    <w:p w14:paraId="4DF870B7">
      <w:pPr>
        <w:keepNext/>
        <w:keepLines/>
        <w:widowControl w:val="0"/>
        <w:shd w:val="clear" w:color="auto" w:fill="auto"/>
        <w:bidi w:val="0"/>
        <w:spacing w:before="260" w:beforeLines="0" w:beforeAutospacing="0" w:after="260" w:afterLines="0" w:afterAutospacing="0" w:line="360" w:lineRule="auto"/>
        <w:jc w:val="center"/>
        <w:outlineLvl w:val="9"/>
        <w:rPr>
          <w:rFonts w:hint="eastAsia" w:ascii="宋体" w:hAnsi="宋体" w:eastAsia="宋体" w:cs="宋体"/>
          <w:b/>
          <w:color w:val="auto"/>
          <w:kern w:val="2"/>
          <w:sz w:val="24"/>
          <w:highlight w:val="none"/>
          <w:lang w:val="en-US" w:eastAsia="zh-CN" w:bidi="ar-SA"/>
        </w:rPr>
      </w:pPr>
      <w:r>
        <w:rPr>
          <w:rFonts w:hint="eastAsia" w:ascii="宋体" w:hAnsi="宋体" w:eastAsia="宋体" w:cs="宋体"/>
          <w:b/>
          <w:color w:val="auto"/>
          <w:kern w:val="2"/>
          <w:sz w:val="30"/>
          <w:highlight w:val="none"/>
          <w:lang w:val="en-US" w:eastAsia="zh-CN" w:bidi="ar-SA"/>
        </w:rPr>
        <w:t>承诺书（四）</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71"/>
        <w:gridCol w:w="2376"/>
      </w:tblGrid>
      <w:tr w14:paraId="7095F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35" w:type="dxa"/>
            <w:gridSpan w:val="3"/>
            <w:noWrap w:val="0"/>
            <w:vAlign w:val="center"/>
          </w:tcPr>
          <w:p w14:paraId="4B1108E7">
            <w:pPr>
              <w:shd w:val="clear" w:color="auto" w:fill="auto"/>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陕西盛誉恒正项目管理有限公司</w:t>
            </w:r>
          </w:p>
        </w:tc>
      </w:tr>
      <w:tr w14:paraId="77B24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9135" w:type="dxa"/>
            <w:gridSpan w:val="3"/>
            <w:noWrap w:val="0"/>
            <w:vAlign w:val="center"/>
          </w:tcPr>
          <w:p w14:paraId="4469D787">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作为参加贵公司组织的本次招标项目的供应商，本公司郑重申告：近三年因产品供货问题（水货、替代品、次品、翻新品等）的不法行为记录为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次（没有填零），如有隐瞒实情，愿承担一切责任及后果。</w:t>
            </w:r>
          </w:p>
          <w:p w14:paraId="56C11F15">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本公司承诺：本次招标标的物为正品行货。</w:t>
            </w:r>
          </w:p>
        </w:tc>
      </w:tr>
      <w:tr w14:paraId="5C17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3288" w:type="dxa"/>
            <w:noWrap w:val="0"/>
            <w:vAlign w:val="center"/>
          </w:tcPr>
          <w:p w14:paraId="403EBFF9">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71" w:type="dxa"/>
            <w:noWrap w:val="0"/>
            <w:vAlign w:val="center"/>
          </w:tcPr>
          <w:p w14:paraId="5C253E07">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/负责人</w:t>
            </w:r>
          </w:p>
        </w:tc>
        <w:tc>
          <w:tcPr>
            <w:tcW w:w="2376" w:type="dxa"/>
            <w:noWrap w:val="0"/>
            <w:vAlign w:val="center"/>
          </w:tcPr>
          <w:p w14:paraId="4BC18E9E">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46D04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jc w:val="center"/>
        </w:trPr>
        <w:tc>
          <w:tcPr>
            <w:tcW w:w="3288" w:type="dxa"/>
            <w:noWrap w:val="0"/>
            <w:vAlign w:val="center"/>
          </w:tcPr>
          <w:p w14:paraId="25508708">
            <w:pPr>
              <w:shd w:val="clear" w:color="auto" w:fill="auto"/>
              <w:spacing w:line="360" w:lineRule="auto"/>
              <w:ind w:left="-55" w:leftChars="-26" w:firstLine="52" w:firstLineChars="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71" w:type="dxa"/>
            <w:noWrap w:val="0"/>
            <w:vAlign w:val="center"/>
          </w:tcPr>
          <w:p w14:paraId="5CF2B949">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eastAsia="zh-CN"/>
              </w:rPr>
              <w:t>并</w:t>
            </w:r>
            <w:r>
              <w:rPr>
                <w:rFonts w:hint="eastAsia" w:ascii="宋体" w:hAnsi="宋体" w:eastAsia="宋体" w:cs="宋体"/>
                <w:color w:val="auto"/>
                <w:sz w:val="24"/>
                <w:highlight w:val="none"/>
              </w:rPr>
              <w:t>盖章）</w:t>
            </w:r>
          </w:p>
        </w:tc>
        <w:tc>
          <w:tcPr>
            <w:tcW w:w="2376" w:type="dxa"/>
            <w:noWrap w:val="0"/>
            <w:vAlign w:val="center"/>
          </w:tcPr>
          <w:p w14:paraId="68EB1C5C">
            <w:pPr>
              <w:shd w:val="clear" w:color="auto" w:fill="auto"/>
              <w:spacing w:line="360" w:lineRule="auto"/>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566F17F5">
      <w:pPr>
        <w:keepNext/>
        <w:keepLines/>
        <w:widowControl w:val="0"/>
        <w:shd w:val="clear" w:color="auto" w:fill="auto"/>
        <w:bidi w:val="0"/>
        <w:spacing w:before="260" w:beforeLines="0" w:beforeAutospacing="0" w:after="260" w:afterLines="0" w:afterAutospacing="0" w:line="360" w:lineRule="auto"/>
        <w:jc w:val="center"/>
        <w:outlineLvl w:val="9"/>
        <w:rPr>
          <w:rFonts w:hint="eastAsia" w:ascii="宋体" w:hAnsi="宋体" w:eastAsia="宋体" w:cs="宋体"/>
          <w:b/>
          <w:color w:val="auto"/>
          <w:kern w:val="2"/>
          <w:sz w:val="30"/>
          <w:highlight w:val="none"/>
          <w:lang w:val="en-US" w:eastAsia="zh-CN" w:bidi="ar-SA"/>
        </w:rPr>
      </w:pPr>
      <w:r>
        <w:rPr>
          <w:rFonts w:hint="eastAsia" w:ascii="宋体" w:hAnsi="宋体" w:eastAsia="宋体" w:cs="宋体"/>
          <w:b/>
          <w:color w:val="auto"/>
          <w:kern w:val="2"/>
          <w:sz w:val="30"/>
          <w:highlight w:val="none"/>
          <w:lang w:val="en-US" w:eastAsia="zh-CN" w:bidi="ar-SA"/>
        </w:rPr>
        <w:t>承诺书（五）</w:t>
      </w:r>
    </w:p>
    <w:tbl>
      <w:tblPr>
        <w:tblStyle w:val="16"/>
        <w:tblpPr w:leftFromText="180" w:rightFromText="180" w:vertAnchor="text" w:horzAnchor="margin" w:tblpXSpec="center" w:tblpY="1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8"/>
        <w:gridCol w:w="3524"/>
        <w:gridCol w:w="2761"/>
      </w:tblGrid>
      <w:tr w14:paraId="57415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073" w:type="dxa"/>
            <w:gridSpan w:val="3"/>
            <w:noWrap w:val="0"/>
            <w:vAlign w:val="center"/>
          </w:tcPr>
          <w:p w14:paraId="0F553F7E">
            <w:pPr>
              <w:shd w:val="clear" w:color="auto" w:fill="auto"/>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陕西盛誉恒正项目管理有限公司</w:t>
            </w:r>
          </w:p>
        </w:tc>
      </w:tr>
      <w:tr w14:paraId="2BA31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4" w:hRule="atLeast"/>
          <w:jc w:val="center"/>
        </w:trPr>
        <w:tc>
          <w:tcPr>
            <w:tcW w:w="9073" w:type="dxa"/>
            <w:gridSpan w:val="3"/>
            <w:noWrap w:val="0"/>
            <w:vAlign w:val="center"/>
          </w:tcPr>
          <w:p w14:paraId="265D458B">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作为参加贵公司组织的本次招标项目的供应商，本公司承诺：参加本次招标提交的所有资质证明文件及业绩证明文件是真实的、有效的，如有隐瞒实情，愿承担一切责任及后果。</w:t>
            </w:r>
          </w:p>
        </w:tc>
      </w:tr>
      <w:tr w14:paraId="1F6C9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2788" w:type="dxa"/>
            <w:noWrap w:val="0"/>
            <w:vAlign w:val="center"/>
          </w:tcPr>
          <w:p w14:paraId="4144F336">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524" w:type="dxa"/>
            <w:noWrap w:val="0"/>
            <w:vAlign w:val="center"/>
          </w:tcPr>
          <w:p w14:paraId="175282FB">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/负责人</w:t>
            </w:r>
          </w:p>
        </w:tc>
        <w:tc>
          <w:tcPr>
            <w:tcW w:w="2761" w:type="dxa"/>
            <w:noWrap w:val="0"/>
            <w:vAlign w:val="center"/>
          </w:tcPr>
          <w:p w14:paraId="7DAAA723">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3A3FC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9" w:hRule="atLeast"/>
          <w:jc w:val="center"/>
        </w:trPr>
        <w:tc>
          <w:tcPr>
            <w:tcW w:w="2788" w:type="dxa"/>
            <w:noWrap w:val="0"/>
            <w:vAlign w:val="center"/>
          </w:tcPr>
          <w:p w14:paraId="2C8F4E8C">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524" w:type="dxa"/>
            <w:noWrap w:val="0"/>
            <w:vAlign w:val="center"/>
          </w:tcPr>
          <w:p w14:paraId="67540F08">
            <w:pPr>
              <w:shd w:val="clear" w:color="auto" w:fill="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eastAsia="zh-CN"/>
              </w:rPr>
              <w:t>并</w:t>
            </w:r>
            <w:r>
              <w:rPr>
                <w:rFonts w:hint="eastAsia" w:ascii="宋体" w:hAnsi="宋体" w:eastAsia="宋体" w:cs="宋体"/>
                <w:color w:val="auto"/>
                <w:sz w:val="24"/>
                <w:highlight w:val="none"/>
              </w:rPr>
              <w:t>盖章）</w:t>
            </w:r>
          </w:p>
        </w:tc>
        <w:tc>
          <w:tcPr>
            <w:tcW w:w="2761" w:type="dxa"/>
            <w:noWrap w:val="0"/>
            <w:vAlign w:val="center"/>
          </w:tcPr>
          <w:p w14:paraId="5C2AA5C3">
            <w:pPr>
              <w:shd w:val="clear" w:color="auto" w:fill="auto"/>
              <w:spacing w:line="360" w:lineRule="auto"/>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00C9C271">
      <w:pPr>
        <w:widowControl/>
        <w:shd w:val="clear" w:color="auto" w:fill="auto"/>
        <w:spacing w:line="500" w:lineRule="exact"/>
        <w:ind w:firstLine="560" w:firstLineChars="200"/>
        <w:rPr>
          <w:rFonts w:hint="eastAsia" w:ascii="宋体" w:hAnsi="宋体" w:eastAsia="宋体" w:cs="宋体"/>
          <w:color w:val="auto"/>
          <w:sz w:val="28"/>
          <w:szCs w:val="28"/>
          <w:highlight w:val="none"/>
        </w:rPr>
      </w:pPr>
    </w:p>
    <w:p w14:paraId="58608F4C">
      <w:pPr>
        <w:spacing w:before="122" w:line="219" w:lineRule="auto"/>
        <w:ind w:left="42"/>
        <w:rPr>
          <w:rFonts w:ascii="宋体" w:hAnsi="宋体" w:eastAsia="宋体" w:cs="宋体"/>
          <w:b/>
          <w:bCs/>
          <w:spacing w:val="-4"/>
          <w:sz w:val="24"/>
          <w:szCs w:val="24"/>
        </w:rPr>
      </w:pPr>
    </w:p>
    <w:p w14:paraId="7DEFA358">
      <w:pPr>
        <w:spacing w:before="64" w:line="225" w:lineRule="auto"/>
        <w:ind w:left="3246"/>
        <w:outlineLvl w:val="1"/>
        <w:rPr>
          <w:rFonts w:ascii="宋体" w:hAnsi="宋体" w:eastAsia="宋体" w:cs="宋体"/>
          <w:sz w:val="31"/>
          <w:szCs w:val="31"/>
        </w:rPr>
      </w:pPr>
      <w:r>
        <w:rPr>
          <w:rFonts w:hint="eastAsia" w:ascii="宋体" w:hAnsi="宋体" w:eastAsia="宋体" w:cs="宋体"/>
          <w:b/>
          <w:bCs/>
          <w:sz w:val="31"/>
          <w:szCs w:val="31"/>
          <w:lang w:val="en-US" w:eastAsia="zh-CN"/>
        </w:rPr>
        <w:t>六</w:t>
      </w:r>
      <w:r>
        <w:rPr>
          <w:rFonts w:ascii="宋体" w:hAnsi="宋体" w:eastAsia="宋体" w:cs="宋体"/>
          <w:b/>
          <w:bCs/>
          <w:sz w:val="31"/>
          <w:szCs w:val="31"/>
        </w:rPr>
        <w:t>、响应方案</w:t>
      </w:r>
      <w:bookmarkEnd w:id="110"/>
    </w:p>
    <w:p w14:paraId="62C892E7">
      <w:pPr>
        <w:pStyle w:val="4"/>
        <w:spacing w:line="413" w:lineRule="auto"/>
      </w:pPr>
    </w:p>
    <w:p w14:paraId="588A562C">
      <w:pPr>
        <w:spacing w:before="78" w:line="219" w:lineRule="auto"/>
        <w:ind w:left="41"/>
        <w:rPr>
          <w:rFonts w:ascii="宋体" w:hAnsi="宋体" w:eastAsia="宋体" w:cs="宋体"/>
          <w:sz w:val="24"/>
          <w:szCs w:val="24"/>
        </w:rPr>
      </w:pPr>
      <w:r>
        <w:rPr>
          <w:rFonts w:ascii="宋体" w:hAnsi="宋体" w:eastAsia="宋体" w:cs="宋体"/>
          <w:spacing w:val="-4"/>
          <w:sz w:val="24"/>
          <w:szCs w:val="24"/>
        </w:rPr>
        <w:t>1、技术方案；</w:t>
      </w:r>
    </w:p>
    <w:p w14:paraId="154F95BE">
      <w:pPr>
        <w:pStyle w:val="4"/>
        <w:spacing w:line="259" w:lineRule="auto"/>
      </w:pPr>
    </w:p>
    <w:p w14:paraId="565DEC8E">
      <w:pPr>
        <w:spacing w:before="78" w:line="220" w:lineRule="auto"/>
        <w:ind w:left="26"/>
        <w:rPr>
          <w:rFonts w:ascii="宋体" w:hAnsi="宋体" w:eastAsia="宋体" w:cs="宋体"/>
          <w:sz w:val="24"/>
          <w:szCs w:val="24"/>
        </w:rPr>
      </w:pPr>
      <w:r>
        <w:rPr>
          <w:rFonts w:ascii="宋体" w:hAnsi="宋体" w:eastAsia="宋体" w:cs="宋体"/>
          <w:spacing w:val="-2"/>
          <w:sz w:val="24"/>
          <w:szCs w:val="24"/>
        </w:rPr>
        <w:t>2、质量控制措施；</w:t>
      </w:r>
    </w:p>
    <w:p w14:paraId="580F6443">
      <w:pPr>
        <w:pStyle w:val="4"/>
        <w:spacing w:line="258" w:lineRule="auto"/>
      </w:pPr>
    </w:p>
    <w:p w14:paraId="07D74FC0">
      <w:pPr>
        <w:spacing w:before="78" w:line="220" w:lineRule="auto"/>
        <w:ind w:left="28"/>
        <w:rPr>
          <w:rFonts w:ascii="宋体" w:hAnsi="宋体" w:eastAsia="宋体" w:cs="宋体"/>
          <w:sz w:val="24"/>
          <w:szCs w:val="24"/>
        </w:rPr>
      </w:pPr>
      <w:r>
        <w:rPr>
          <w:rFonts w:ascii="宋体" w:hAnsi="宋体" w:eastAsia="宋体" w:cs="宋体"/>
          <w:spacing w:val="-2"/>
          <w:sz w:val="24"/>
          <w:szCs w:val="24"/>
        </w:rPr>
        <w:t>3、进度保证措施；</w:t>
      </w:r>
    </w:p>
    <w:p w14:paraId="149B7348">
      <w:pPr>
        <w:pStyle w:val="4"/>
        <w:spacing w:line="258" w:lineRule="auto"/>
      </w:pPr>
    </w:p>
    <w:p w14:paraId="27C2FCA5">
      <w:pPr>
        <w:spacing w:before="78" w:line="219" w:lineRule="auto"/>
        <w:ind w:left="22"/>
        <w:rPr>
          <w:rFonts w:ascii="宋体" w:hAnsi="宋体" w:eastAsia="宋体" w:cs="宋体"/>
          <w:sz w:val="24"/>
          <w:szCs w:val="24"/>
        </w:rPr>
      </w:pPr>
      <w:r>
        <w:rPr>
          <w:rFonts w:ascii="宋体" w:hAnsi="宋体" w:eastAsia="宋体" w:cs="宋体"/>
          <w:spacing w:val="-2"/>
          <w:sz w:val="24"/>
          <w:szCs w:val="24"/>
        </w:rPr>
        <w:t>4、售后服务；</w:t>
      </w:r>
    </w:p>
    <w:p w14:paraId="6B3A1CFC">
      <w:pPr>
        <w:pStyle w:val="4"/>
        <w:spacing w:line="243" w:lineRule="auto"/>
      </w:pPr>
    </w:p>
    <w:p w14:paraId="7522514B">
      <w:pPr>
        <w:pStyle w:val="4"/>
        <w:spacing w:line="243" w:lineRule="auto"/>
      </w:pPr>
    </w:p>
    <w:p w14:paraId="33D71417">
      <w:pPr>
        <w:pStyle w:val="4"/>
        <w:spacing w:line="243" w:lineRule="auto"/>
      </w:pPr>
    </w:p>
    <w:p w14:paraId="24E48C24">
      <w:pPr>
        <w:pStyle w:val="4"/>
        <w:spacing w:line="244" w:lineRule="auto"/>
      </w:pPr>
    </w:p>
    <w:p w14:paraId="647B7E47">
      <w:pPr>
        <w:pStyle w:val="4"/>
        <w:spacing w:line="244" w:lineRule="auto"/>
      </w:pPr>
    </w:p>
    <w:p w14:paraId="336AA4CB">
      <w:pPr>
        <w:pStyle w:val="4"/>
        <w:spacing w:line="244" w:lineRule="auto"/>
      </w:pPr>
    </w:p>
    <w:p w14:paraId="066EA84A">
      <w:pPr>
        <w:pStyle w:val="4"/>
        <w:spacing w:line="244" w:lineRule="auto"/>
      </w:pPr>
    </w:p>
    <w:p w14:paraId="6B85538B">
      <w:pPr>
        <w:pStyle w:val="4"/>
        <w:spacing w:line="244" w:lineRule="auto"/>
      </w:pPr>
    </w:p>
    <w:p w14:paraId="6A454C77">
      <w:pPr>
        <w:pStyle w:val="4"/>
        <w:spacing w:line="244" w:lineRule="auto"/>
      </w:pPr>
    </w:p>
    <w:p w14:paraId="1CE58E10">
      <w:pPr>
        <w:pStyle w:val="4"/>
        <w:spacing w:line="244" w:lineRule="auto"/>
      </w:pPr>
    </w:p>
    <w:p w14:paraId="39CD2C20">
      <w:pPr>
        <w:pStyle w:val="4"/>
        <w:spacing w:line="244" w:lineRule="auto"/>
      </w:pPr>
    </w:p>
    <w:p w14:paraId="2190F82E">
      <w:pPr>
        <w:pStyle w:val="4"/>
        <w:spacing w:line="244" w:lineRule="auto"/>
      </w:pPr>
    </w:p>
    <w:p w14:paraId="085D25A6">
      <w:pPr>
        <w:pStyle w:val="4"/>
        <w:spacing w:line="244" w:lineRule="auto"/>
      </w:pPr>
    </w:p>
    <w:p w14:paraId="57D9D16B">
      <w:pPr>
        <w:pStyle w:val="4"/>
        <w:spacing w:line="244" w:lineRule="auto"/>
      </w:pPr>
    </w:p>
    <w:p w14:paraId="6D5ABE59">
      <w:pPr>
        <w:pStyle w:val="4"/>
        <w:spacing w:line="244" w:lineRule="auto"/>
      </w:pPr>
    </w:p>
    <w:p w14:paraId="12BE8283">
      <w:pPr>
        <w:pStyle w:val="4"/>
        <w:spacing w:line="244" w:lineRule="auto"/>
      </w:pPr>
    </w:p>
    <w:p w14:paraId="2E53D557">
      <w:pPr>
        <w:spacing w:before="78" w:line="219" w:lineRule="auto"/>
        <w:ind w:left="2663"/>
        <w:rPr>
          <w:rFonts w:ascii="宋体" w:hAnsi="宋体" w:eastAsia="宋体" w:cs="宋体"/>
          <w:sz w:val="24"/>
          <w:szCs w:val="24"/>
        </w:rPr>
      </w:pPr>
      <w:r>
        <w:rPr>
          <w:rFonts w:ascii="宋体" w:hAnsi="宋体" w:eastAsia="宋体" w:cs="宋体"/>
          <w:spacing w:val="-2"/>
          <w:sz w:val="24"/>
          <w:szCs w:val="24"/>
        </w:rPr>
        <w:t>供应商名称（公章</w:t>
      </w:r>
      <w:r>
        <w:rPr>
          <w:rFonts w:ascii="宋体" w:hAnsi="宋体" w:eastAsia="宋体" w:cs="宋体"/>
          <w:spacing w:val="-63"/>
          <w:w w:val="99"/>
          <w:sz w:val="24"/>
          <w:szCs w:val="24"/>
        </w:rPr>
        <w:t>）：</w:t>
      </w:r>
    </w:p>
    <w:p w14:paraId="13D060B5">
      <w:pPr>
        <w:spacing w:before="183" w:line="219" w:lineRule="auto"/>
        <w:ind w:left="2664"/>
        <w:rPr>
          <w:rFonts w:ascii="宋体" w:hAnsi="宋体" w:eastAsia="宋体" w:cs="宋体"/>
          <w:sz w:val="24"/>
          <w:szCs w:val="24"/>
        </w:rPr>
      </w:pPr>
      <w:r>
        <w:rPr>
          <w:rFonts w:ascii="宋体" w:hAnsi="宋体" w:eastAsia="宋体" w:cs="宋体"/>
          <w:spacing w:val="-1"/>
          <w:sz w:val="24"/>
          <w:szCs w:val="24"/>
        </w:rPr>
        <w:t>法定代表人/负责人或被授权代表（签字</w:t>
      </w:r>
      <w:r>
        <w:rPr>
          <w:rFonts w:hint="eastAsia" w:ascii="宋体" w:hAnsi="宋体" w:eastAsia="宋体" w:cs="宋体"/>
          <w:spacing w:val="-1"/>
          <w:sz w:val="24"/>
          <w:szCs w:val="24"/>
          <w:lang w:val="en-US" w:eastAsia="zh-CN"/>
        </w:rPr>
        <w:t>并</w:t>
      </w:r>
      <w:r>
        <w:rPr>
          <w:rFonts w:ascii="宋体" w:hAnsi="宋体" w:eastAsia="宋体" w:cs="宋体"/>
          <w:spacing w:val="-1"/>
          <w:sz w:val="24"/>
          <w:szCs w:val="24"/>
        </w:rPr>
        <w:t>盖章</w:t>
      </w:r>
      <w:r>
        <w:rPr>
          <w:rFonts w:ascii="宋体" w:hAnsi="宋体" w:eastAsia="宋体" w:cs="宋体"/>
          <w:spacing w:val="-64"/>
          <w:sz w:val="24"/>
          <w:szCs w:val="24"/>
        </w:rPr>
        <w:t>）：</w:t>
      </w:r>
    </w:p>
    <w:p w14:paraId="4FD8422A">
      <w:pPr>
        <w:spacing w:before="184" w:line="220" w:lineRule="auto"/>
        <w:ind w:left="2704"/>
        <w:rPr>
          <w:rFonts w:ascii="宋体" w:hAnsi="宋体" w:eastAsia="宋体" w:cs="宋体"/>
          <w:sz w:val="24"/>
          <w:szCs w:val="24"/>
        </w:rPr>
      </w:pPr>
      <w:r>
        <w:rPr>
          <w:rFonts w:ascii="宋体" w:hAnsi="宋体" w:eastAsia="宋体" w:cs="宋体"/>
          <w:spacing w:val="-17"/>
          <w:sz w:val="24"/>
          <w:szCs w:val="24"/>
        </w:rPr>
        <w:t>日期：</w:t>
      </w:r>
    </w:p>
    <w:p w14:paraId="765035B6">
      <w:pPr>
        <w:spacing w:line="220" w:lineRule="auto"/>
        <w:rPr>
          <w:rFonts w:ascii="宋体" w:hAnsi="宋体" w:eastAsia="宋体" w:cs="宋体"/>
          <w:sz w:val="24"/>
          <w:szCs w:val="24"/>
        </w:rPr>
        <w:sectPr>
          <w:footerReference r:id="rId24" w:type="default"/>
          <w:pgSz w:w="11906" w:h="16839"/>
          <w:pgMar w:top="1424" w:right="1785" w:bottom="1330" w:left="1785" w:header="0" w:footer="1164" w:gutter="0"/>
          <w:pgNumType w:fmt="decimal"/>
          <w:cols w:space="720" w:num="1"/>
        </w:sectPr>
      </w:pPr>
    </w:p>
    <w:p w14:paraId="6F73CCA1">
      <w:pPr>
        <w:spacing w:before="184" w:line="220" w:lineRule="auto"/>
        <w:jc w:val="center"/>
        <w:rPr>
          <w:rFonts w:ascii="宋体" w:hAnsi="宋体" w:eastAsia="宋体" w:cs="宋体"/>
          <w:sz w:val="24"/>
          <w:szCs w:val="24"/>
        </w:rPr>
      </w:pPr>
      <w:r>
        <w:rPr>
          <w:rFonts w:hint="eastAsia" w:ascii="宋体" w:hAnsi="宋体" w:eastAsia="宋体" w:cs="宋体"/>
          <w:b/>
          <w:bCs/>
          <w:sz w:val="28"/>
          <w:szCs w:val="28"/>
          <w:lang w:val="en-US" w:eastAsia="zh-CN"/>
        </w:rPr>
        <w:t>一</w:t>
      </w:r>
      <w:r>
        <w:rPr>
          <w:rFonts w:hint="eastAsia" w:ascii="宋体" w:hAnsi="宋体" w:eastAsia="宋体" w:cs="宋体"/>
          <w:b/>
          <w:bCs/>
          <w:sz w:val="28"/>
          <w:szCs w:val="28"/>
        </w:rPr>
        <w:t>、供应商认为有利于本次谈判的其他情况说明。</w:t>
      </w:r>
    </w:p>
    <w:p w14:paraId="1ED2CDA0">
      <w:pPr>
        <w:spacing w:line="220" w:lineRule="auto"/>
        <w:jc w:val="center"/>
        <w:rPr>
          <w:rFonts w:ascii="宋体" w:hAnsi="宋体" w:eastAsia="宋体" w:cs="宋体"/>
          <w:sz w:val="24"/>
          <w:szCs w:val="24"/>
        </w:rPr>
        <w:sectPr>
          <w:footerReference r:id="rId25" w:type="default"/>
          <w:pgSz w:w="11906" w:h="16839"/>
          <w:pgMar w:top="1424" w:right="1785" w:bottom="1330" w:left="1785" w:header="0" w:footer="1164" w:gutter="0"/>
          <w:pgNumType w:fmt="decimal"/>
          <w:cols w:space="720" w:num="1"/>
        </w:sectPr>
      </w:pPr>
    </w:p>
    <w:p w14:paraId="6DB68D5D">
      <w:pPr>
        <w:pageBreakBefore w:val="0"/>
        <w:kinsoku/>
        <w:bidi w:val="0"/>
        <w:spacing w:line="360" w:lineRule="auto"/>
        <w:jc w:val="center"/>
        <w:textAlignment w:val="auto"/>
        <w:rPr>
          <w:rFonts w:hint="eastAsia" w:ascii="宋体" w:hAnsi="宋体" w:eastAsia="宋体" w:cs="宋体"/>
        </w:rPr>
      </w:pPr>
      <w:r>
        <w:rPr>
          <w:rFonts w:hint="eastAsia" w:ascii="宋体" w:hAnsi="宋体" w:eastAsia="宋体" w:cs="宋体"/>
          <w:b/>
          <w:bCs/>
          <w:sz w:val="28"/>
          <w:szCs w:val="28"/>
          <w:lang w:val="en-US" w:eastAsia="zh-CN"/>
        </w:rPr>
        <w:t>二</w:t>
      </w:r>
      <w:r>
        <w:rPr>
          <w:rFonts w:hint="eastAsia" w:ascii="宋体" w:hAnsi="宋体" w:eastAsia="宋体" w:cs="宋体"/>
          <w:b/>
          <w:bCs/>
          <w:sz w:val="28"/>
          <w:szCs w:val="28"/>
        </w:rPr>
        <w:t>、其他</w:t>
      </w:r>
    </w:p>
    <w:p w14:paraId="3DB78A52">
      <w:pPr>
        <w:pStyle w:val="15"/>
        <w:pageBreakBefore w:val="0"/>
        <w:kinsoku/>
        <w:bidi w:val="0"/>
        <w:spacing w:line="360" w:lineRule="auto"/>
        <w:ind w:firstLine="1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投标认为有必要提供的资料。</w:t>
      </w:r>
    </w:p>
    <w:p w14:paraId="49E78F9E">
      <w:pPr>
        <w:spacing w:before="184" w:line="220" w:lineRule="auto"/>
        <w:jc w:val="center"/>
        <w:rPr>
          <w:rFonts w:ascii="宋体" w:hAnsi="宋体" w:eastAsia="宋体" w:cs="宋体"/>
          <w:sz w:val="24"/>
          <w:szCs w:val="24"/>
        </w:rPr>
      </w:pPr>
    </w:p>
    <w:p w14:paraId="6C1A4D0C">
      <w:pPr>
        <w:spacing w:line="220" w:lineRule="auto"/>
        <w:jc w:val="center"/>
        <w:rPr>
          <w:rFonts w:ascii="宋体" w:hAnsi="宋体" w:eastAsia="宋体" w:cs="宋体"/>
          <w:sz w:val="24"/>
          <w:szCs w:val="24"/>
        </w:rPr>
        <w:sectPr>
          <w:footerReference r:id="rId26" w:type="default"/>
          <w:pgSz w:w="11906" w:h="16839"/>
          <w:pgMar w:top="1424" w:right="1785" w:bottom="1330" w:left="1785" w:header="0" w:footer="1164" w:gutter="0"/>
          <w:pgNumType w:fmt="decimal"/>
          <w:cols w:space="720" w:num="1"/>
        </w:sectPr>
      </w:pPr>
    </w:p>
    <w:p w14:paraId="7B87F77F">
      <w:pPr>
        <w:spacing w:before="122" w:line="219" w:lineRule="auto"/>
        <w:ind w:left="42"/>
        <w:rPr>
          <w:rFonts w:ascii="宋体" w:hAnsi="宋体" w:eastAsia="宋体" w:cs="宋体"/>
          <w:sz w:val="24"/>
          <w:szCs w:val="24"/>
        </w:rPr>
      </w:pPr>
      <w:r>
        <w:rPr>
          <w:rFonts w:ascii="宋体" w:hAnsi="宋体" w:eastAsia="宋体" w:cs="宋体"/>
          <w:b/>
          <w:bCs/>
          <w:spacing w:val="-4"/>
          <w:sz w:val="24"/>
          <w:szCs w:val="24"/>
        </w:rPr>
        <w:t>附件：信用承诺上报操作指南</w:t>
      </w:r>
    </w:p>
    <w:p w14:paraId="3795CC16">
      <w:pPr>
        <w:spacing w:before="132" w:line="5481" w:lineRule="exact"/>
        <w:ind w:firstLine="14"/>
      </w:pPr>
      <w:r>
        <w:rPr>
          <w:position w:val="-109"/>
        </w:rPr>
        <w:drawing>
          <wp:inline distT="0" distB="0" distL="0" distR="0">
            <wp:extent cx="6111240" cy="3480435"/>
            <wp:effectExtent l="0" t="0" r="3810" b="5715"/>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39"/>
                    <a:stretch>
                      <a:fillRect/>
                    </a:stretch>
                  </pic:blipFill>
                  <pic:spPr>
                    <a:xfrm>
                      <a:off x="0" y="0"/>
                      <a:ext cx="6111240" cy="3480815"/>
                    </a:xfrm>
                    <a:prstGeom prst="rect">
                      <a:avLst/>
                    </a:prstGeom>
                  </pic:spPr>
                </pic:pic>
              </a:graphicData>
            </a:graphic>
          </wp:inline>
        </w:drawing>
      </w:r>
    </w:p>
    <w:p w14:paraId="64B4FB19">
      <w:pPr>
        <w:pStyle w:val="4"/>
        <w:spacing w:line="460" w:lineRule="auto"/>
      </w:pPr>
    </w:p>
    <w:p w14:paraId="4C74D4B6">
      <w:pPr>
        <w:spacing w:line="5431" w:lineRule="exact"/>
        <w:ind w:firstLine="14"/>
      </w:pPr>
      <w:r>
        <w:rPr>
          <w:position w:val="-108"/>
        </w:rPr>
        <w:drawing>
          <wp:inline distT="0" distB="0" distL="0" distR="0">
            <wp:extent cx="6172200" cy="3448685"/>
            <wp:effectExtent l="0" t="0" r="0" b="18415"/>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40"/>
                    <a:stretch>
                      <a:fillRect/>
                    </a:stretch>
                  </pic:blipFill>
                  <pic:spPr>
                    <a:xfrm>
                      <a:off x="0" y="0"/>
                      <a:ext cx="6172200" cy="3448811"/>
                    </a:xfrm>
                    <a:prstGeom prst="rect">
                      <a:avLst/>
                    </a:prstGeom>
                  </pic:spPr>
                </pic:pic>
              </a:graphicData>
            </a:graphic>
          </wp:inline>
        </w:drawing>
      </w:r>
    </w:p>
    <w:p w14:paraId="386A88E4">
      <w:pPr>
        <w:spacing w:line="5431" w:lineRule="exact"/>
        <w:sectPr>
          <w:footerReference r:id="rId27" w:type="default"/>
          <w:pgSz w:w="11906" w:h="16839"/>
          <w:pgMar w:top="1431" w:right="385" w:bottom="1188" w:left="1785" w:header="0" w:footer="1023" w:gutter="0"/>
          <w:pgNumType w:fmt="decimal"/>
          <w:cols w:space="720" w:num="1"/>
        </w:sectPr>
      </w:pPr>
    </w:p>
    <w:p w14:paraId="20B5CC38">
      <w:pPr>
        <w:spacing w:before="162" w:line="5309" w:lineRule="exact"/>
        <w:ind w:firstLine="14"/>
      </w:pPr>
      <w:r>
        <w:rPr>
          <w:position w:val="-106"/>
        </w:rPr>
        <w:drawing>
          <wp:inline distT="0" distB="0" distL="0" distR="0">
            <wp:extent cx="5976620" cy="3370580"/>
            <wp:effectExtent l="0" t="0" r="5080" b="127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41"/>
                    <a:stretch>
                      <a:fillRect/>
                    </a:stretch>
                  </pic:blipFill>
                  <pic:spPr>
                    <a:xfrm>
                      <a:off x="0" y="0"/>
                      <a:ext cx="5977128" cy="3371088"/>
                    </a:xfrm>
                    <a:prstGeom prst="rect">
                      <a:avLst/>
                    </a:prstGeom>
                  </pic:spPr>
                </pic:pic>
              </a:graphicData>
            </a:graphic>
          </wp:inline>
        </w:drawing>
      </w:r>
    </w:p>
    <w:p w14:paraId="2203E111">
      <w:pPr>
        <w:pStyle w:val="4"/>
        <w:spacing w:line="292" w:lineRule="auto"/>
      </w:pPr>
    </w:p>
    <w:p w14:paraId="70CEE947">
      <w:pPr>
        <w:pStyle w:val="4"/>
        <w:spacing w:line="292" w:lineRule="auto"/>
      </w:pPr>
    </w:p>
    <w:p w14:paraId="473C1D8F">
      <w:pPr>
        <w:spacing w:line="5350" w:lineRule="exact"/>
        <w:ind w:firstLine="14"/>
      </w:pPr>
      <w:r>
        <w:rPr>
          <w:position w:val="-106"/>
        </w:rPr>
        <w:drawing>
          <wp:inline distT="0" distB="0" distL="0" distR="0">
            <wp:extent cx="5993765" cy="3396615"/>
            <wp:effectExtent l="0" t="0" r="6985" b="13335"/>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42"/>
                    <a:stretch>
                      <a:fillRect/>
                    </a:stretch>
                  </pic:blipFill>
                  <pic:spPr>
                    <a:xfrm>
                      <a:off x="0" y="0"/>
                      <a:ext cx="5993891" cy="3396995"/>
                    </a:xfrm>
                    <a:prstGeom prst="rect">
                      <a:avLst/>
                    </a:prstGeom>
                  </pic:spPr>
                </pic:pic>
              </a:graphicData>
            </a:graphic>
          </wp:inline>
        </w:drawing>
      </w:r>
    </w:p>
    <w:p w14:paraId="0D74B40A">
      <w:pPr>
        <w:spacing w:line="5350" w:lineRule="exact"/>
        <w:sectPr>
          <w:footerReference r:id="rId28" w:type="default"/>
          <w:pgSz w:w="11906" w:h="16839"/>
          <w:pgMar w:top="1431" w:right="666" w:bottom="1188" w:left="1785" w:header="0" w:footer="1023" w:gutter="0"/>
          <w:pgNumType w:fmt="decimal"/>
          <w:cols w:space="720" w:num="1"/>
        </w:sectPr>
      </w:pPr>
    </w:p>
    <w:p w14:paraId="25598670">
      <w:pPr>
        <w:spacing w:before="131" w:line="5359" w:lineRule="exact"/>
        <w:ind w:firstLine="14"/>
      </w:pPr>
      <w:r>
        <w:rPr>
          <w:position w:val="-107"/>
        </w:rPr>
        <w:drawing>
          <wp:inline distT="0" distB="0" distL="0" distR="0">
            <wp:extent cx="6019800" cy="3402965"/>
            <wp:effectExtent l="0" t="0" r="0" b="6985"/>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43"/>
                    <a:stretch>
                      <a:fillRect/>
                    </a:stretch>
                  </pic:blipFill>
                  <pic:spPr>
                    <a:xfrm>
                      <a:off x="0" y="0"/>
                      <a:ext cx="6019800" cy="3403091"/>
                    </a:xfrm>
                    <a:prstGeom prst="rect">
                      <a:avLst/>
                    </a:prstGeom>
                  </pic:spPr>
                </pic:pic>
              </a:graphicData>
            </a:graphic>
          </wp:inline>
        </w:drawing>
      </w:r>
    </w:p>
    <w:p w14:paraId="35845DCC">
      <w:pPr>
        <w:pStyle w:val="4"/>
        <w:spacing w:line="282" w:lineRule="auto"/>
      </w:pPr>
    </w:p>
    <w:p w14:paraId="3A5AC7ED">
      <w:pPr>
        <w:pStyle w:val="4"/>
        <w:spacing w:line="283" w:lineRule="auto"/>
      </w:pPr>
    </w:p>
    <w:p w14:paraId="08A7FD29">
      <w:pPr>
        <w:spacing w:line="5352" w:lineRule="exact"/>
        <w:ind w:firstLine="14"/>
      </w:pPr>
      <w:r>
        <w:rPr>
          <w:position w:val="-107"/>
        </w:rPr>
        <w:drawing>
          <wp:inline distT="0" distB="0" distL="0" distR="0">
            <wp:extent cx="6025515" cy="3398520"/>
            <wp:effectExtent l="0" t="0" r="13335" b="11430"/>
            <wp:docPr id="31" name="IM 40"/>
            <wp:cNvGraphicFramePr/>
            <a:graphic xmlns:a="http://schemas.openxmlformats.org/drawingml/2006/main">
              <a:graphicData uri="http://schemas.openxmlformats.org/drawingml/2006/picture">
                <pic:pic xmlns:pic="http://schemas.openxmlformats.org/drawingml/2006/picture">
                  <pic:nvPicPr>
                    <pic:cNvPr id="31" name="IM 40"/>
                    <pic:cNvPicPr/>
                  </pic:nvPicPr>
                  <pic:blipFill>
                    <a:blip r:embed="rId44"/>
                    <a:stretch>
                      <a:fillRect/>
                    </a:stretch>
                  </pic:blipFill>
                  <pic:spPr>
                    <a:xfrm>
                      <a:off x="0" y="0"/>
                      <a:ext cx="6025895" cy="3398520"/>
                    </a:xfrm>
                    <a:prstGeom prst="rect">
                      <a:avLst/>
                    </a:prstGeom>
                  </pic:spPr>
                </pic:pic>
              </a:graphicData>
            </a:graphic>
          </wp:inline>
        </w:drawing>
      </w:r>
    </w:p>
    <w:p w14:paraId="1AE14AA8">
      <w:pPr>
        <w:spacing w:line="5352" w:lineRule="exact"/>
        <w:sectPr>
          <w:footerReference r:id="rId29" w:type="default"/>
          <w:pgSz w:w="11906" w:h="16839"/>
          <w:pgMar w:top="1431" w:right="616" w:bottom="1188" w:left="1785" w:header="0" w:footer="1023" w:gutter="0"/>
          <w:pgNumType w:fmt="decimal"/>
          <w:cols w:space="720" w:num="1"/>
        </w:sectPr>
      </w:pPr>
    </w:p>
    <w:p w14:paraId="5B9E5782">
      <w:pPr>
        <w:spacing w:before="87" w:line="5436" w:lineRule="exact"/>
        <w:ind w:firstLine="14"/>
      </w:pPr>
      <w:r>
        <w:rPr>
          <w:position w:val="-108"/>
        </w:rPr>
        <w:drawing>
          <wp:inline distT="0" distB="0" distL="0" distR="0">
            <wp:extent cx="6085205" cy="3451225"/>
            <wp:effectExtent l="0" t="0" r="10795" b="15875"/>
            <wp:docPr id="33" name="IM 42"/>
            <wp:cNvGraphicFramePr/>
            <a:graphic xmlns:a="http://schemas.openxmlformats.org/drawingml/2006/main">
              <a:graphicData uri="http://schemas.openxmlformats.org/drawingml/2006/picture">
                <pic:pic xmlns:pic="http://schemas.openxmlformats.org/drawingml/2006/picture">
                  <pic:nvPicPr>
                    <pic:cNvPr id="33" name="IM 42"/>
                    <pic:cNvPicPr/>
                  </pic:nvPicPr>
                  <pic:blipFill>
                    <a:blip r:embed="rId45"/>
                    <a:stretch>
                      <a:fillRect/>
                    </a:stretch>
                  </pic:blipFill>
                  <pic:spPr>
                    <a:xfrm>
                      <a:off x="0" y="0"/>
                      <a:ext cx="6085332" cy="3451859"/>
                    </a:xfrm>
                    <a:prstGeom prst="rect">
                      <a:avLst/>
                    </a:prstGeom>
                  </pic:spPr>
                </pic:pic>
              </a:graphicData>
            </a:graphic>
          </wp:inline>
        </w:drawing>
      </w:r>
    </w:p>
    <w:p w14:paraId="3CDC1878">
      <w:pPr>
        <w:pStyle w:val="4"/>
        <w:spacing w:line="472" w:lineRule="auto"/>
      </w:pPr>
    </w:p>
    <w:p w14:paraId="50A603F5">
      <w:pPr>
        <w:spacing w:line="5472" w:lineRule="exact"/>
        <w:ind w:firstLine="14"/>
      </w:pPr>
      <w:r>
        <w:rPr>
          <w:position w:val="-109"/>
        </w:rPr>
        <w:drawing>
          <wp:inline distT="0" distB="0" distL="0" distR="0">
            <wp:extent cx="6120130" cy="3474720"/>
            <wp:effectExtent l="0" t="0" r="13970" b="11430"/>
            <wp:docPr id="35" name="IM 44"/>
            <wp:cNvGraphicFramePr/>
            <a:graphic xmlns:a="http://schemas.openxmlformats.org/drawingml/2006/main">
              <a:graphicData uri="http://schemas.openxmlformats.org/drawingml/2006/picture">
                <pic:pic xmlns:pic="http://schemas.openxmlformats.org/drawingml/2006/picture">
                  <pic:nvPicPr>
                    <pic:cNvPr id="35" name="IM 44"/>
                    <pic:cNvPicPr/>
                  </pic:nvPicPr>
                  <pic:blipFill>
                    <a:blip r:embed="rId46"/>
                    <a:stretch>
                      <a:fillRect/>
                    </a:stretch>
                  </pic:blipFill>
                  <pic:spPr>
                    <a:xfrm>
                      <a:off x="0" y="0"/>
                      <a:ext cx="6120383" cy="3474720"/>
                    </a:xfrm>
                    <a:prstGeom prst="rect">
                      <a:avLst/>
                    </a:prstGeom>
                  </pic:spPr>
                </pic:pic>
              </a:graphicData>
            </a:graphic>
          </wp:inline>
        </w:drawing>
      </w:r>
    </w:p>
    <w:p w14:paraId="4349E4B6">
      <w:pPr>
        <w:spacing w:line="5472" w:lineRule="exact"/>
        <w:sectPr>
          <w:footerReference r:id="rId30" w:type="default"/>
          <w:pgSz w:w="11906" w:h="16839"/>
          <w:pgMar w:top="1431" w:right="467" w:bottom="1188" w:left="1785" w:header="0" w:footer="1023" w:gutter="0"/>
          <w:pgNumType w:fmt="decimal"/>
          <w:cols w:space="720" w:num="1"/>
        </w:sectPr>
      </w:pPr>
    </w:p>
    <w:p w14:paraId="3A1D89B5">
      <w:pPr>
        <w:spacing w:before="147" w:line="5316" w:lineRule="exact"/>
        <w:ind w:firstLine="14"/>
      </w:pPr>
      <w:r>
        <w:rPr>
          <w:position w:val="-106"/>
        </w:rPr>
        <w:drawing>
          <wp:inline distT="0" distB="0" distL="0" distR="0">
            <wp:extent cx="5996940" cy="3375025"/>
            <wp:effectExtent l="0" t="0" r="3810" b="15875"/>
            <wp:docPr id="72" name="IM 46"/>
            <wp:cNvGraphicFramePr/>
            <a:graphic xmlns:a="http://schemas.openxmlformats.org/drawingml/2006/main">
              <a:graphicData uri="http://schemas.openxmlformats.org/drawingml/2006/picture">
                <pic:pic xmlns:pic="http://schemas.openxmlformats.org/drawingml/2006/picture">
                  <pic:nvPicPr>
                    <pic:cNvPr id="72" name="IM 46"/>
                    <pic:cNvPicPr/>
                  </pic:nvPicPr>
                  <pic:blipFill>
                    <a:blip r:embed="rId47"/>
                    <a:stretch>
                      <a:fillRect/>
                    </a:stretch>
                  </pic:blipFill>
                  <pic:spPr>
                    <a:xfrm>
                      <a:off x="0" y="0"/>
                      <a:ext cx="5996940" cy="3375659"/>
                    </a:xfrm>
                    <a:prstGeom prst="rect">
                      <a:avLst/>
                    </a:prstGeom>
                  </pic:spPr>
                </pic:pic>
              </a:graphicData>
            </a:graphic>
          </wp:inline>
        </w:drawing>
      </w:r>
    </w:p>
    <w:p w14:paraId="715FC799">
      <w:pPr>
        <w:pStyle w:val="4"/>
        <w:spacing w:line="304" w:lineRule="auto"/>
      </w:pPr>
    </w:p>
    <w:p w14:paraId="1F29A0DB">
      <w:pPr>
        <w:pStyle w:val="4"/>
        <w:spacing w:line="304" w:lineRule="auto"/>
      </w:pPr>
    </w:p>
    <w:p w14:paraId="1CD865DD">
      <w:pPr>
        <w:spacing w:line="5328" w:lineRule="exact"/>
        <w:ind w:firstLine="14"/>
      </w:pPr>
      <w:r>
        <w:rPr>
          <w:position w:val="-106"/>
        </w:rPr>
        <w:drawing>
          <wp:inline distT="0" distB="0" distL="0" distR="0">
            <wp:extent cx="6045200" cy="3382645"/>
            <wp:effectExtent l="0" t="0" r="12700" b="8255"/>
            <wp:docPr id="73" name="IM 48"/>
            <wp:cNvGraphicFramePr/>
            <a:graphic xmlns:a="http://schemas.openxmlformats.org/drawingml/2006/main">
              <a:graphicData uri="http://schemas.openxmlformats.org/drawingml/2006/picture">
                <pic:pic xmlns:pic="http://schemas.openxmlformats.org/drawingml/2006/picture">
                  <pic:nvPicPr>
                    <pic:cNvPr id="73" name="IM 48"/>
                    <pic:cNvPicPr/>
                  </pic:nvPicPr>
                  <pic:blipFill>
                    <a:blip r:embed="rId48"/>
                    <a:stretch>
                      <a:fillRect/>
                    </a:stretch>
                  </pic:blipFill>
                  <pic:spPr>
                    <a:xfrm>
                      <a:off x="0" y="0"/>
                      <a:ext cx="6045708" cy="3383279"/>
                    </a:xfrm>
                    <a:prstGeom prst="rect">
                      <a:avLst/>
                    </a:prstGeom>
                  </pic:spPr>
                </pic:pic>
              </a:graphicData>
            </a:graphic>
          </wp:inline>
        </w:drawing>
      </w:r>
    </w:p>
    <w:p w14:paraId="5E196EEF">
      <w:pPr>
        <w:spacing w:line="5328" w:lineRule="exact"/>
        <w:sectPr>
          <w:footerReference r:id="rId31" w:type="default"/>
          <w:pgSz w:w="11906" w:h="16839"/>
          <w:pgMar w:top="1431" w:right="585" w:bottom="1188" w:left="1785" w:header="0" w:footer="1023" w:gutter="0"/>
          <w:pgNumType w:fmt="decimal"/>
          <w:cols w:space="720" w:num="1"/>
        </w:sectPr>
      </w:pPr>
    </w:p>
    <w:p w14:paraId="4A57E8A5">
      <w:pPr>
        <w:shd w:val="clear" w:color="auto" w:fill="auto"/>
        <w:bidi w:val="0"/>
        <w:rPr>
          <w:rFonts w:hint="eastAsia" w:ascii="宋体" w:hAnsi="宋体" w:eastAsia="宋体" w:cs="宋体"/>
          <w:color w:val="auto"/>
          <w:highlight w:val="none"/>
        </w:rPr>
        <w:sectPr>
          <w:pgSz w:w="11906" w:h="16838"/>
          <w:pgMar w:top="1440" w:right="1800" w:bottom="1440" w:left="1800" w:header="1134" w:footer="1134" w:gutter="0"/>
          <w:pgBorders>
            <w:top w:val="none" w:sz="0" w:space="0"/>
            <w:left w:val="none" w:sz="0" w:space="0"/>
            <w:bottom w:val="none" w:sz="0" w:space="0"/>
            <w:right w:val="none" w:sz="0" w:space="0"/>
          </w:pgBorders>
          <w:pgNumType w:fmt="decimal"/>
          <w:cols w:space="720" w:num="1"/>
          <w:titlePg/>
          <w:rtlGutter w:val="0"/>
          <w:docGrid w:type="lines" w:linePitch="312" w:charSpace="0"/>
        </w:sectPr>
      </w:pPr>
      <w:r>
        <w:rPr>
          <w:position w:val="-107"/>
        </w:rPr>
        <w:drawing>
          <wp:inline distT="0" distB="0" distL="0" distR="0">
            <wp:extent cx="6045200" cy="3410585"/>
            <wp:effectExtent l="0" t="0" r="12700" b="18415"/>
            <wp:docPr id="74" name="IM 50"/>
            <wp:cNvGraphicFramePr/>
            <a:graphic xmlns:a="http://schemas.openxmlformats.org/drawingml/2006/main">
              <a:graphicData uri="http://schemas.openxmlformats.org/drawingml/2006/picture">
                <pic:pic xmlns:pic="http://schemas.openxmlformats.org/drawingml/2006/picture">
                  <pic:nvPicPr>
                    <pic:cNvPr id="74" name="IM 50"/>
                    <pic:cNvPicPr/>
                  </pic:nvPicPr>
                  <pic:blipFill>
                    <a:blip r:embed="rId49"/>
                    <a:stretch>
                      <a:fillRect/>
                    </a:stretch>
                  </pic:blipFill>
                  <pic:spPr>
                    <a:xfrm>
                      <a:off x="0" y="0"/>
                      <a:ext cx="6045708" cy="3410711"/>
                    </a:xfrm>
                    <a:prstGeom prst="rect">
                      <a:avLst/>
                    </a:prstGeom>
                  </pic:spPr>
                </pic:pic>
              </a:graphicData>
            </a:graphic>
          </wp:inline>
        </w:drawing>
      </w:r>
    </w:p>
    <w:p w14:paraId="2A790CE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榆林市公共资源交易平台全流程电子化政府采购项目内容</w:t>
      </w:r>
    </w:p>
    <w:p w14:paraId="6D9D01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11" w:name="_Toc5603"/>
      <w:r>
        <w:rPr>
          <w:rFonts w:hint="eastAsia" w:ascii="宋体" w:hAnsi="宋体" w:eastAsia="宋体" w:cs="宋体"/>
          <w:sz w:val="24"/>
          <w:szCs w:val="24"/>
          <w:lang w:val="en-US" w:eastAsia="zh-CN"/>
        </w:rPr>
        <w:t>一、关于需要特别提醒供应商的内容</w:t>
      </w:r>
      <w:bookmarkEnd w:id="111"/>
    </w:p>
    <w:p w14:paraId="0A93AB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12" w:name="_Toc24093"/>
      <w:r>
        <w:rPr>
          <w:rFonts w:hint="eastAsia" w:ascii="宋体" w:hAnsi="宋体" w:eastAsia="宋体" w:cs="宋体"/>
          <w:sz w:val="24"/>
          <w:szCs w:val="24"/>
          <w:lang w:val="en-US" w:eastAsia="zh-CN"/>
        </w:rPr>
        <w:t>1、本项目采用电子化投标的方式投标，供应商须使用数字认证证书 (CA 锁) 对电</w:t>
      </w:r>
      <w:bookmarkEnd w:id="112"/>
      <w:r>
        <w:rPr>
          <w:rFonts w:hint="eastAsia" w:ascii="宋体" w:hAnsi="宋体" w:eastAsia="宋体" w:cs="宋体"/>
          <w:sz w:val="24"/>
          <w:szCs w:val="24"/>
          <w:lang w:val="en-US" w:eastAsia="zh-CN"/>
        </w:rPr>
        <w:t>子投标文件进行签章、加密、递交及开标时解密等相关招投标事宜。</w:t>
      </w:r>
    </w:p>
    <w:p w14:paraId="11DA69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13" w:name="_Toc32320"/>
      <w:r>
        <w:rPr>
          <w:rFonts w:hint="eastAsia" w:ascii="宋体" w:hAnsi="宋体" w:eastAsia="宋体" w:cs="宋体"/>
          <w:sz w:val="24"/>
          <w:szCs w:val="24"/>
          <w:lang w:val="en-US" w:eastAsia="zh-CN"/>
        </w:rPr>
        <w:t>2、制作电子投标文件</w:t>
      </w:r>
      <w:bookmarkEnd w:id="113"/>
    </w:p>
    <w:p w14:paraId="1947A7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14" w:name="_Toc14865"/>
      <w:r>
        <w:rPr>
          <w:rFonts w:hint="eastAsia" w:ascii="宋体" w:hAnsi="宋体" w:eastAsia="宋体" w:cs="宋体"/>
          <w:sz w:val="24"/>
          <w:szCs w:val="24"/>
          <w:lang w:val="en-US" w:eastAsia="zh-CN"/>
        </w:rPr>
        <w:t>投标供应商须在“全国公共资源交易中心平台( 陕 西省 )</w:t>
      </w:r>
      <w:bookmarkEnd w:id="114"/>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"http://www.sxggzyjy.cn/"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http://www.sxggzyjy.cn/</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”的“服务指南”栏目“下载专区”中，免费下载“陕 西省公共资源交易平台政府采购电子标书制作工具(8.0.1.01)”，并升级至最新版本，使用该客户端制作电子投标文件，制作扩展名为“.SXSTF”的电子投标文件。”</w:t>
      </w:r>
    </w:p>
    <w:p w14:paraId="7E536D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15" w:name="_Toc24031"/>
      <w:r>
        <w:rPr>
          <w:rFonts w:hint="eastAsia" w:ascii="宋体" w:hAnsi="宋体" w:eastAsia="宋体" w:cs="宋体"/>
          <w:sz w:val="24"/>
          <w:szCs w:val="24"/>
          <w:lang w:val="en-US" w:eastAsia="zh-CN"/>
        </w:rPr>
        <w:t>3、递交电子投标文件</w:t>
      </w:r>
      <w:bookmarkEnd w:id="115"/>
    </w:p>
    <w:p w14:paraId="74DFD3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16" w:name="_Toc10467"/>
      <w:r>
        <w:rPr>
          <w:rFonts w:hint="eastAsia" w:ascii="宋体" w:hAnsi="宋体" w:eastAsia="宋体" w:cs="宋体"/>
          <w:sz w:val="24"/>
          <w:szCs w:val="24"/>
          <w:lang w:val="en-US" w:eastAsia="zh-CN"/>
        </w:rPr>
        <w:t>登录全国公共资源交易中心平台 (陕西省)  (http://www.sxggzyjy.cn/) ，选择</w:t>
      </w:r>
      <w:bookmarkEnd w:id="116"/>
      <w:r>
        <w:rPr>
          <w:rFonts w:hint="eastAsia" w:ascii="宋体" w:hAnsi="宋体" w:eastAsia="宋体" w:cs="宋体"/>
          <w:sz w:val="24"/>
          <w:szCs w:val="24"/>
          <w:lang w:val="en-US" w:eastAsia="zh-CN"/>
        </w:rPr>
        <w:t>“电子交易平台— 陕西政府采购交易系统—企业端”进行登录，登录后选择“交易乙方”身份进入，进入菜单“采购业务—我的项目—项目流程—上传响应文件”，上传加 密的电子投标文件。上传成功后，电子化平台将予以记录。</w:t>
      </w:r>
    </w:p>
    <w:p w14:paraId="288FEE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17" w:name="_Toc12288"/>
      <w:r>
        <w:rPr>
          <w:rFonts w:hint="eastAsia" w:ascii="宋体" w:hAnsi="宋体" w:eastAsia="宋体" w:cs="宋体"/>
          <w:sz w:val="24"/>
          <w:szCs w:val="24"/>
          <w:lang w:val="en-US" w:eastAsia="zh-CN"/>
        </w:rPr>
        <w:t>二、关于文件的制作和签名</w:t>
      </w:r>
      <w:bookmarkEnd w:id="117"/>
    </w:p>
    <w:p w14:paraId="01AF78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 编制电子投标文件时，应使用最新发布的电子招标文件及专用制作工具进行编制。并使用数字认证证书 (CA) 对电子投标文件进行签署、加密、递交及开标时解密等相关操作。</w:t>
      </w:r>
    </w:p>
    <w:p w14:paraId="493155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 电子招标文件下载</w:t>
      </w:r>
    </w:p>
    <w:p w14:paraId="5D705C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供应商登录全国公共资源交易平台(陕西省)网站[电子交易平台-企业端]后，在[我 的项目]中点击“项目流程-交易文件下载”下载电子招标文件 (*.SXSZF) ;</w:t>
      </w:r>
    </w:p>
    <w:p w14:paraId="245002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注意：该项目如有变更文件，则应点击“项目流程&gt;答疑文件下载”下载更新后的电子 招标文件 (*.SXSCF) ，使用旧版电子招标文件制作的电子投标文件，系统将拒绝接收。</w:t>
      </w:r>
    </w:p>
    <w:p w14:paraId="0B0A8B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 电子招标文件需要使用专用软件打开、浏览供应商登录全国公共资源交易平台 (陕西省) 网站[服务指南-下载专区]免费下载《陕 西省公共资源交易平台政府采购电子标书制作工具(8.0.1.01)》下载网：</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"https://share.bqpoint.com/share/a5105585-17e9-ccb0-1006-e59238176da4"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https://share.bqpoint.com/share/a5105585-17e9-ccb0-1006-e59238176da4</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，并升级至最新版本，使用该客户端可以打开电子招标文件。</w:t>
      </w:r>
    </w:p>
    <w:p w14:paraId="14690E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制作电子投标文件</w:t>
      </w:r>
    </w:p>
    <w:p w14:paraId="0F1A6B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电子投标文件同样需要使用上述软件进行编制。在编制过程中，如有技术性问题，请先翻阅操作手册或致电软件开发商，技术支持热线：4009280095、4009980000。</w:t>
      </w:r>
    </w:p>
    <w:p w14:paraId="15BABF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18" w:name="_Toc32726"/>
      <w:r>
        <w:rPr>
          <w:rFonts w:hint="eastAsia" w:ascii="宋体" w:hAnsi="宋体" w:eastAsia="宋体" w:cs="宋体"/>
          <w:sz w:val="24"/>
          <w:szCs w:val="24"/>
          <w:lang w:val="en-US" w:eastAsia="zh-CN"/>
        </w:rPr>
        <w:t>三、该项目将采取“不见面”开标的形式，供应商无须到达开标现场，即可在网上直接</w:t>
      </w:r>
      <w:bookmarkEnd w:id="118"/>
      <w:r>
        <w:rPr>
          <w:rFonts w:hint="eastAsia" w:ascii="宋体" w:hAnsi="宋体" w:eastAsia="宋体" w:cs="宋体"/>
          <w:sz w:val="24"/>
          <w:szCs w:val="24"/>
          <w:lang w:val="en-US" w:eastAsia="zh-CN"/>
        </w:rPr>
        <w:t>参与开标活动。相关注意事项如下：</w:t>
      </w:r>
    </w:p>
    <w:p w14:paraId="64ED43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19" w:name="_Toc18366"/>
      <w:r>
        <w:rPr>
          <w:rFonts w:hint="eastAsia" w:ascii="宋体" w:hAnsi="宋体" w:eastAsia="宋体" w:cs="宋体"/>
          <w:sz w:val="24"/>
          <w:szCs w:val="24"/>
          <w:lang w:val="en-US" w:eastAsia="zh-CN"/>
        </w:rPr>
        <w:t>①开标当日，请各供应商在开标截止时间前至少提前半小时登录“不见面”开标系</w:t>
      </w:r>
      <w:bookmarkEnd w:id="119"/>
      <w:r>
        <w:rPr>
          <w:rFonts w:hint="eastAsia" w:ascii="宋体" w:hAnsi="宋体" w:eastAsia="宋体" w:cs="宋体"/>
          <w:sz w:val="24"/>
          <w:szCs w:val="24"/>
          <w:lang w:val="en-US" w:eastAsia="zh-CN"/>
        </w:rPr>
        <w:t>统登录方式有以下几种：</w:t>
      </w:r>
      <w:bookmarkStart w:id="120" w:name="_Toc21756"/>
      <w:r>
        <w:rPr>
          <w:rFonts w:hint="eastAsia" w:ascii="宋体" w:hAnsi="宋体" w:eastAsia="宋体" w:cs="宋体"/>
          <w:sz w:val="24"/>
          <w:szCs w:val="24"/>
          <w:lang w:val="en-US" w:eastAsia="zh-CN"/>
        </w:rPr>
        <w:t>IE 浏览器输入网址：</w:t>
      </w:r>
      <w:bookmarkEnd w:id="120"/>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"http://219.145.120.168:8082/BidOpeningHall/bidhall/default/login），"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http://113.140.9.66:8888/BidOpening_sxs//bidopeninghallaction/hall/logi</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n；在【全国公共资源交易平台 (陕西省) 】网站电子交易平台点击不见面开标模块进</w:t>
      </w:r>
      <w:bookmarkStart w:id="121" w:name="_Toc7379"/>
      <w:r>
        <w:rPr>
          <w:rFonts w:hint="eastAsia" w:ascii="宋体" w:hAnsi="宋体" w:eastAsia="宋体" w:cs="宋体"/>
          <w:sz w:val="24"/>
          <w:szCs w:val="24"/>
          <w:lang w:val="en-US" w:eastAsia="zh-CN"/>
        </w:rPr>
        <w:t>入；</w:t>
      </w:r>
      <w:bookmarkEnd w:id="121"/>
      <w:bookmarkStart w:id="122" w:name="_Toc23369"/>
      <w:r>
        <w:rPr>
          <w:rFonts w:hint="eastAsia" w:ascii="宋体" w:hAnsi="宋体" w:eastAsia="宋体" w:cs="宋体"/>
          <w:sz w:val="24"/>
          <w:szCs w:val="24"/>
          <w:lang w:val="en-US" w:eastAsia="zh-CN"/>
        </w:rPr>
        <w:t>注：登录不见面开标系统请选择IE11 浏览器</w:t>
      </w:r>
      <w:bookmarkEnd w:id="122"/>
      <w:r>
        <w:rPr>
          <w:rFonts w:hint="eastAsia" w:ascii="宋体" w:hAnsi="宋体" w:eastAsia="宋体" w:cs="宋体"/>
          <w:sz w:val="24"/>
          <w:szCs w:val="24"/>
          <w:lang w:val="en-US" w:eastAsia="zh-CN"/>
        </w:rPr>
        <w:t>；</w:t>
      </w:r>
    </w:p>
    <w:p w14:paraId="07F458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23" w:name="_Toc28645"/>
      <w:r>
        <w:rPr>
          <w:rFonts w:hint="eastAsia" w:ascii="宋体" w:hAnsi="宋体" w:eastAsia="宋体" w:cs="宋体"/>
          <w:sz w:val="24"/>
          <w:szCs w:val="24"/>
          <w:lang w:val="en-US" w:eastAsia="zh-CN"/>
        </w:rPr>
        <w:t>②供应商应按要求及时签到 (签到时间为投标截止时间前 1 小时内，如果未签到将</w:t>
      </w:r>
      <w:bookmarkEnd w:id="123"/>
      <w:r>
        <w:rPr>
          <w:rFonts w:hint="eastAsia" w:ascii="宋体" w:hAnsi="宋体" w:eastAsia="宋体" w:cs="宋体"/>
          <w:sz w:val="24"/>
          <w:szCs w:val="24"/>
          <w:lang w:val="en-US" w:eastAsia="zh-CN"/>
        </w:rPr>
        <w:t>视为放弃投标资格) ，评审过程中，评标委员会可能会就某些问题要求供应商进行在线 澄清，请供应商保持在线直到评审结束；</w:t>
      </w:r>
    </w:p>
    <w:p w14:paraId="261C7E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24" w:name="_Toc19529"/>
      <w:r>
        <w:rPr>
          <w:rFonts w:hint="eastAsia" w:ascii="宋体" w:hAnsi="宋体" w:eastAsia="宋体" w:cs="宋体"/>
          <w:sz w:val="24"/>
          <w:szCs w:val="24"/>
          <w:lang w:val="en-US" w:eastAsia="zh-CN"/>
        </w:rPr>
        <w:t>③投标供应商无需提交纸质响应文件，待采购结果公告后，由成交供应商补交一正</w:t>
      </w:r>
      <w:bookmarkEnd w:id="124"/>
      <w:r>
        <w:rPr>
          <w:rFonts w:hint="eastAsia" w:ascii="宋体" w:hAnsi="宋体" w:eastAsia="宋体" w:cs="宋体"/>
          <w:sz w:val="24"/>
          <w:szCs w:val="24"/>
          <w:lang w:val="en-US" w:eastAsia="zh-CN"/>
        </w:rPr>
        <w:t xml:space="preserve">二副纸质响应文件及电子版 (光盘或U 盘，包含可编辑word 版，签字盖章后的扫描件 1 份) 响应文件一份 </w:t>
      </w:r>
    </w:p>
    <w:p w14:paraId="40A0BC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25" w:name="_Toc2529"/>
      <w:r>
        <w:rPr>
          <w:rFonts w:hint="eastAsia" w:ascii="宋体" w:hAnsi="宋体" w:eastAsia="宋体" w:cs="宋体"/>
          <w:sz w:val="24"/>
          <w:szCs w:val="24"/>
          <w:lang w:val="en-US" w:eastAsia="zh-CN"/>
        </w:rPr>
        <w:t>④开标过程中，供应商在收到工作人员“开始解密”指令后，请及时使用CA 对电</w:t>
      </w:r>
      <w:bookmarkEnd w:id="125"/>
      <w:r>
        <w:rPr>
          <w:rFonts w:hint="eastAsia" w:ascii="宋体" w:hAnsi="宋体" w:eastAsia="宋体" w:cs="宋体"/>
          <w:sz w:val="24"/>
          <w:szCs w:val="24"/>
          <w:lang w:val="en-US" w:eastAsia="zh-CN"/>
        </w:rPr>
        <w:t>子投标文件进行解密。解密时所用CA 应与加密投标文件时所用CA 相同；注：解密时间 为 30 分钟，在解密时间内供应商全部解密完成后，可提前进入开标下一阶段。</w:t>
      </w:r>
    </w:p>
    <w:p w14:paraId="54117D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26" w:name="_Toc13439"/>
      <w:r>
        <w:rPr>
          <w:rFonts w:hint="eastAsia" w:ascii="宋体" w:hAnsi="宋体" w:eastAsia="宋体" w:cs="宋体"/>
          <w:sz w:val="24"/>
          <w:szCs w:val="24"/>
          <w:lang w:val="en-US" w:eastAsia="zh-CN"/>
        </w:rPr>
        <w:t>⑤相关技术问题，请咨询软件开发商：</w:t>
      </w:r>
      <w:bookmarkEnd w:id="126"/>
    </w:p>
    <w:p w14:paraId="5A38E5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bookmarkStart w:id="127" w:name="_Toc14179"/>
      <w:r>
        <w:rPr>
          <w:rFonts w:hint="eastAsia" w:ascii="宋体" w:hAnsi="宋体" w:eastAsia="宋体" w:cs="宋体"/>
          <w:sz w:val="24"/>
          <w:szCs w:val="24"/>
          <w:lang w:val="en-US" w:eastAsia="zh-CN"/>
        </w:rPr>
        <w:t>技术支持热线：400-998-0000/400-928-0095</w:t>
      </w:r>
      <w:bookmarkEnd w:id="127"/>
    </w:p>
    <w:p w14:paraId="3839E0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rPr>
      </w:pPr>
      <w:bookmarkStart w:id="128" w:name="_Toc24497"/>
      <w:r>
        <w:rPr>
          <w:rFonts w:hint="eastAsia" w:ascii="宋体" w:hAnsi="宋体" w:eastAsia="宋体" w:cs="宋体"/>
          <w:sz w:val="24"/>
          <w:szCs w:val="24"/>
          <w:lang w:val="en-US" w:eastAsia="zh-CN"/>
        </w:rPr>
        <w:t>⑥不见面开标系统操作手册下载方式：登录【全国公共资源交易平台 (陕西省) 】</w:t>
      </w:r>
      <w:bookmarkEnd w:id="128"/>
      <w:r>
        <w:rPr>
          <w:rFonts w:hint="eastAsia" w:ascii="宋体" w:hAnsi="宋体" w:eastAsia="宋体" w:cs="宋体"/>
          <w:sz w:val="24"/>
          <w:szCs w:val="24"/>
          <w:lang w:val="en-US" w:eastAsia="zh-CN"/>
        </w:rPr>
        <w:t>网站首页选择【服务指南】-【下载专区】-点击【关于陕西省公共资源交易平台多 CA 互认系统正式上线运行的通知】进行下载。</w:t>
      </w:r>
    </w:p>
    <w:sectPr>
      <w:headerReference r:id="rId32" w:type="default"/>
      <w:footerReference r:id="rId33" w:type="default"/>
      <w:pgSz w:w="11906" w:h="16839"/>
      <w:pgMar w:top="1431" w:right="1193" w:bottom="1188" w:left="1670" w:header="0" w:footer="102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1BC10">
    <w:pPr>
      <w:spacing w:line="168" w:lineRule="auto"/>
      <w:ind w:left="4715"/>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560BF2">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560BF2">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24C04">
    <w:pPr>
      <w:spacing w:line="168" w:lineRule="auto"/>
      <w:ind w:left="4567"/>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B06A5">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BEB06A5">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BA35F">
    <w:pPr>
      <w:spacing w:line="169" w:lineRule="auto"/>
      <w:ind w:left="4719"/>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0074C0">
                          <w:pPr>
                            <w:pStyle w:val="9"/>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80074C0">
                    <w:pPr>
                      <w:pStyle w:val="9"/>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644F1">
    <w:pPr>
      <w:spacing w:line="169" w:lineRule="auto"/>
      <w:ind w:left="4530"/>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CF6AD">
                          <w:pPr>
                            <w:pStyle w:val="9"/>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F7CF6AD">
                    <w:pPr>
                      <w:pStyle w:val="9"/>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6912F">
    <w:pPr>
      <w:spacing w:line="169" w:lineRule="auto"/>
      <w:ind w:left="4669"/>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899745">
                          <w:pPr>
                            <w:pStyle w:val="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B899745">
                    <w:pPr>
                      <w:pStyle w:val="9"/>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E3C8E">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2C0BD8">
                          <w:pPr>
                            <w:pStyle w:val="9"/>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72C0BD8">
                    <w:pPr>
                      <w:pStyle w:val="9"/>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911D7">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724927">
                          <w:pPr>
                            <w:pStyle w:val="9"/>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C724927">
                    <w:pPr>
                      <w:pStyle w:val="9"/>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C212B">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E95257">
                          <w:pPr>
                            <w:pStyle w:val="9"/>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7E95257">
                    <w:pPr>
                      <w:pStyle w:val="9"/>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DF138">
    <w:pPr>
      <w:spacing w:line="168"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A3FFD5">
                          <w:pPr>
                            <w:pStyle w:val="9"/>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EA3FFD5">
                    <w:pPr>
                      <w:pStyle w:val="9"/>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95526">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2600B4">
                          <w:pPr>
                            <w:pStyle w:val="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C2600B4">
                    <w:pPr>
                      <w:pStyle w:val="9"/>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8608D">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8CD38">
                          <w:pPr>
                            <w:pStyle w:val="9"/>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028CD38">
                    <w:pPr>
                      <w:pStyle w:val="9"/>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D08D2">
    <w:pPr>
      <w:spacing w:line="168" w:lineRule="auto"/>
      <w:ind w:left="4194"/>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0734A4">
                          <w:pPr>
                            <w:pStyle w:val="9"/>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B0734A4">
                    <w:pPr>
                      <w:pStyle w:val="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46445">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90D22">
                          <w:pPr>
                            <w:pStyle w:val="9"/>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15C90D22">
                    <w:pPr>
                      <w:pStyle w:val="9"/>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67924">
    <w:pPr>
      <w:spacing w:line="169" w:lineRule="auto"/>
      <w:ind w:left="4319"/>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973F18">
                          <w:pPr>
                            <w:pStyle w:val="9"/>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D973F18">
                    <w:pPr>
                      <w:pStyle w:val="9"/>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C04E5">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86C004">
                          <w:pPr>
                            <w:pStyle w:val="9"/>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1986C004">
                    <w:pPr>
                      <w:pStyle w:val="9"/>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DAD23">
    <w:pPr>
      <w:spacing w:line="168"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F2E646">
                          <w:pPr>
                            <w:pStyle w:val="9"/>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0FF2E646">
                    <w:pPr>
                      <w:pStyle w:val="9"/>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3D6F9">
    <w:pPr>
      <w:spacing w:line="168" w:lineRule="auto"/>
      <w:ind w:left="4691"/>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F8FC69">
                          <w:pPr>
                            <w:pStyle w:val="9"/>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5F8FC69">
                    <w:pPr>
                      <w:pStyle w:val="9"/>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83B93">
    <w:pPr>
      <w:spacing w:line="167" w:lineRule="auto"/>
      <w:ind w:left="4281"/>
      <w:rPr>
        <w:rFonts w:ascii="Calibri" w:hAnsi="Calibri" w:eastAsia="Calibri" w:cs="Calibri"/>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60E2F4">
                          <w:pPr>
                            <w:pStyle w:val="9"/>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F60E2F4">
                    <w:pPr>
                      <w:pStyle w:val="9"/>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CFA7D">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BBF42B">
                          <w:pPr>
                            <w:pStyle w:val="9"/>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08BBF42B">
                    <w:pPr>
                      <w:pStyle w:val="9"/>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7A027">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F8E494">
                          <w:pPr>
                            <w:pStyle w:val="9"/>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7BF8E494">
                    <w:pPr>
                      <w:pStyle w:val="9"/>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42800">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137EE3">
                          <w:pPr>
                            <w:pStyle w:val="9"/>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30137EE3">
                    <w:pPr>
                      <w:pStyle w:val="9"/>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EFAFF">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C4BBE2">
                          <w:pPr>
                            <w:pStyle w:val="9"/>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71C4BBE2">
                    <w:pPr>
                      <w:pStyle w:val="9"/>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26B4">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1F9469">
                          <w:pPr>
                            <w:pStyle w:val="9"/>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2D1F9469">
                    <w:pPr>
                      <w:pStyle w:val="9"/>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8AE57">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226DE4">
                          <w:pPr>
                            <w:pStyle w:val="9"/>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1D226DE4">
                    <w:pPr>
                      <w:pStyle w:val="9"/>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895C8">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5132A3">
                          <w:pPr>
                            <w:pStyle w:val="9"/>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125132A3">
                    <w:pPr>
                      <w:pStyle w:val="9"/>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548E0">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FD8C12">
                          <w:pPr>
                            <w:pStyle w:val="9"/>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7DFD8C12">
                    <w:pPr>
                      <w:pStyle w:val="9"/>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43419">
    <w:pPr>
      <w:spacing w:line="169" w:lineRule="auto"/>
      <w:ind w:left="4199"/>
      <w:rPr>
        <w:rFonts w:ascii="Calibri" w:hAnsi="Calibri" w:eastAsia="Calibri" w:cs="Calibri"/>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5ED493">
                          <w:pPr>
                            <w:pStyle w:val="9"/>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4F5ED493">
                    <w:pPr>
                      <w:pStyle w:val="9"/>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059F">
    <w:pPr>
      <w:pStyle w:val="3"/>
      <w:ind w:firstLine="0"/>
      <w:rPr>
        <w:rFonts w:hint="eastAsia"/>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B5D8F">
    <w:pPr>
      <w:pStyle w:val="11"/>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589D8F"/>
    <w:multiLevelType w:val="singleLevel"/>
    <w:tmpl w:val="D9589D8F"/>
    <w:lvl w:ilvl="0" w:tentative="0">
      <w:start w:val="1"/>
      <w:numFmt w:val="decimal"/>
      <w:suff w:val="nothing"/>
      <w:lvlText w:val="（%1）"/>
      <w:lvlJc w:val="left"/>
    </w:lvl>
  </w:abstractNum>
  <w:abstractNum w:abstractNumId="1">
    <w:nsid w:val="F32F7728"/>
    <w:multiLevelType w:val="singleLevel"/>
    <w:tmpl w:val="F32F7728"/>
    <w:lvl w:ilvl="0" w:tentative="0">
      <w:start w:val="7"/>
      <w:numFmt w:val="chineseCounting"/>
      <w:suff w:val="nothing"/>
      <w:lvlText w:val="%1、"/>
      <w:lvlJc w:val="left"/>
      <w:rPr>
        <w:rFonts w:hint="eastAsia"/>
      </w:rPr>
    </w:lvl>
  </w:abstractNum>
  <w:abstractNum w:abstractNumId="2">
    <w:nsid w:val="00000032"/>
    <w:multiLevelType w:val="multilevel"/>
    <w:tmpl w:val="00000032"/>
    <w:lvl w:ilvl="0" w:tentative="0">
      <w:start w:val="1"/>
      <w:numFmt w:val="decimal"/>
      <w:lvlText w:val="%1"/>
      <w:lvlJc w:val="left"/>
      <w:pPr>
        <w:tabs>
          <w:tab w:val="left" w:pos="420"/>
        </w:tabs>
        <w:ind w:left="250" w:hanging="25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98579A4"/>
    <w:multiLevelType w:val="singleLevel"/>
    <w:tmpl w:val="598579A4"/>
    <w:lvl w:ilvl="0" w:tentative="0">
      <w:start w:val="9"/>
      <w:numFmt w:val="decimal"/>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balanceSingleByteDoubleByteWidth/>
    <w:ulTrailSpace/>
    <w:doNotExpandShiftReturn/>
    <w:adjustLineHeightInTable/>
    <w:doNotWrapTextWithPunct/>
    <w:doNotUseEastAsianBreakRules/>
    <w:useFELayout/>
    <w:compatSetting w:name="compatibilityMode" w:uri="http://schemas.microsoft.com/office/word" w:val="14"/>
  </w:compat>
  <w:rsids>
    <w:rsidRoot w:val="00000000"/>
    <w:rsid w:val="00C823C4"/>
    <w:rsid w:val="00E32D5A"/>
    <w:rsid w:val="00EE3728"/>
    <w:rsid w:val="010F1DA1"/>
    <w:rsid w:val="01780754"/>
    <w:rsid w:val="019329D2"/>
    <w:rsid w:val="02E96621"/>
    <w:rsid w:val="02F91F29"/>
    <w:rsid w:val="030A427C"/>
    <w:rsid w:val="047E4D90"/>
    <w:rsid w:val="04DC643E"/>
    <w:rsid w:val="05726DA2"/>
    <w:rsid w:val="05D435B9"/>
    <w:rsid w:val="061D0ABC"/>
    <w:rsid w:val="06897EFF"/>
    <w:rsid w:val="06930D7E"/>
    <w:rsid w:val="069D7E4F"/>
    <w:rsid w:val="06E74849"/>
    <w:rsid w:val="073B2BE7"/>
    <w:rsid w:val="075F6EB2"/>
    <w:rsid w:val="07670AEB"/>
    <w:rsid w:val="0865499C"/>
    <w:rsid w:val="096E162E"/>
    <w:rsid w:val="0A59408D"/>
    <w:rsid w:val="0A6736F8"/>
    <w:rsid w:val="0AC43BFC"/>
    <w:rsid w:val="0B6D4294"/>
    <w:rsid w:val="0C2801BA"/>
    <w:rsid w:val="0C71390F"/>
    <w:rsid w:val="0C9233AD"/>
    <w:rsid w:val="0D1578CD"/>
    <w:rsid w:val="0DA675E9"/>
    <w:rsid w:val="0DAB10A3"/>
    <w:rsid w:val="0E625C06"/>
    <w:rsid w:val="0EDC703A"/>
    <w:rsid w:val="0EE303C9"/>
    <w:rsid w:val="0F0C791F"/>
    <w:rsid w:val="0F725A59"/>
    <w:rsid w:val="10235010"/>
    <w:rsid w:val="10857989"/>
    <w:rsid w:val="1088747A"/>
    <w:rsid w:val="10F42D61"/>
    <w:rsid w:val="11691059"/>
    <w:rsid w:val="119500A0"/>
    <w:rsid w:val="11A647B8"/>
    <w:rsid w:val="11C10FC1"/>
    <w:rsid w:val="122C01D3"/>
    <w:rsid w:val="123448C2"/>
    <w:rsid w:val="129F4315"/>
    <w:rsid w:val="12C16C73"/>
    <w:rsid w:val="13655F51"/>
    <w:rsid w:val="13BD743A"/>
    <w:rsid w:val="14B24AC5"/>
    <w:rsid w:val="14D018E9"/>
    <w:rsid w:val="15357F6E"/>
    <w:rsid w:val="158B5DE7"/>
    <w:rsid w:val="16EB0762"/>
    <w:rsid w:val="1706559C"/>
    <w:rsid w:val="176D3505"/>
    <w:rsid w:val="17C074F9"/>
    <w:rsid w:val="17E70F2A"/>
    <w:rsid w:val="17EF18F6"/>
    <w:rsid w:val="17FD699F"/>
    <w:rsid w:val="18166C2E"/>
    <w:rsid w:val="18754787"/>
    <w:rsid w:val="189A5F9C"/>
    <w:rsid w:val="18BE612E"/>
    <w:rsid w:val="19375EE1"/>
    <w:rsid w:val="194F4FD8"/>
    <w:rsid w:val="195E16BF"/>
    <w:rsid w:val="19B4308D"/>
    <w:rsid w:val="19D13C3F"/>
    <w:rsid w:val="19E219A9"/>
    <w:rsid w:val="1A0F6516"/>
    <w:rsid w:val="1AAE3F81"/>
    <w:rsid w:val="1AE259D8"/>
    <w:rsid w:val="1B43291B"/>
    <w:rsid w:val="1B4D379A"/>
    <w:rsid w:val="1B5728FE"/>
    <w:rsid w:val="1BB6133F"/>
    <w:rsid w:val="1BB84CC8"/>
    <w:rsid w:val="1BE409AE"/>
    <w:rsid w:val="1C007D91"/>
    <w:rsid w:val="1CDD7214"/>
    <w:rsid w:val="1CEC5502"/>
    <w:rsid w:val="1D414461"/>
    <w:rsid w:val="1D556936"/>
    <w:rsid w:val="1DB21FDA"/>
    <w:rsid w:val="1DEA1774"/>
    <w:rsid w:val="1E7A24B6"/>
    <w:rsid w:val="1F085810"/>
    <w:rsid w:val="1F62577E"/>
    <w:rsid w:val="1F6D4C3F"/>
    <w:rsid w:val="200169EA"/>
    <w:rsid w:val="208A0FEC"/>
    <w:rsid w:val="21425423"/>
    <w:rsid w:val="216B2BCB"/>
    <w:rsid w:val="221A1EFC"/>
    <w:rsid w:val="225C125A"/>
    <w:rsid w:val="22A53F3E"/>
    <w:rsid w:val="23790B94"/>
    <w:rsid w:val="23BC14BC"/>
    <w:rsid w:val="23DF164F"/>
    <w:rsid w:val="23F5677C"/>
    <w:rsid w:val="2423153B"/>
    <w:rsid w:val="243170E7"/>
    <w:rsid w:val="245E1CEE"/>
    <w:rsid w:val="24B77ED6"/>
    <w:rsid w:val="24C26FA6"/>
    <w:rsid w:val="252C764C"/>
    <w:rsid w:val="256564D5"/>
    <w:rsid w:val="25FF1B34"/>
    <w:rsid w:val="265F3CA2"/>
    <w:rsid w:val="274A6102"/>
    <w:rsid w:val="27992AA7"/>
    <w:rsid w:val="27FC27CF"/>
    <w:rsid w:val="280B71F3"/>
    <w:rsid w:val="282B09BF"/>
    <w:rsid w:val="283D6944"/>
    <w:rsid w:val="28407363"/>
    <w:rsid w:val="28825BCC"/>
    <w:rsid w:val="28996270"/>
    <w:rsid w:val="28BB542E"/>
    <w:rsid w:val="28BB5914"/>
    <w:rsid w:val="28DA4193"/>
    <w:rsid w:val="2900009D"/>
    <w:rsid w:val="29B42CF8"/>
    <w:rsid w:val="29CC6A6C"/>
    <w:rsid w:val="29E55A87"/>
    <w:rsid w:val="2A0140CD"/>
    <w:rsid w:val="2A0929F0"/>
    <w:rsid w:val="2A0B4F4C"/>
    <w:rsid w:val="2A1E5C2A"/>
    <w:rsid w:val="2A2102CB"/>
    <w:rsid w:val="2A785B68"/>
    <w:rsid w:val="2AAC402E"/>
    <w:rsid w:val="2AFC2101"/>
    <w:rsid w:val="2B016095"/>
    <w:rsid w:val="2B147E30"/>
    <w:rsid w:val="2B585039"/>
    <w:rsid w:val="2B671F00"/>
    <w:rsid w:val="2BFF2D26"/>
    <w:rsid w:val="2C2E4F21"/>
    <w:rsid w:val="2C35005E"/>
    <w:rsid w:val="2C6240CA"/>
    <w:rsid w:val="2CD721FE"/>
    <w:rsid w:val="2CFE66A2"/>
    <w:rsid w:val="2CFF1D81"/>
    <w:rsid w:val="2D2858CB"/>
    <w:rsid w:val="2D654973"/>
    <w:rsid w:val="2D724919"/>
    <w:rsid w:val="2DDB4C35"/>
    <w:rsid w:val="2DE54DC0"/>
    <w:rsid w:val="2E183793"/>
    <w:rsid w:val="2E4722CA"/>
    <w:rsid w:val="2E7806D6"/>
    <w:rsid w:val="2E7E28FA"/>
    <w:rsid w:val="2E864BA1"/>
    <w:rsid w:val="2E8F64CD"/>
    <w:rsid w:val="2EFA733D"/>
    <w:rsid w:val="2F2E4A11"/>
    <w:rsid w:val="2FF220C5"/>
    <w:rsid w:val="305807BF"/>
    <w:rsid w:val="3058256D"/>
    <w:rsid w:val="309204A6"/>
    <w:rsid w:val="30B6727E"/>
    <w:rsid w:val="31085D41"/>
    <w:rsid w:val="31476781"/>
    <w:rsid w:val="31780EFC"/>
    <w:rsid w:val="31C74D29"/>
    <w:rsid w:val="32BA4DA5"/>
    <w:rsid w:val="32E14A9C"/>
    <w:rsid w:val="33633703"/>
    <w:rsid w:val="336974A3"/>
    <w:rsid w:val="338B2C59"/>
    <w:rsid w:val="33B43F5E"/>
    <w:rsid w:val="34425A0E"/>
    <w:rsid w:val="34825E0A"/>
    <w:rsid w:val="34A210AD"/>
    <w:rsid w:val="34CA37F7"/>
    <w:rsid w:val="36447A5B"/>
    <w:rsid w:val="368045CB"/>
    <w:rsid w:val="36FE57A6"/>
    <w:rsid w:val="372238D5"/>
    <w:rsid w:val="38194C17"/>
    <w:rsid w:val="38284F1B"/>
    <w:rsid w:val="38C64745"/>
    <w:rsid w:val="3920043F"/>
    <w:rsid w:val="393F42CA"/>
    <w:rsid w:val="3971469F"/>
    <w:rsid w:val="3A4D744F"/>
    <w:rsid w:val="3A581778"/>
    <w:rsid w:val="3A6164C2"/>
    <w:rsid w:val="3AC23714"/>
    <w:rsid w:val="3B2B74DB"/>
    <w:rsid w:val="3B2D45F6"/>
    <w:rsid w:val="3C2B6D87"/>
    <w:rsid w:val="3D4948ED"/>
    <w:rsid w:val="3D4B6CC2"/>
    <w:rsid w:val="3D98044D"/>
    <w:rsid w:val="3E9F14AA"/>
    <w:rsid w:val="3F845D22"/>
    <w:rsid w:val="40383B92"/>
    <w:rsid w:val="410C2D75"/>
    <w:rsid w:val="414A7570"/>
    <w:rsid w:val="419F53E4"/>
    <w:rsid w:val="41C757A4"/>
    <w:rsid w:val="41D15327"/>
    <w:rsid w:val="41E94E9D"/>
    <w:rsid w:val="42674891"/>
    <w:rsid w:val="42E47FD1"/>
    <w:rsid w:val="43105177"/>
    <w:rsid w:val="43CA157C"/>
    <w:rsid w:val="43CF6B92"/>
    <w:rsid w:val="44753296"/>
    <w:rsid w:val="44A771C7"/>
    <w:rsid w:val="44C4421D"/>
    <w:rsid w:val="45107462"/>
    <w:rsid w:val="454D75C2"/>
    <w:rsid w:val="45594965"/>
    <w:rsid w:val="45A35BE1"/>
    <w:rsid w:val="45C1633F"/>
    <w:rsid w:val="45EF7078"/>
    <w:rsid w:val="465B7940"/>
    <w:rsid w:val="46D333AE"/>
    <w:rsid w:val="46FE0098"/>
    <w:rsid w:val="474433F3"/>
    <w:rsid w:val="47490C0E"/>
    <w:rsid w:val="47A07192"/>
    <w:rsid w:val="480F1C53"/>
    <w:rsid w:val="48382F58"/>
    <w:rsid w:val="48CD0795"/>
    <w:rsid w:val="494D658F"/>
    <w:rsid w:val="495F2766"/>
    <w:rsid w:val="49725FF6"/>
    <w:rsid w:val="49D97E23"/>
    <w:rsid w:val="4A001853"/>
    <w:rsid w:val="4A1A196E"/>
    <w:rsid w:val="4A365275"/>
    <w:rsid w:val="4A375942"/>
    <w:rsid w:val="4A835FE1"/>
    <w:rsid w:val="4B1516BC"/>
    <w:rsid w:val="4B5A22C2"/>
    <w:rsid w:val="4B663938"/>
    <w:rsid w:val="4B7F49FA"/>
    <w:rsid w:val="4BA6467C"/>
    <w:rsid w:val="4C12586E"/>
    <w:rsid w:val="4C9E2C4E"/>
    <w:rsid w:val="4CE03BBE"/>
    <w:rsid w:val="4D07730F"/>
    <w:rsid w:val="4D1D738A"/>
    <w:rsid w:val="4DD2581E"/>
    <w:rsid w:val="4DD3102D"/>
    <w:rsid w:val="4E540379"/>
    <w:rsid w:val="4E7C3C8E"/>
    <w:rsid w:val="4F0F42E7"/>
    <w:rsid w:val="4F22401A"/>
    <w:rsid w:val="4FC926E8"/>
    <w:rsid w:val="4FDC6A37"/>
    <w:rsid w:val="501F0559"/>
    <w:rsid w:val="502C325A"/>
    <w:rsid w:val="507D4CE1"/>
    <w:rsid w:val="50B91885"/>
    <w:rsid w:val="51A21442"/>
    <w:rsid w:val="51A359A0"/>
    <w:rsid w:val="528374C6"/>
    <w:rsid w:val="52860D64"/>
    <w:rsid w:val="52CA07B0"/>
    <w:rsid w:val="53803A05"/>
    <w:rsid w:val="53AF1CD0"/>
    <w:rsid w:val="53B212E5"/>
    <w:rsid w:val="541D3002"/>
    <w:rsid w:val="54996B2C"/>
    <w:rsid w:val="54F621D1"/>
    <w:rsid w:val="54F75E34"/>
    <w:rsid w:val="55805F3E"/>
    <w:rsid w:val="55A57753"/>
    <w:rsid w:val="55A7171D"/>
    <w:rsid w:val="55E30486"/>
    <w:rsid w:val="55F935FB"/>
    <w:rsid w:val="562B7C58"/>
    <w:rsid w:val="564B468F"/>
    <w:rsid w:val="565151E5"/>
    <w:rsid w:val="569021B1"/>
    <w:rsid w:val="573E7E5F"/>
    <w:rsid w:val="57435220"/>
    <w:rsid w:val="57752E3E"/>
    <w:rsid w:val="57DD31D4"/>
    <w:rsid w:val="58112E7E"/>
    <w:rsid w:val="58575BCF"/>
    <w:rsid w:val="58F06F37"/>
    <w:rsid w:val="59831B59"/>
    <w:rsid w:val="59F9006D"/>
    <w:rsid w:val="5B1C4013"/>
    <w:rsid w:val="5B286E5C"/>
    <w:rsid w:val="5B500161"/>
    <w:rsid w:val="5BBB16B5"/>
    <w:rsid w:val="5BF6145E"/>
    <w:rsid w:val="5C050310"/>
    <w:rsid w:val="5CD1707F"/>
    <w:rsid w:val="5DAA7FFC"/>
    <w:rsid w:val="5E0D217D"/>
    <w:rsid w:val="5E5A675C"/>
    <w:rsid w:val="5E6E2DD8"/>
    <w:rsid w:val="5E9646A2"/>
    <w:rsid w:val="5EA44A4C"/>
    <w:rsid w:val="5F3468AD"/>
    <w:rsid w:val="5F557AF4"/>
    <w:rsid w:val="60F81766"/>
    <w:rsid w:val="60FE51DD"/>
    <w:rsid w:val="6236021A"/>
    <w:rsid w:val="62742987"/>
    <w:rsid w:val="6283706E"/>
    <w:rsid w:val="628A3F58"/>
    <w:rsid w:val="62944DD7"/>
    <w:rsid w:val="632E0D88"/>
    <w:rsid w:val="6353259C"/>
    <w:rsid w:val="638C3D00"/>
    <w:rsid w:val="64590086"/>
    <w:rsid w:val="652337F8"/>
    <w:rsid w:val="656E5DB3"/>
    <w:rsid w:val="65B5753E"/>
    <w:rsid w:val="65D11E9E"/>
    <w:rsid w:val="66456B14"/>
    <w:rsid w:val="66DC6D4D"/>
    <w:rsid w:val="66E51D3A"/>
    <w:rsid w:val="670F4B51"/>
    <w:rsid w:val="67254250"/>
    <w:rsid w:val="67300409"/>
    <w:rsid w:val="673D3C8F"/>
    <w:rsid w:val="675406C0"/>
    <w:rsid w:val="683D381B"/>
    <w:rsid w:val="6858527E"/>
    <w:rsid w:val="685C1EF3"/>
    <w:rsid w:val="689F6B2B"/>
    <w:rsid w:val="68A044D6"/>
    <w:rsid w:val="68BC3EF8"/>
    <w:rsid w:val="68D75A1D"/>
    <w:rsid w:val="690F05BC"/>
    <w:rsid w:val="698F00A6"/>
    <w:rsid w:val="69A51678"/>
    <w:rsid w:val="69BA2F66"/>
    <w:rsid w:val="6A6E75A4"/>
    <w:rsid w:val="6A815C41"/>
    <w:rsid w:val="6A883473"/>
    <w:rsid w:val="6AB04778"/>
    <w:rsid w:val="6AE610E7"/>
    <w:rsid w:val="6AFD6D91"/>
    <w:rsid w:val="6B0E04B9"/>
    <w:rsid w:val="6B3F6F11"/>
    <w:rsid w:val="6BB52AF5"/>
    <w:rsid w:val="6C223454"/>
    <w:rsid w:val="6C74510B"/>
    <w:rsid w:val="6CB45DA1"/>
    <w:rsid w:val="6CFF5543"/>
    <w:rsid w:val="6D284A9A"/>
    <w:rsid w:val="6D443CFC"/>
    <w:rsid w:val="6D8D7823"/>
    <w:rsid w:val="6DBB32F1"/>
    <w:rsid w:val="6DC442BB"/>
    <w:rsid w:val="6F887A72"/>
    <w:rsid w:val="6F8D32DA"/>
    <w:rsid w:val="6F8D6E36"/>
    <w:rsid w:val="6FCD2658"/>
    <w:rsid w:val="702A6D7B"/>
    <w:rsid w:val="70333E81"/>
    <w:rsid w:val="709B37D5"/>
    <w:rsid w:val="71594B6E"/>
    <w:rsid w:val="718029E9"/>
    <w:rsid w:val="719B3709"/>
    <w:rsid w:val="71D86ACE"/>
    <w:rsid w:val="720B2F78"/>
    <w:rsid w:val="725531A4"/>
    <w:rsid w:val="725974A3"/>
    <w:rsid w:val="727F4A6D"/>
    <w:rsid w:val="72D059B7"/>
    <w:rsid w:val="736600CA"/>
    <w:rsid w:val="73A11102"/>
    <w:rsid w:val="74B142E4"/>
    <w:rsid w:val="74B6254A"/>
    <w:rsid w:val="74C07CAE"/>
    <w:rsid w:val="74ED535D"/>
    <w:rsid w:val="759735CC"/>
    <w:rsid w:val="75C17839"/>
    <w:rsid w:val="75F61BD9"/>
    <w:rsid w:val="772938E8"/>
    <w:rsid w:val="773109EF"/>
    <w:rsid w:val="77C16217"/>
    <w:rsid w:val="77ED700C"/>
    <w:rsid w:val="780B4339"/>
    <w:rsid w:val="780E72C1"/>
    <w:rsid w:val="781C51FB"/>
    <w:rsid w:val="785C3C25"/>
    <w:rsid w:val="788F5C09"/>
    <w:rsid w:val="78B201B1"/>
    <w:rsid w:val="7931117A"/>
    <w:rsid w:val="795D3D1D"/>
    <w:rsid w:val="79CD2C51"/>
    <w:rsid w:val="79E00959"/>
    <w:rsid w:val="7A294437"/>
    <w:rsid w:val="7AF44B79"/>
    <w:rsid w:val="7B6E5D6D"/>
    <w:rsid w:val="7C5371F4"/>
    <w:rsid w:val="7C66113B"/>
    <w:rsid w:val="7C8B294F"/>
    <w:rsid w:val="7CA823A0"/>
    <w:rsid w:val="7D3D0571"/>
    <w:rsid w:val="7E105802"/>
    <w:rsid w:val="7E972B8F"/>
    <w:rsid w:val="7EBE700C"/>
    <w:rsid w:val="7F1F5512"/>
    <w:rsid w:val="7F7462EF"/>
    <w:rsid w:val="7FE707E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Body Text"/>
    <w:basedOn w:val="1"/>
    <w:next w:val="1"/>
    <w:semiHidden/>
    <w:qFormat/>
    <w:uiPriority w:val="0"/>
    <w:rPr>
      <w:rFonts w:ascii="Arial" w:hAnsi="Arial" w:eastAsia="Arial" w:cs="Arial"/>
      <w:sz w:val="21"/>
      <w:szCs w:val="21"/>
      <w:lang w:val="en-US" w:eastAsia="en-US" w:bidi="ar-SA"/>
    </w:rPr>
  </w:style>
  <w:style w:type="paragraph" w:styleId="5">
    <w:name w:val="Body Text Indent"/>
    <w:basedOn w:val="1"/>
    <w:next w:val="1"/>
    <w:qFormat/>
    <w:uiPriority w:val="0"/>
    <w:pPr>
      <w:ind w:left="1083" w:leftChars="30" w:hanging="1020" w:hangingChars="425"/>
    </w:pPr>
    <w:rPr>
      <w:rFonts w:ascii="宋体" w:hAnsi="宋体"/>
      <w:sz w:val="24"/>
    </w:rPr>
  </w:style>
  <w:style w:type="paragraph" w:styleId="6">
    <w:name w:val="Block Text"/>
    <w:basedOn w:val="1"/>
    <w:qFormat/>
    <w:uiPriority w:val="0"/>
    <w:pPr>
      <w:spacing w:after="120"/>
      <w:ind w:left="1440" w:leftChars="700" w:right="700" w:rightChars="700"/>
    </w:pPr>
  </w:style>
  <w:style w:type="paragraph" w:styleId="7">
    <w:name w:val="Plain Text"/>
    <w:basedOn w:val="1"/>
    <w:unhideWhenUsed/>
    <w:qFormat/>
    <w:uiPriority w:val="99"/>
    <w:rPr>
      <w:rFonts w:ascii="宋体" w:hAnsi="Courier New"/>
      <w:sz w:val="24"/>
    </w:rPr>
  </w:style>
  <w:style w:type="paragraph" w:styleId="8">
    <w:name w:val="Body Text Indent 2"/>
    <w:basedOn w:val="1"/>
    <w:qFormat/>
    <w:uiPriority w:val="0"/>
    <w:pPr>
      <w:spacing w:line="360" w:lineRule="auto"/>
      <w:ind w:firstLine="480" w:firstLineChars="200"/>
    </w:pPr>
    <w:rPr>
      <w:rFonts w:ascii="幼圆" w:hAnsi="宋体" w:eastAsia="幼圆"/>
      <w:color w:val="FF0000"/>
      <w:sz w:val="24"/>
    </w:rPr>
  </w:style>
  <w:style w:type="paragraph" w:styleId="9">
    <w:name w:val="footer"/>
    <w:basedOn w:val="1"/>
    <w:qFormat/>
    <w:uiPriority w:val="0"/>
    <w:pPr>
      <w:tabs>
        <w:tab w:val="center" w:pos="4153"/>
        <w:tab w:val="right" w:pos="8306"/>
      </w:tabs>
      <w:snapToGrid w:val="0"/>
      <w:jc w:val="left"/>
    </w:pPr>
    <w:rPr>
      <w:sz w:val="18"/>
    </w:rPr>
  </w:style>
  <w:style w:type="paragraph" w:styleId="10">
    <w:name w:val="envelope return"/>
    <w:basedOn w:val="1"/>
    <w:qFormat/>
    <w:uiPriority w:val="0"/>
    <w:pPr>
      <w:snapToGrid w:val="0"/>
    </w:pPr>
    <w:rPr>
      <w:rFonts w:ascii="Arial" w:hAnsi="Arial"/>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4">
    <w:name w:val="Normal (Web)"/>
    <w:basedOn w:val="1"/>
    <w:next w:val="10"/>
    <w:qFormat/>
    <w:uiPriority w:val="0"/>
    <w:pPr>
      <w:widowControl/>
      <w:spacing w:before="100" w:beforeLines="0" w:beforeAutospacing="1" w:after="100" w:afterLines="0" w:afterAutospacing="1"/>
      <w:jc w:val="left"/>
    </w:pPr>
    <w:rPr>
      <w:rFonts w:ascii="宋体" w:hAnsi="宋体"/>
      <w:kern w:val="0"/>
      <w:sz w:val="24"/>
    </w:rPr>
  </w:style>
  <w:style w:type="paragraph" w:styleId="15">
    <w:name w:val="Body Text First Indent"/>
    <w:basedOn w:val="4"/>
    <w:next w:val="1"/>
    <w:qFormat/>
    <w:uiPriority w:val="0"/>
    <w:pPr>
      <w:adjustRightInd w:val="0"/>
      <w:ind w:firstLine="420"/>
      <w:jc w:val="left"/>
      <w:textAlignment w:val="baseline"/>
    </w:pPr>
    <w:rPr>
      <w:kern w:val="0"/>
      <w:sz w:val="21"/>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bCs/>
      <w:bdr w:val="single" w:color="BDBEC1" w:sz="6" w:space="0"/>
      <w:shd w:val="clear" w:fill="FFFFFF"/>
    </w:rPr>
  </w:style>
  <w:style w:type="character" w:styleId="20">
    <w:name w:val="FollowedHyperlink"/>
    <w:basedOn w:val="18"/>
    <w:qFormat/>
    <w:uiPriority w:val="0"/>
    <w:rPr>
      <w:color w:val="800080"/>
      <w:u w:val="none"/>
    </w:rPr>
  </w:style>
  <w:style w:type="character" w:styleId="21">
    <w:name w:val="Emphasis"/>
    <w:basedOn w:val="18"/>
    <w:qFormat/>
    <w:uiPriority w:val="0"/>
    <w:rPr>
      <w:b/>
      <w:bCs/>
    </w:rPr>
  </w:style>
  <w:style w:type="character" w:styleId="22">
    <w:name w:val="HTML Definition"/>
    <w:basedOn w:val="18"/>
    <w:qFormat/>
    <w:uiPriority w:val="0"/>
  </w:style>
  <w:style w:type="character" w:styleId="23">
    <w:name w:val="HTML Typewriter"/>
    <w:basedOn w:val="18"/>
    <w:qFormat/>
    <w:uiPriority w:val="0"/>
    <w:rPr>
      <w:rFonts w:ascii="monospace" w:hAnsi="monospace" w:eastAsia="monospace" w:cs="monospace"/>
      <w:sz w:val="20"/>
    </w:rPr>
  </w:style>
  <w:style w:type="character" w:styleId="24">
    <w:name w:val="HTML Acronym"/>
    <w:basedOn w:val="18"/>
    <w:qFormat/>
    <w:uiPriority w:val="0"/>
  </w:style>
  <w:style w:type="character" w:styleId="25">
    <w:name w:val="HTML Variable"/>
    <w:basedOn w:val="18"/>
    <w:qFormat/>
    <w:uiPriority w:val="0"/>
  </w:style>
  <w:style w:type="character" w:styleId="26">
    <w:name w:val="Hyperlink"/>
    <w:basedOn w:val="18"/>
    <w:qFormat/>
    <w:uiPriority w:val="0"/>
    <w:rPr>
      <w:color w:val="0000FF"/>
      <w:u w:val="none"/>
    </w:rPr>
  </w:style>
  <w:style w:type="character" w:styleId="27">
    <w:name w:val="HTML Code"/>
    <w:basedOn w:val="18"/>
    <w:qFormat/>
    <w:uiPriority w:val="0"/>
    <w:rPr>
      <w:rFonts w:hint="default" w:ascii="monospace" w:hAnsi="monospace" w:eastAsia="monospace" w:cs="monospace"/>
      <w:vanish/>
      <w:sz w:val="20"/>
    </w:rPr>
  </w:style>
  <w:style w:type="character" w:styleId="28">
    <w:name w:val="HTML Cite"/>
    <w:basedOn w:val="18"/>
    <w:qFormat/>
    <w:uiPriority w:val="0"/>
    <w:rPr>
      <w:rFonts w:ascii="微软雅黑" w:hAnsi="微软雅黑" w:eastAsia="微软雅黑" w:cs="微软雅黑"/>
      <w:sz w:val="18"/>
      <w:szCs w:val="18"/>
    </w:rPr>
  </w:style>
  <w:style w:type="character" w:styleId="29">
    <w:name w:val="HTML Keyboard"/>
    <w:basedOn w:val="18"/>
    <w:qFormat/>
    <w:uiPriority w:val="0"/>
    <w:rPr>
      <w:rFonts w:hint="default" w:ascii="monospace" w:hAnsi="monospace" w:eastAsia="monospace" w:cs="monospace"/>
      <w:sz w:val="20"/>
    </w:rPr>
  </w:style>
  <w:style w:type="character" w:styleId="30">
    <w:name w:val="HTML Sample"/>
    <w:basedOn w:val="18"/>
    <w:qFormat/>
    <w:uiPriority w:val="0"/>
    <w:rPr>
      <w:rFonts w:hint="default" w:ascii="monospace" w:hAnsi="monospace" w:eastAsia="monospace" w:cs="monospace"/>
    </w:rPr>
  </w:style>
  <w:style w:type="table" w:customStyle="1" w:styleId="31">
    <w:name w:val="Table Normal"/>
    <w:basedOn w:val="16"/>
    <w:semiHidden/>
    <w:unhideWhenUsed/>
    <w:qFormat/>
    <w:uiPriority w:val="0"/>
    <w:tblPr>
      <w:tblCellMar>
        <w:top w:w="0" w:type="dxa"/>
        <w:left w:w="0" w:type="dxa"/>
        <w:bottom w:w="0" w:type="dxa"/>
        <w:right w:w="0" w:type="dxa"/>
      </w:tblCellMar>
    </w:tblPr>
  </w:style>
  <w:style w:type="paragraph" w:customStyle="1" w:styleId="32">
    <w:name w:val="Table Text"/>
    <w:basedOn w:val="1"/>
    <w:semiHidden/>
    <w:qFormat/>
    <w:uiPriority w:val="0"/>
    <w:rPr>
      <w:rFonts w:ascii="宋体" w:hAnsi="宋体" w:eastAsia="宋体" w:cs="宋体"/>
      <w:sz w:val="24"/>
      <w:szCs w:val="24"/>
      <w:lang w:val="en-US" w:eastAsia="en-US" w:bidi="ar-SA"/>
    </w:rPr>
  </w:style>
  <w:style w:type="character" w:customStyle="1" w:styleId="33">
    <w:name w:val="font51"/>
    <w:basedOn w:val="18"/>
    <w:qFormat/>
    <w:uiPriority w:val="0"/>
    <w:rPr>
      <w:rFonts w:hint="eastAsia" w:ascii="楷体" w:hAnsi="楷体" w:eastAsia="楷体" w:cs="楷体"/>
      <w:color w:val="000000"/>
      <w:sz w:val="24"/>
      <w:szCs w:val="24"/>
      <w:u w:val="none"/>
    </w:rPr>
  </w:style>
  <w:style w:type="character" w:customStyle="1" w:styleId="34">
    <w:name w:val="font21"/>
    <w:basedOn w:val="18"/>
    <w:qFormat/>
    <w:uiPriority w:val="0"/>
    <w:rPr>
      <w:rFonts w:hint="eastAsia" w:ascii="宋体" w:hAnsi="宋体" w:eastAsia="宋体" w:cs="宋体"/>
      <w:color w:val="000000"/>
      <w:sz w:val="24"/>
      <w:szCs w:val="24"/>
      <w:u w:val="none"/>
    </w:rPr>
  </w:style>
  <w:style w:type="paragraph" w:customStyle="1" w:styleId="35">
    <w:name w:val="正文缩进1"/>
    <w:basedOn w:val="1"/>
    <w:qFormat/>
    <w:uiPriority w:val="0"/>
    <w:pPr>
      <w:ind w:firstLine="420" w:firstLineChars="200"/>
    </w:pPr>
  </w:style>
  <w:style w:type="character" w:customStyle="1" w:styleId="36">
    <w:name w:val="font61"/>
    <w:basedOn w:val="18"/>
    <w:qFormat/>
    <w:uiPriority w:val="0"/>
    <w:rPr>
      <w:rFonts w:hint="eastAsia" w:ascii="楷体" w:hAnsi="楷体" w:eastAsia="楷体" w:cs="楷体"/>
      <w:color w:val="000000"/>
      <w:sz w:val="24"/>
      <w:szCs w:val="24"/>
      <w:u w:val="none"/>
    </w:rPr>
  </w:style>
  <w:style w:type="character" w:customStyle="1" w:styleId="37">
    <w:name w:val="font31"/>
    <w:basedOn w:val="18"/>
    <w:qFormat/>
    <w:uiPriority w:val="0"/>
    <w:rPr>
      <w:rFonts w:hint="eastAsia" w:ascii="宋体" w:hAnsi="宋体" w:eastAsia="宋体" w:cs="宋体"/>
      <w:color w:val="000000"/>
      <w:sz w:val="24"/>
      <w:szCs w:val="24"/>
      <w:u w:val="none"/>
    </w:rPr>
  </w:style>
  <w:style w:type="paragraph" w:customStyle="1" w:styleId="38">
    <w:name w:val="正文（缩进 2 字符）"/>
    <w:qFormat/>
    <w:uiPriority w:val="0"/>
    <w:pPr>
      <w:spacing w:line="400" w:lineRule="exact"/>
      <w:ind w:firstLine="200" w:firstLineChars="200"/>
      <w:jc w:val="both"/>
    </w:pPr>
    <w:rPr>
      <w:rFonts w:ascii="Calibri Light" w:hAnsi="Calibri Light" w:eastAsia="华文仿宋" w:cs="Times New Roman"/>
      <w:kern w:val="2"/>
      <w:sz w:val="28"/>
      <w:szCs w:val="28"/>
      <w:lang w:val="en-US" w:eastAsia="zh-CN" w:bidi="ar-SA"/>
    </w:rPr>
  </w:style>
  <w:style w:type="paragraph" w:customStyle="1" w:styleId="39">
    <w:name w:val="Body text|1"/>
    <w:basedOn w:val="1"/>
    <w:qFormat/>
    <w:uiPriority w:val="0"/>
    <w:pPr>
      <w:widowControl w:val="0"/>
      <w:shd w:val="clear" w:color="auto" w:fill="auto"/>
      <w:spacing w:line="444" w:lineRule="auto"/>
      <w:ind w:firstLine="400"/>
    </w:pPr>
    <w:rPr>
      <w:rFonts w:ascii="宋体" w:hAnsi="宋体" w:eastAsia="宋体" w:cs="宋体"/>
      <w:sz w:val="22"/>
      <w:szCs w:val="22"/>
      <w:u w:val="none"/>
      <w:shd w:val="clear" w:color="auto" w:fill="auto"/>
      <w:lang w:val="zh-TW" w:eastAsia="zh-TW" w:bidi="zh-TW"/>
    </w:rPr>
  </w:style>
  <w:style w:type="paragraph" w:customStyle="1" w:styleId="40">
    <w:name w:val="无间隔1"/>
    <w:qFormat/>
    <w:uiPriority w:val="1"/>
    <w:pPr>
      <w:widowControl w:val="0"/>
      <w:jc w:val="both"/>
    </w:pPr>
    <w:rPr>
      <w:rFonts w:ascii="Calibri" w:hAnsi="Calibri" w:eastAsia="宋体" w:cs="Times New Roman"/>
      <w:kern w:val="2"/>
      <w:sz w:val="21"/>
      <w:szCs w:val="22"/>
      <w:lang w:val="en-US" w:eastAsia="zh-CN" w:bidi="ar-SA"/>
    </w:rPr>
  </w:style>
  <w:style w:type="character" w:customStyle="1" w:styleId="41">
    <w:name w:val="mini-outputtext1"/>
    <w:basedOn w:val="1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2" Type="http://schemas.openxmlformats.org/officeDocument/2006/relationships/fontTable" Target="fontTable.xml"/><Relationship Id="rId51" Type="http://schemas.openxmlformats.org/officeDocument/2006/relationships/numbering" Target="numbering.xml"/><Relationship Id="rId50" Type="http://schemas.openxmlformats.org/officeDocument/2006/relationships/customXml" Target="../customXml/item1.xml"/><Relationship Id="rId5" Type="http://schemas.openxmlformats.org/officeDocument/2006/relationships/header" Target="header1.xml"/><Relationship Id="rId49" Type="http://schemas.openxmlformats.org/officeDocument/2006/relationships/image" Target="media/image15.jpeg"/><Relationship Id="rId48" Type="http://schemas.openxmlformats.org/officeDocument/2006/relationships/image" Target="media/image14.jpeg"/><Relationship Id="rId47" Type="http://schemas.openxmlformats.org/officeDocument/2006/relationships/image" Target="media/image13.jpeg"/><Relationship Id="rId46" Type="http://schemas.openxmlformats.org/officeDocument/2006/relationships/image" Target="media/image12.jpeg"/><Relationship Id="rId45" Type="http://schemas.openxmlformats.org/officeDocument/2006/relationships/image" Target="media/image11.jpeg"/><Relationship Id="rId44" Type="http://schemas.openxmlformats.org/officeDocument/2006/relationships/image" Target="media/image10.jpeg"/><Relationship Id="rId43" Type="http://schemas.openxmlformats.org/officeDocument/2006/relationships/image" Target="media/image9.jpeg"/><Relationship Id="rId42" Type="http://schemas.openxmlformats.org/officeDocument/2006/relationships/image" Target="media/image8.jpeg"/><Relationship Id="rId41" Type="http://schemas.openxmlformats.org/officeDocument/2006/relationships/image" Target="media/image7.jpeg"/><Relationship Id="rId40" Type="http://schemas.openxmlformats.org/officeDocument/2006/relationships/image" Target="media/image6.jpeg"/><Relationship Id="rId4" Type="http://schemas.openxmlformats.org/officeDocument/2006/relationships/endnotes" Target="endnotes.xml"/><Relationship Id="rId39" Type="http://schemas.openxmlformats.org/officeDocument/2006/relationships/image" Target="media/image5.jpeg"/><Relationship Id="rId38" Type="http://schemas.openxmlformats.org/officeDocument/2006/relationships/image" Target="media/image4.png"/><Relationship Id="rId37" Type="http://schemas.openxmlformats.org/officeDocument/2006/relationships/image" Target="media/image3.png"/><Relationship Id="rId36" Type="http://schemas.openxmlformats.org/officeDocument/2006/relationships/image" Target="media/image2.png"/><Relationship Id="rId35" Type="http://schemas.openxmlformats.org/officeDocument/2006/relationships/image" Target="media/image1.png"/><Relationship Id="rId34" Type="http://schemas.openxmlformats.org/officeDocument/2006/relationships/theme" Target="theme/theme1.xml"/><Relationship Id="rId33" Type="http://schemas.openxmlformats.org/officeDocument/2006/relationships/footer" Target="footer27.xml"/><Relationship Id="rId32" Type="http://schemas.openxmlformats.org/officeDocument/2006/relationships/header" Target="header2.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86</Pages>
  <Words>16223</Words>
  <Characters>18027</Characters>
  <Lines>1</Lines>
  <Paragraphs>1</Paragraphs>
  <TotalTime>10</TotalTime>
  <ScaleCrop>false</ScaleCrop>
  <LinksUpToDate>false</LinksUpToDate>
  <CharactersWithSpaces>18329</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2025-06-05T10:28:00Z</dcterms:created>
  <dc:creator>阿楠</dc:creator>
  <cp:lastModifiedBy>中豫建设工程咨询有限公司榆林二分公司</cp:lastModifiedBy>
  <dcterms:modified xsi:type="dcterms:W3CDTF">2026-09-09T01:41:05Z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2025-06-12T15:14:11Z</vt:filetime>
  </property>
  <property fmtid="{D5CDD505-2E9C-101B-9397-08002B2CF9AE}" pid="4" name="KSOTemplateDocerSaveRecord">
    <vt:lpwstr>eyJoZGlkIjoiNGRiZmRiMjk5ODlhMTdkNmJlYTZkOWU3YmVmZWYyNzgiLCJ1c2VySWQiOiIxMDA2NTM0MTk1In0=</vt:lpwstr>
  </property>
  <property fmtid="{D5CDD505-2E9C-101B-9397-08002B2CF9AE}" pid="5" name="KSOProductBuildVer">
    <vt:lpwstr>2052-12.1.0.28505</vt:lpwstr>
  </property>
  <property fmtid="{D5CDD505-2E9C-101B-9397-08002B2CF9AE}" pid="6" name="ICV">
    <vt:lpwstr>F8F089A805234D2DB305F82DAC490725_13</vt:lpwstr>
  </property>
</Properties>
</file>