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版本号：ZYGJ-HZZC-263320260809001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西乡县白龙塘镇易地搬迁后续扶持“补短提质”项目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ZYGJ-HZZC-2633</w:t>
      </w:r>
      <w:r>
        <w:br/>
      </w:r>
      <w:r>
        <w:br/>
      </w:r>
      <w:r>
        <w:br/>
      </w:r>
    </w:p>
    <w:p>
      <w:pPr>
        <w:pStyle w:val="null3"/>
        <w:jc w:val="center"/>
        <w:outlineLvl w:val="2"/>
      </w:pPr>
      <w:r>
        <w:rPr>
          <w:rFonts w:ascii="仿宋_GB2312" w:hAnsi="仿宋_GB2312" w:cs="仿宋_GB2312" w:eastAsia="仿宋_GB2312"/>
          <w:sz w:val="28"/>
          <w:b/>
        </w:rPr>
        <w:t>西乡县白龙塘镇人民政府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西乡县白龙塘镇人民政府</w:t>
      </w:r>
      <w:r>
        <w:rPr>
          <w:rFonts w:ascii="仿宋_GB2312" w:hAnsi="仿宋_GB2312" w:cs="仿宋_GB2312" w:eastAsia="仿宋_GB2312"/>
        </w:rPr>
        <w:t>委托，拟对</w:t>
      </w:r>
      <w:r>
        <w:rPr>
          <w:rFonts w:ascii="仿宋_GB2312" w:hAnsi="仿宋_GB2312" w:cs="仿宋_GB2312" w:eastAsia="仿宋_GB2312"/>
        </w:rPr>
        <w:t>西乡县白龙塘镇易地搬迁后续扶持“补短提质”项目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西乡县白龙塘镇易地搬迁后续扶持“补短提质”项目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污水主管HDPE800双臂波纹管278m;新建污水支管HDPE300双臂波纹管525m;新建雨水主管HDPE400双臂波纹管278m，与污水主管并沟铺设;新建排水明沟与主雨水管道链接段HDPE200双臂波纹管50m;新建砖砌雨水检查井5座，内径1m；新建砖砌污水检查井#35座，内径1m；新建浆砌石排洪渠,沟截面净空尺寸:1000*1200，长度150m；新建排水混凝土明沟，沟截面净空尺寸:500*500，长150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3、供应商资质：供应商具备具备建设⾏政主管部⻔核发市政公⽤⼯程总承包三级及以上资质和有效的安全⽣产许可证，并在⼈员、设备、资⾦等⽅⾯具有相应的施⼯能⼒；</w:t>
      </w:r>
    </w:p>
    <w:p>
      <w:pPr>
        <w:pStyle w:val="null3"/>
      </w:pPr>
      <w:r>
        <w:rPr>
          <w:rFonts w:ascii="仿宋_GB2312" w:hAnsi="仿宋_GB2312" w:cs="仿宋_GB2312" w:eastAsia="仿宋_GB2312"/>
        </w:rPr>
        <w:t>4、项⽬负责⼈资质：拟委派项⽬负责⼈须具有市政公⽤⼯程专业贰级（含）及以上注册建造师资质，近六个⽉任意⼀⽉社保缴纳证明，并具有有效的安全⽣产考核合格证（建安B证），在本单位注册且⽆在建⼯程</w:t>
      </w:r>
    </w:p>
    <w:p>
      <w:pPr>
        <w:pStyle w:val="null3"/>
      </w:pPr>
      <w:r>
        <w:rPr>
          <w:rFonts w:ascii="仿宋_GB2312" w:hAnsi="仿宋_GB2312" w:cs="仿宋_GB2312" w:eastAsia="仿宋_GB2312"/>
        </w:rPr>
        <w:t>5、信誉资格条件：具有良好的商业信誉和健全的财务会计制度,具有履⾏合同所必需的设备和专业技术能⼒，具有依法缴纳税收和社会保障⾦的良好记录，参加本项⽬采购活动前三年内⽆重⼤违法活动记录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西乡县白龙塘镇人民政府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西乡县白龙镇政府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西乡县白龙塘镇人民政府经办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0916-6491201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采购包1：867,600.00元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代理服务费收费标准：1、参见国家计委颁布的《招标代理服务收费管理暂行办法》（计价格[2002]1980号）规定的招标代理服务收费标准收取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西乡县白龙塘镇人民政府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西乡县白龙塘镇人民政府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西乡县白龙塘镇人民政府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由成交供应商承担本次项⽬所涉及的相关知识产权⻛险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联系人：刘先生</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867,600.00</w:t>
      </w:r>
    </w:p>
    <w:p>
      <w:pPr>
        <w:pStyle w:val="null3"/>
      </w:pPr>
      <w:r>
        <w:rPr>
          <w:rFonts w:ascii="仿宋_GB2312" w:hAnsi="仿宋_GB2312" w:cs="仿宋_GB2312" w:eastAsia="仿宋_GB2312"/>
        </w:rPr>
        <w:t>采购包最高限价（元）: 867,600.00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市政排水设施</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867,600.00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标的名称：市政排水设施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工程施工质量达到国家验收合格标准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施工范围：工程量清单内所含的全部内容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90日历天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质量保修范围和保修期：质保期不少于12个月，质保范围为全部施工内容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 4、工程款支付方式：分期付款。 5、合同付款方式： 5.1、付款条件说明：施工合同签订，人员机械进场后，达到付款条件起10日内，支付合同总金额的30.00%。 5.2、付款条件说明：按期完成半程进度计划，达到付款条件起10日内，支付合同总金额的20.00%。 5.3、付款条件说明：竣工验收合格，达到付款条件起10日内，支付合同总金额的30.00%。 5.4、付款条件说明：工程经结算审计结束后，按照结算审计结果支付。达到付款条件起10日内，支付合同总金额的20.00%。 6、支付说明：以上款项支付均在达到支付条件后循序采购人财务规定及流程，以采购人财务账户向成交供应商政府采购网备案合同的银行账户转账支付。 7、合同违约责任与解决争议的方法：因违约或终止合同而引起的损失和损害的赔偿，委托单位与供应商之间应当协商解决;如未能达成一致，协商或调解不成的，根据双方约定提交仲裁，或向项目所在地人民法院提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供应商及项目经理类似项目业绩一览表.docx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供应商具备具备建设⾏政主管部⻔核发市政公⽤⼯程总承包三级及以上资质和有效的安全⽣产许可证，并在⼈员、设备、资⾦等⽅⾯具有相应的施⼯能⼒；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项⽬负责⼈资质</w:t>
            </w:r>
          </w:p>
        </w:tc>
        <w:tc>
          <w:tcPr>
            <w:tcW w:type="dxa" w:w="3322"/>
          </w:tcPr>
          <w:p>
            <w:pPr>
              <w:pStyle w:val="null3"/>
            </w:pPr>
            <w:r>
              <w:rPr>
                <w:rFonts w:ascii="仿宋_GB2312" w:hAnsi="仿宋_GB2312" w:cs="仿宋_GB2312" w:eastAsia="仿宋_GB2312"/>
              </w:rPr>
              <w:t>拟委派项⽬负责⼈须具有市政公⽤⼯程专业贰级（含）及以上注册建造师资质，近六个⽉任意⼀⽉社保缴纳证明，并具有有效的安全⽣产考核合格证（建安B证），在本单位注册且⽆在建⼯程</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信誉资格条件</w:t>
            </w:r>
          </w:p>
        </w:tc>
        <w:tc>
          <w:tcPr>
            <w:tcW w:type="dxa" w:w="3322"/>
          </w:tcPr>
          <w:p>
            <w:pPr>
              <w:pStyle w:val="null3"/>
            </w:pPr>
            <w:r>
              <w:rPr>
                <w:rFonts w:ascii="仿宋_GB2312" w:hAnsi="仿宋_GB2312" w:cs="仿宋_GB2312" w:eastAsia="仿宋_GB2312"/>
              </w:rPr>
              <w:t>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响应文件中未按照磋商文件规定要求签字、盖章的</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投标报价超过磋商文件中规定的采购预算或最高限价或标的金额的。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不满足磋商文件中实质性条款要求的。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技术服务合同条款及其他商务要求应答表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1施工准备及总体概述;2施工平面布置;3项目总体部署;4施工方法;评审标准:各项内容全面详细、阐述条理清晰详尽、符合本项目采购需求、对项目的理解准确、针对性强能有效保障本项目实施得12分;每缺一项扣3分，每一项内容存在缺陷，扣1.5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供应商及项目经理类似项目业绩一览表.docx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1、具备工程类中级及以上职称得1分，中级职称以下不得分；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3、至少提供2023年1月1日至今类似业绩证明，得3分。 （注：业绩须是供应商项目经理完成的类似项目，提供中标通知书、协议书（合同）加盖公章的复印件，否则不得分。项目经理业绩不能作为企业业绩同时使用）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供应商及项目经理类似项目业绩一览表.docx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详见附件：供应商及项目经理类似项目业绩一览表.docx</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