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56270D">
      <w:pPr>
        <w:jc w:val="left"/>
        <w:rPr>
          <w:rFonts w:hint="eastAsia" w:ascii="宋体" w:hAnsi="宋体" w:cs="宋体"/>
          <w:b/>
          <w:bCs/>
          <w:sz w:val="36"/>
          <w:szCs w:val="44"/>
        </w:rPr>
      </w:pPr>
      <w:r>
        <w:rPr>
          <w:rFonts w:hint="eastAsia" w:ascii="宋体" w:hAnsi="宋体" w:cs="宋体"/>
          <w:b/>
          <w:bCs/>
          <w:sz w:val="28"/>
          <w:szCs w:val="28"/>
        </w:rPr>
        <w:t>项目编号：MSXDYA-2026027</w:t>
      </w:r>
    </w:p>
    <w:p w14:paraId="6124D4DE">
      <w:pPr>
        <w:spacing w:line="240" w:lineRule="auto"/>
        <w:rPr>
          <w:rFonts w:hint="eastAsia" w:ascii="宋体" w:hAnsi="宋体" w:cs="宋体"/>
          <w:b/>
          <w:bCs/>
          <w:sz w:val="28"/>
          <w:szCs w:val="28"/>
        </w:rPr>
      </w:pPr>
    </w:p>
    <w:p w14:paraId="5D073CDD">
      <w:pPr>
        <w:jc w:val="center"/>
        <w:rPr>
          <w:rFonts w:hint="eastAsia" w:ascii="宋体" w:hAnsi="宋体" w:cs="宋体"/>
          <w:b/>
          <w:bCs/>
          <w:sz w:val="52"/>
          <w:szCs w:val="52"/>
        </w:rPr>
      </w:pPr>
    </w:p>
    <w:p w14:paraId="79B6C505">
      <w:pPr>
        <w:jc w:val="center"/>
        <w:rPr>
          <w:rFonts w:hint="eastAsia" w:ascii="宋体" w:hAnsi="宋体" w:cs="宋体"/>
          <w:bCs/>
          <w:sz w:val="56"/>
          <w:szCs w:val="56"/>
        </w:rPr>
      </w:pPr>
      <w:r>
        <w:rPr>
          <w:rFonts w:hint="eastAsia" w:ascii="宋体" w:hAnsi="宋体" w:cs="宋体"/>
          <w:b/>
          <w:bCs/>
          <w:sz w:val="56"/>
          <w:szCs w:val="56"/>
        </w:rPr>
        <w:t>延安市公安局侦查中心建设</w:t>
      </w:r>
    </w:p>
    <w:p w14:paraId="73B14FBE">
      <w:pPr>
        <w:jc w:val="center"/>
        <w:rPr>
          <w:rFonts w:hint="eastAsia" w:ascii="宋体" w:hAnsi="宋体" w:cs="宋体"/>
          <w:bCs/>
          <w:sz w:val="72"/>
          <w:szCs w:val="72"/>
        </w:rPr>
      </w:pPr>
    </w:p>
    <w:p w14:paraId="744D20D5">
      <w:pPr>
        <w:jc w:val="center"/>
        <w:rPr>
          <w:rFonts w:hint="eastAsia" w:ascii="宋体" w:hAnsi="宋体" w:cs="宋体"/>
          <w:bCs/>
          <w:sz w:val="72"/>
          <w:szCs w:val="72"/>
        </w:rPr>
      </w:pPr>
    </w:p>
    <w:p w14:paraId="4DF19279">
      <w:pPr>
        <w:jc w:val="center"/>
        <w:rPr>
          <w:rFonts w:hint="eastAsia" w:ascii="宋体" w:hAnsi="宋体" w:cs="宋体"/>
          <w:bCs/>
          <w:sz w:val="72"/>
          <w:szCs w:val="72"/>
        </w:rPr>
      </w:pPr>
      <w:r>
        <w:rPr>
          <w:rFonts w:hint="eastAsia" w:ascii="宋体" w:hAnsi="宋体" w:cs="宋体"/>
          <w:bCs/>
          <w:sz w:val="72"/>
          <w:szCs w:val="72"/>
        </w:rPr>
        <w:t>招标文件</w:t>
      </w:r>
    </w:p>
    <w:p w14:paraId="478D18FA">
      <w:pPr>
        <w:pStyle w:val="9"/>
        <w:ind w:left="0" w:leftChars="0"/>
        <w:rPr>
          <w:rFonts w:hint="eastAsia" w:ascii="宋体" w:hAnsi="宋体" w:cs="宋体"/>
        </w:rPr>
      </w:pPr>
    </w:p>
    <w:p w14:paraId="0B0413AD">
      <w:pPr>
        <w:pStyle w:val="9"/>
        <w:spacing w:after="0" w:line="240" w:lineRule="auto"/>
        <w:ind w:left="0" w:leftChars="0"/>
        <w:rPr>
          <w:rFonts w:hint="eastAsia" w:ascii="宋体" w:hAnsi="宋体" w:cs="宋体"/>
        </w:rPr>
      </w:pPr>
    </w:p>
    <w:p w14:paraId="36739A0E">
      <w:pPr>
        <w:pStyle w:val="9"/>
        <w:ind w:left="0" w:leftChars="0" w:firstLine="1405" w:firstLineChars="500"/>
        <w:rPr>
          <w:rFonts w:hint="eastAsia" w:ascii="宋体" w:hAnsi="宋体" w:cs="宋体"/>
          <w:b/>
          <w:bCs/>
          <w:sz w:val="28"/>
          <w:szCs w:val="36"/>
        </w:rPr>
      </w:pPr>
    </w:p>
    <w:p w14:paraId="0BE9EC7F">
      <w:pPr>
        <w:pStyle w:val="9"/>
        <w:rPr>
          <w:rFonts w:hint="eastAsia" w:ascii="宋体" w:hAnsi="宋体" w:cs="宋体"/>
          <w:b/>
          <w:bCs/>
          <w:sz w:val="36"/>
          <w:szCs w:val="44"/>
        </w:rPr>
      </w:pPr>
    </w:p>
    <w:p w14:paraId="28227CB6">
      <w:pPr>
        <w:pStyle w:val="9"/>
        <w:rPr>
          <w:rFonts w:hint="eastAsia" w:ascii="宋体" w:hAnsi="宋体" w:cs="宋体"/>
          <w:b/>
          <w:bCs/>
          <w:sz w:val="36"/>
          <w:szCs w:val="44"/>
        </w:rPr>
      </w:pPr>
    </w:p>
    <w:p w14:paraId="4E170AEA">
      <w:pPr>
        <w:pStyle w:val="9"/>
        <w:rPr>
          <w:rFonts w:hint="eastAsia" w:ascii="宋体" w:hAnsi="宋体" w:cs="宋体"/>
          <w:b/>
          <w:bCs/>
          <w:sz w:val="36"/>
          <w:szCs w:val="44"/>
        </w:rPr>
      </w:pPr>
      <w:r>
        <w:rPr>
          <w:rFonts w:hint="eastAsia" w:ascii="宋体" w:hAnsi="宋体" w:cs="宋体"/>
          <w:b/>
          <w:bCs/>
          <w:sz w:val="36"/>
          <w:szCs w:val="44"/>
        </w:rPr>
        <w:t>采购人：延安市公安局</w:t>
      </w:r>
    </w:p>
    <w:p w14:paraId="650A80B5">
      <w:pPr>
        <w:pStyle w:val="9"/>
        <w:rPr>
          <w:rFonts w:hint="eastAsia" w:ascii="宋体" w:hAnsi="宋体" w:cs="宋体"/>
          <w:b/>
          <w:bCs/>
          <w:sz w:val="36"/>
          <w:szCs w:val="44"/>
        </w:rPr>
      </w:pPr>
      <w:r>
        <w:rPr>
          <w:rFonts w:hint="eastAsia" w:ascii="宋体" w:hAnsi="宋体" w:cs="宋体"/>
          <w:b/>
          <w:bCs/>
          <w:sz w:val="36"/>
          <w:szCs w:val="44"/>
        </w:rPr>
        <w:t xml:space="preserve">采购代理机构：铭森信达（陕西）项目管理有限公司 </w:t>
      </w:r>
    </w:p>
    <w:p w14:paraId="5EF88774">
      <w:pPr>
        <w:jc w:val="center"/>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sz w:val="36"/>
          <w:szCs w:val="36"/>
        </w:rPr>
        <w:t>二〇二六年</w:t>
      </w:r>
      <w:r>
        <w:rPr>
          <w:rFonts w:hint="eastAsia" w:asciiTheme="minorEastAsia" w:hAnsiTheme="minorEastAsia" w:eastAsiaTheme="minorEastAsia" w:cstheme="minorEastAsia"/>
          <w:b/>
          <w:sz w:val="36"/>
          <w:szCs w:val="36"/>
          <w:lang w:val="en-US" w:eastAsia="zh-CN"/>
        </w:rPr>
        <w:t>六</w:t>
      </w:r>
      <w:r>
        <w:rPr>
          <w:rFonts w:hint="eastAsia" w:asciiTheme="minorEastAsia" w:hAnsiTheme="minorEastAsia" w:eastAsiaTheme="minorEastAsia" w:cstheme="minorEastAsia"/>
          <w:b/>
          <w:sz w:val="36"/>
          <w:szCs w:val="36"/>
        </w:rPr>
        <w:t>月</w:t>
      </w:r>
    </w:p>
    <w:p w14:paraId="7F7155F6">
      <w:pPr>
        <w:pStyle w:val="2"/>
        <w:rPr>
          <w:rFonts w:hint="eastAsia" w:ascii="宋体" w:hAnsi="宋体" w:cs="宋体"/>
          <w:sz w:val="32"/>
          <w:szCs w:val="32"/>
        </w:rPr>
        <w:sectPr>
          <w:headerReference r:id="rId9" w:type="first"/>
          <w:footerReference r:id="rId12" w:type="first"/>
          <w:headerReference r:id="rId7" w:type="default"/>
          <w:footerReference r:id="rId10" w:type="default"/>
          <w:headerReference r:id="rId8" w:type="even"/>
          <w:footerReference r:id="rId11" w:type="even"/>
          <w:pgSz w:w="11906" w:h="16838"/>
          <w:pgMar w:top="1418" w:right="986" w:bottom="1418" w:left="1440" w:header="851" w:footer="992" w:gutter="0"/>
          <w:pgNumType w:start="1"/>
          <w:cols w:space="720" w:num="1"/>
          <w:titlePg/>
          <w:docGrid w:linePitch="326" w:charSpace="0"/>
        </w:sectPr>
      </w:pPr>
    </w:p>
    <w:p w14:paraId="39FBC2FE">
      <w:pPr>
        <w:pStyle w:val="2"/>
        <w:rPr>
          <w:rFonts w:hint="eastAsia" w:ascii="宋体" w:hAnsi="宋体" w:cs="宋体"/>
          <w:sz w:val="44"/>
        </w:rPr>
      </w:pPr>
      <w:r>
        <w:rPr>
          <w:rFonts w:hint="eastAsia" w:ascii="宋体" w:hAnsi="宋体" w:cs="宋体"/>
          <w:sz w:val="44"/>
        </w:rPr>
        <w:t>目  录</w:t>
      </w:r>
    </w:p>
    <w:p w14:paraId="0A74513C">
      <w:pPr>
        <w:ind w:firstLine="420"/>
        <w:rPr>
          <w:rFonts w:hint="eastAsia" w:ascii="宋体" w:hAnsi="宋体" w:cs="宋体"/>
        </w:rPr>
      </w:pPr>
    </w:p>
    <w:p w14:paraId="2B5D1ECC">
      <w:pPr>
        <w:spacing w:line="600" w:lineRule="auto"/>
        <w:ind w:firstLine="602" w:firstLineChars="200"/>
        <w:rPr>
          <w:rFonts w:hint="eastAsia" w:ascii="宋体" w:hAnsi="宋体" w:cs="宋体"/>
          <w:b/>
          <w:sz w:val="30"/>
          <w:szCs w:val="30"/>
        </w:rPr>
      </w:pPr>
      <w:r>
        <w:rPr>
          <w:rFonts w:hint="eastAsia" w:ascii="宋体" w:hAnsi="宋体" w:cs="宋体"/>
          <w:b/>
          <w:sz w:val="30"/>
          <w:szCs w:val="30"/>
        </w:rPr>
        <w:t xml:space="preserve">第一部分  招标公告 </w:t>
      </w:r>
    </w:p>
    <w:p w14:paraId="2E735433">
      <w:pPr>
        <w:spacing w:line="600" w:lineRule="auto"/>
        <w:ind w:firstLine="602" w:firstLineChars="200"/>
        <w:rPr>
          <w:rFonts w:hint="eastAsia" w:ascii="宋体" w:hAnsi="宋体" w:cs="宋体"/>
          <w:b/>
          <w:sz w:val="30"/>
          <w:szCs w:val="30"/>
        </w:rPr>
      </w:pPr>
      <w:r>
        <w:rPr>
          <w:rFonts w:hint="eastAsia" w:ascii="宋体" w:hAnsi="宋体" w:cs="宋体"/>
          <w:b/>
          <w:sz w:val="30"/>
          <w:szCs w:val="30"/>
        </w:rPr>
        <w:t>第二部分  投标人须知</w:t>
      </w:r>
    </w:p>
    <w:p w14:paraId="1971E512">
      <w:pPr>
        <w:spacing w:line="600" w:lineRule="auto"/>
        <w:ind w:firstLine="602" w:firstLineChars="200"/>
        <w:rPr>
          <w:rFonts w:hint="eastAsia" w:ascii="宋体" w:hAnsi="宋体" w:cs="宋体"/>
          <w:b/>
          <w:sz w:val="30"/>
          <w:szCs w:val="30"/>
        </w:rPr>
      </w:pPr>
      <w:r>
        <w:rPr>
          <w:rFonts w:hint="eastAsia" w:ascii="宋体" w:hAnsi="宋体" w:cs="宋体"/>
          <w:b/>
          <w:sz w:val="30"/>
          <w:szCs w:val="30"/>
        </w:rPr>
        <w:t xml:space="preserve">第三部分  招标内容及参数要求 </w:t>
      </w:r>
    </w:p>
    <w:p w14:paraId="416DB463">
      <w:pPr>
        <w:spacing w:line="600" w:lineRule="auto"/>
        <w:ind w:firstLine="643" w:firstLineChars="200"/>
        <w:jc w:val="left"/>
        <w:rPr>
          <w:rFonts w:hint="eastAsia" w:ascii="宋体" w:hAnsi="宋体" w:cs="宋体"/>
          <w:b/>
          <w:sz w:val="30"/>
          <w:szCs w:val="30"/>
        </w:rPr>
      </w:pPr>
      <w:r>
        <w:rPr>
          <w:rFonts w:hint="eastAsia" w:ascii="宋体" w:hAnsi="宋体" w:cs="宋体"/>
          <w:b/>
          <w:sz w:val="32"/>
          <w:szCs w:val="32"/>
        </w:rPr>
        <w:t>第四部分 合同主要条款</w:t>
      </w:r>
    </w:p>
    <w:p w14:paraId="28AE136E">
      <w:pPr>
        <w:spacing w:line="600" w:lineRule="auto"/>
        <w:ind w:firstLine="602" w:firstLineChars="200"/>
        <w:jc w:val="left"/>
        <w:rPr>
          <w:rFonts w:hint="eastAsia" w:ascii="宋体" w:hAnsi="宋体" w:cs="宋体"/>
          <w:b/>
          <w:sz w:val="30"/>
          <w:szCs w:val="30"/>
        </w:rPr>
      </w:pPr>
      <w:r>
        <w:rPr>
          <w:rFonts w:hint="eastAsia" w:ascii="宋体" w:hAnsi="宋体" w:cs="宋体"/>
          <w:b/>
          <w:sz w:val="30"/>
          <w:szCs w:val="30"/>
        </w:rPr>
        <w:t xml:space="preserve">第五部分  投标文件格式    </w:t>
      </w:r>
    </w:p>
    <w:p w14:paraId="392C3828">
      <w:pPr>
        <w:spacing w:line="480" w:lineRule="auto"/>
        <w:ind w:firstLine="602" w:firstLineChars="200"/>
        <w:rPr>
          <w:rFonts w:hint="eastAsia" w:ascii="宋体" w:hAnsi="宋体" w:cs="宋体"/>
          <w:b/>
          <w:sz w:val="30"/>
          <w:szCs w:val="30"/>
        </w:rPr>
      </w:pPr>
    </w:p>
    <w:p w14:paraId="70731E29">
      <w:pPr>
        <w:spacing w:line="480" w:lineRule="auto"/>
        <w:ind w:firstLine="602" w:firstLineChars="200"/>
        <w:rPr>
          <w:rFonts w:hint="eastAsia" w:ascii="宋体" w:hAnsi="宋体" w:cs="宋体"/>
          <w:b/>
          <w:sz w:val="30"/>
          <w:szCs w:val="30"/>
        </w:rPr>
      </w:pPr>
    </w:p>
    <w:p w14:paraId="0B58FD9D">
      <w:pPr>
        <w:spacing w:line="480" w:lineRule="auto"/>
        <w:ind w:firstLine="602" w:firstLineChars="200"/>
        <w:rPr>
          <w:rFonts w:hint="eastAsia" w:ascii="宋体" w:hAnsi="宋体" w:cs="宋体"/>
          <w:b/>
          <w:sz w:val="30"/>
          <w:szCs w:val="30"/>
        </w:rPr>
      </w:pPr>
    </w:p>
    <w:p w14:paraId="7006271B">
      <w:pPr>
        <w:spacing w:line="480" w:lineRule="auto"/>
        <w:rPr>
          <w:rFonts w:hint="eastAsia" w:ascii="宋体" w:hAnsi="宋体" w:cs="宋体"/>
          <w:b/>
          <w:sz w:val="32"/>
          <w:szCs w:val="32"/>
        </w:rPr>
      </w:pPr>
    </w:p>
    <w:p w14:paraId="3717240E">
      <w:pPr>
        <w:rPr>
          <w:rFonts w:hint="eastAsia" w:ascii="宋体" w:hAnsi="宋体" w:cs="宋体"/>
          <w:sz w:val="32"/>
          <w:szCs w:val="32"/>
        </w:rPr>
      </w:pPr>
    </w:p>
    <w:p w14:paraId="0DCF00A2">
      <w:pPr>
        <w:rPr>
          <w:rFonts w:hint="eastAsia" w:ascii="宋体" w:hAnsi="宋体" w:cs="宋体"/>
          <w:sz w:val="32"/>
          <w:szCs w:val="32"/>
        </w:rPr>
      </w:pPr>
    </w:p>
    <w:p w14:paraId="59580EA2">
      <w:pPr>
        <w:rPr>
          <w:rFonts w:hint="eastAsia" w:ascii="宋体" w:hAnsi="宋体" w:cs="宋体"/>
          <w:sz w:val="32"/>
          <w:szCs w:val="32"/>
        </w:rPr>
      </w:pPr>
    </w:p>
    <w:p w14:paraId="22363724">
      <w:pPr>
        <w:spacing w:line="400" w:lineRule="exact"/>
        <w:jc w:val="left"/>
        <w:rPr>
          <w:rFonts w:hint="eastAsia" w:ascii="宋体" w:hAnsi="宋体" w:cs="宋体"/>
          <w:b/>
          <w:sz w:val="32"/>
          <w:szCs w:val="32"/>
        </w:rPr>
      </w:pPr>
    </w:p>
    <w:p w14:paraId="14EE3533">
      <w:pPr>
        <w:spacing w:line="400" w:lineRule="exact"/>
        <w:jc w:val="left"/>
        <w:rPr>
          <w:rFonts w:hint="eastAsia" w:ascii="宋体" w:hAnsi="宋体" w:cs="宋体"/>
          <w:b/>
          <w:sz w:val="32"/>
          <w:szCs w:val="32"/>
        </w:rPr>
      </w:pPr>
    </w:p>
    <w:p w14:paraId="117BA632">
      <w:pPr>
        <w:spacing w:line="400" w:lineRule="exact"/>
        <w:jc w:val="left"/>
        <w:rPr>
          <w:rFonts w:hint="eastAsia" w:ascii="宋体" w:hAnsi="宋体" w:cs="宋体"/>
          <w:b/>
          <w:sz w:val="32"/>
          <w:szCs w:val="32"/>
        </w:rPr>
      </w:pPr>
    </w:p>
    <w:p w14:paraId="4FA37646">
      <w:pPr>
        <w:spacing w:line="400" w:lineRule="exact"/>
        <w:jc w:val="left"/>
        <w:rPr>
          <w:rFonts w:hint="eastAsia" w:ascii="宋体" w:hAnsi="宋体" w:cs="宋体"/>
          <w:b/>
          <w:sz w:val="32"/>
          <w:szCs w:val="32"/>
        </w:rPr>
      </w:pPr>
    </w:p>
    <w:p w14:paraId="4CFD386A">
      <w:pPr>
        <w:spacing w:line="400" w:lineRule="exact"/>
        <w:jc w:val="left"/>
        <w:rPr>
          <w:rFonts w:hint="eastAsia" w:ascii="宋体" w:hAnsi="宋体" w:cs="宋体"/>
          <w:b/>
          <w:sz w:val="32"/>
          <w:szCs w:val="32"/>
        </w:rPr>
      </w:pPr>
    </w:p>
    <w:p w14:paraId="296A244F">
      <w:pPr>
        <w:spacing w:line="400" w:lineRule="exact"/>
        <w:jc w:val="left"/>
        <w:rPr>
          <w:rFonts w:hint="eastAsia" w:ascii="宋体" w:hAnsi="宋体" w:cs="宋体"/>
          <w:b/>
          <w:sz w:val="32"/>
          <w:szCs w:val="32"/>
        </w:rPr>
      </w:pPr>
      <w:r>
        <w:rPr>
          <w:rFonts w:hint="eastAsia" w:ascii="宋体" w:hAnsi="宋体" w:cs="宋体"/>
          <w:b/>
          <w:sz w:val="32"/>
          <w:szCs w:val="32"/>
        </w:rPr>
        <w:t xml:space="preserve">                     </w:t>
      </w:r>
    </w:p>
    <w:p w14:paraId="67FFB075">
      <w:pPr>
        <w:rPr>
          <w:rFonts w:hint="eastAsia" w:ascii="宋体" w:hAnsi="宋体" w:cs="宋体"/>
          <w:b/>
          <w:sz w:val="32"/>
          <w:szCs w:val="32"/>
        </w:rPr>
      </w:pPr>
      <w:r>
        <w:rPr>
          <w:rFonts w:hint="eastAsia" w:ascii="宋体" w:hAnsi="宋体" w:cs="宋体"/>
          <w:b/>
          <w:sz w:val="32"/>
          <w:szCs w:val="32"/>
        </w:rPr>
        <w:br w:type="page"/>
      </w:r>
    </w:p>
    <w:p w14:paraId="57215677">
      <w:pPr>
        <w:spacing w:line="400" w:lineRule="exact"/>
        <w:jc w:val="center"/>
        <w:rPr>
          <w:rFonts w:hint="eastAsia" w:ascii="宋体" w:hAnsi="宋体" w:cs="宋体"/>
          <w:b/>
          <w:sz w:val="32"/>
          <w:szCs w:val="32"/>
        </w:rPr>
      </w:pPr>
      <w:r>
        <w:rPr>
          <w:rFonts w:hint="eastAsia" w:ascii="宋体" w:hAnsi="宋体" w:cs="宋体"/>
          <w:b/>
          <w:sz w:val="32"/>
          <w:szCs w:val="32"/>
        </w:rPr>
        <w:t>第一部分  招标公告</w:t>
      </w:r>
    </w:p>
    <w:p w14:paraId="045CFF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1"/>
          <w:rFonts w:hint="eastAsia" w:ascii="宋体" w:hAnsi="宋体" w:eastAsia="宋体" w:cs="宋体"/>
          <w:b/>
          <w:bCs/>
          <w:i w:val="0"/>
          <w:iCs w:val="0"/>
          <w:caps w:val="0"/>
          <w:color w:val="auto"/>
          <w:spacing w:val="0"/>
          <w:sz w:val="24"/>
          <w:szCs w:val="24"/>
          <w:shd w:val="clear" w:fill="FFFFFF"/>
        </w:rPr>
        <w:t>项目概况</w:t>
      </w:r>
    </w:p>
    <w:p w14:paraId="5D69204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侦查中心建设项目招标项目的潜在投标人应在全国公共资源交易平台（陕西省·延安市）获取招标文件，并于2026年07月02日 10时00分（北京时间）前递交投标文件。</w:t>
      </w:r>
    </w:p>
    <w:p w14:paraId="02D72FE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1"/>
          <w:rFonts w:hint="eastAsia" w:ascii="宋体" w:hAnsi="宋体" w:eastAsia="宋体" w:cs="宋体"/>
          <w:b/>
          <w:bCs/>
          <w:i w:val="0"/>
          <w:iCs w:val="0"/>
          <w:caps w:val="0"/>
          <w:color w:val="auto"/>
          <w:spacing w:val="0"/>
          <w:sz w:val="24"/>
          <w:szCs w:val="24"/>
          <w:shd w:val="clear" w:fill="FFFFFF"/>
        </w:rPr>
        <w:t>一、项目基本情况</w:t>
      </w:r>
    </w:p>
    <w:p w14:paraId="1C1D001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项目编号：MSXDYA-2026027</w:t>
      </w:r>
    </w:p>
    <w:p w14:paraId="48ACD82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项目名称：侦查中心建设</w:t>
      </w:r>
    </w:p>
    <w:p w14:paraId="2BFDD64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采购方式：公开招标</w:t>
      </w:r>
    </w:p>
    <w:p w14:paraId="2A3F5C0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预算金额：4,740,000.00元</w:t>
      </w:r>
    </w:p>
    <w:p w14:paraId="5CB5BBD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28B7AAF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合同包1(延安市公安局侦查中心建设):</w:t>
      </w:r>
    </w:p>
    <w:p w14:paraId="56A7F54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合同包预算金额：4,740,000.00元</w:t>
      </w:r>
    </w:p>
    <w:p w14:paraId="233ADA2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合同包最高限价：4,740,000.00元</w:t>
      </w:r>
    </w:p>
    <w:tbl>
      <w:tblPr>
        <w:tblStyle w:val="18"/>
        <w:tblW w:w="5128" w:type="pct"/>
        <w:tblInd w:w="-22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02"/>
        <w:gridCol w:w="2455"/>
        <w:gridCol w:w="1977"/>
        <w:gridCol w:w="1297"/>
        <w:gridCol w:w="1502"/>
        <w:gridCol w:w="1906"/>
      </w:tblGrid>
      <w:tr w14:paraId="0656109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B5847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23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08155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9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29AB0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65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5742B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2D07748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684DB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95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E728B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F5501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4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39411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23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5ACC0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其他信息化设备</w:t>
            </w:r>
          </w:p>
        </w:tc>
        <w:tc>
          <w:tcPr>
            <w:tcW w:w="9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25ECE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4740000</w:t>
            </w:r>
          </w:p>
        </w:tc>
        <w:tc>
          <w:tcPr>
            <w:tcW w:w="65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A3C76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61DFD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95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F551C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4,740,000.00</w:t>
            </w:r>
          </w:p>
        </w:tc>
      </w:tr>
    </w:tbl>
    <w:p w14:paraId="551D1F0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A5809A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合同履行期限：详见招标文件</w:t>
      </w:r>
    </w:p>
    <w:p w14:paraId="460A0FA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1"/>
          <w:rFonts w:hint="eastAsia" w:ascii="宋体" w:hAnsi="宋体" w:eastAsia="宋体" w:cs="宋体"/>
          <w:b/>
          <w:bCs/>
          <w:i w:val="0"/>
          <w:iCs w:val="0"/>
          <w:caps w:val="0"/>
          <w:color w:val="auto"/>
          <w:spacing w:val="0"/>
          <w:sz w:val="24"/>
          <w:szCs w:val="24"/>
          <w:shd w:val="clear" w:fill="FFFFFF"/>
        </w:rPr>
        <w:t>二、申请人的资格要求：</w:t>
      </w:r>
    </w:p>
    <w:p w14:paraId="47FFA65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6F65BEA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32383F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合同包1(延安市公安局侦查中心建设)落实政府采购政策需满足的资格要求如下:</w:t>
      </w:r>
    </w:p>
    <w:p w14:paraId="2FC53EA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（1）政府采购促进中小企业发展管理办法的通知--财库[2020]46号；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（5）财政部、国家发改委、生态环境部、市场监管总局联合印发《关于调整优化节能产品、环境标志产品政府采购执行机制的通知》（财库〔2019〕9号）。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（8）《国务院办公厅关于在政府采购中实施本国产品标准及相关政策的通知》（国办发〔2025〕34号）。</w:t>
      </w:r>
    </w:p>
    <w:p w14:paraId="03079A8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081C284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合同包1(延安市公安局侦查中心建设)特定资格要求如下:</w:t>
      </w:r>
    </w:p>
    <w:p w14:paraId="76384D4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（3）财务状况报告：提供2025年度的财务审计报告(成立时间至提交投标文件截止时间不足一年的可提供成立后任意时段的资产负债表),或其基本存款账户开户银行出具的资信证明及基本存款账户开户信息；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（4）社会保障资金缴纳证明：提供2025年05月份至2026年05月份任意一个月份的社会保障资金缴存证明或社保机构开具的社会保险参保缴费情况证明；依法不需要缴纳社会保障资金的应提供相关文件证明；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（5）税收缴纳证明：提供已缴纳的2025年05月份至2026年05月份任意一个月份的缴税凭证；依法免税的投标人应提供相关文件证明；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信用记录：提供《投标人信用记录书面声明函》（按格式填写），经查，投标人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（7）本项目不接受联合体投标，投标单位须提供非联合体投标声明函（按格式填写）。</w:t>
      </w:r>
    </w:p>
    <w:p w14:paraId="1C7F513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1"/>
          <w:rFonts w:hint="eastAsia" w:ascii="宋体" w:hAnsi="宋体" w:eastAsia="宋体" w:cs="宋体"/>
          <w:b/>
          <w:bCs/>
          <w:i w:val="0"/>
          <w:iCs w:val="0"/>
          <w:caps w:val="0"/>
          <w:color w:val="auto"/>
          <w:spacing w:val="0"/>
          <w:sz w:val="24"/>
          <w:szCs w:val="24"/>
          <w:shd w:val="clear" w:fill="FFFFFF"/>
        </w:rPr>
        <w:t>三、获取招标文件</w:t>
      </w:r>
    </w:p>
    <w:p w14:paraId="3417C7D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时间：2026年06月10日至2026年06月16日，每天上午08:00:00至12:00:00，下午14:00:00至18:00:00（北京时间）</w:t>
      </w:r>
    </w:p>
    <w:p w14:paraId="7C9B16A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途径：全国公共资源交易平台（陕西省·延安市）</w:t>
      </w:r>
    </w:p>
    <w:p w14:paraId="54A8AA1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0EB87CC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7FC0623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1"/>
          <w:rFonts w:hint="eastAsia" w:ascii="宋体" w:hAnsi="宋体" w:eastAsia="宋体" w:cs="宋体"/>
          <w:b/>
          <w:bCs/>
          <w:i w:val="0"/>
          <w:iCs w:val="0"/>
          <w:caps w:val="0"/>
          <w:color w:val="auto"/>
          <w:spacing w:val="0"/>
          <w:sz w:val="24"/>
          <w:szCs w:val="24"/>
          <w:shd w:val="clear" w:fill="FFFFFF"/>
        </w:rPr>
        <w:t>四、提交投标文件截止时间、开标时间和地点</w:t>
      </w:r>
    </w:p>
    <w:p w14:paraId="6184F73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时间：2026年07月02日 10时00分00秒（北京时间）</w:t>
      </w:r>
    </w:p>
    <w:p w14:paraId="08BB6BE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提交投标文件地点：延安市公共资源交易中心一厅</w:t>
      </w:r>
    </w:p>
    <w:p w14:paraId="43036A2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开标地点：延安市公共资源交易中心一厅</w:t>
      </w:r>
    </w:p>
    <w:p w14:paraId="53EEBEE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1"/>
          <w:rFonts w:hint="eastAsia" w:ascii="宋体" w:hAnsi="宋体" w:eastAsia="宋体" w:cs="宋体"/>
          <w:b/>
          <w:bCs/>
          <w:i w:val="0"/>
          <w:iCs w:val="0"/>
          <w:caps w:val="0"/>
          <w:color w:val="auto"/>
          <w:spacing w:val="0"/>
          <w:sz w:val="24"/>
          <w:szCs w:val="24"/>
          <w:shd w:val="clear" w:fill="FFFFFF"/>
        </w:rPr>
        <w:t>五、公告期限</w:t>
      </w:r>
    </w:p>
    <w:p w14:paraId="1E40744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3734AED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1"/>
          <w:rFonts w:hint="eastAsia" w:ascii="宋体" w:hAnsi="宋体" w:eastAsia="宋体" w:cs="宋体"/>
          <w:b/>
          <w:bCs/>
          <w:i w:val="0"/>
          <w:iCs w:val="0"/>
          <w:caps w:val="0"/>
          <w:color w:val="auto"/>
          <w:spacing w:val="0"/>
          <w:sz w:val="24"/>
          <w:szCs w:val="24"/>
          <w:shd w:val="clear" w:fill="FFFFFF"/>
        </w:rPr>
        <w:t>六、其他补充事宜</w:t>
      </w:r>
    </w:p>
    <w:p w14:paraId="349D8E9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（1）报名登记：投标人使用捆绑CA证书登录全国公共资源交易平台（陕西省·延安市），选择电子交易平台中的陕西政府采购交易系统进行登录，登录后选择“交易乙方”身份进入投标人界面进行报名。</w:t>
      </w:r>
      <w:bookmarkStart w:id="18" w:name="_GoBack"/>
      <w:bookmarkEnd w:id="18"/>
    </w:p>
    <w:p w14:paraId="09067C7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（2）下载文件：投标人登录全国公共资源交易平台（陕西省·延安市） ，选择“交易乙方”身份进入投标人界面下载采购文件。</w:t>
      </w:r>
    </w:p>
    <w:p w14:paraId="10129DB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（3）请投标人按照陕西省财政厅关于政府采购供应商注册登记有关事项的通知中的要求，通过陕西省政府采购网注册登记加入陕西省政府采购供应商库。</w:t>
      </w:r>
    </w:p>
    <w:p w14:paraId="1DE07F8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（4）本项目不专门面向中小企业。</w:t>
      </w:r>
    </w:p>
    <w:p w14:paraId="3FAB8C7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（5）本项目名称：延安市公安局侦查中心建设。</w:t>
      </w:r>
    </w:p>
    <w:p w14:paraId="431D101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1"/>
          <w:rFonts w:hint="eastAsia" w:ascii="宋体" w:hAnsi="宋体" w:eastAsia="宋体" w:cs="宋体"/>
          <w:b/>
          <w:bCs/>
          <w:i w:val="0"/>
          <w:iCs w:val="0"/>
          <w:caps w:val="0"/>
          <w:color w:val="auto"/>
          <w:spacing w:val="0"/>
          <w:sz w:val="24"/>
          <w:szCs w:val="24"/>
          <w:shd w:val="clear" w:fill="FFFFFF"/>
        </w:rPr>
        <w:t>七、对本次招标提出询问，请按以下方式联系。</w:t>
      </w:r>
    </w:p>
    <w:p w14:paraId="7DE9FF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0168614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名称：延安市公安局</w:t>
      </w:r>
    </w:p>
    <w:p w14:paraId="2102E3C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地址：陕西省延安市新区人民路</w:t>
      </w:r>
    </w:p>
    <w:p w14:paraId="1563EEA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联系方式：13809115635</w:t>
      </w:r>
    </w:p>
    <w:p w14:paraId="47AD81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3E430F4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名称：铭森信达（陕西）项目管理有限公司</w:t>
      </w:r>
    </w:p>
    <w:p w14:paraId="7D2D8CD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地址：西安市高新区唐延路1号旺座国际城1幢2单元22902—B080</w:t>
      </w:r>
    </w:p>
    <w:p w14:paraId="7E15243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联系方式：18709117884</w:t>
      </w:r>
    </w:p>
    <w:p w14:paraId="7CDC8E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7E2B615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项目联系人：曹工</w:t>
      </w:r>
    </w:p>
    <w:p w14:paraId="6601323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电话：18709117884</w:t>
      </w:r>
    </w:p>
    <w:p w14:paraId="27413D05">
      <w:pPr>
        <w:pStyle w:val="14"/>
        <w:widowControl/>
        <w:wordWrap w:val="0"/>
        <w:spacing w:before="0" w:beforeAutospacing="0" w:after="0" w:afterAutospacing="0" w:line="360" w:lineRule="auto"/>
        <w:ind w:firstLine="480"/>
        <w:jc w:val="both"/>
        <w:rPr>
          <w:rFonts w:hint="eastAsia" w:ascii="宋体" w:hAnsi="宋体" w:cs="宋体"/>
          <w:szCs w:val="24"/>
        </w:rPr>
      </w:pPr>
    </w:p>
    <w:p w14:paraId="0B6872F1">
      <w:pPr>
        <w:pStyle w:val="14"/>
        <w:widowControl/>
        <w:wordWrap w:val="0"/>
        <w:spacing w:before="0" w:beforeAutospacing="0" w:after="0" w:afterAutospacing="0" w:line="360" w:lineRule="auto"/>
        <w:ind w:firstLine="480"/>
        <w:jc w:val="both"/>
        <w:rPr>
          <w:rFonts w:hint="eastAsia" w:ascii="宋体" w:hAnsi="宋体" w:cs="宋体"/>
          <w:szCs w:val="24"/>
        </w:rPr>
      </w:pPr>
      <w:r>
        <w:rPr>
          <w:rFonts w:hint="eastAsia" w:ascii="宋体" w:hAnsi="宋体" w:cs="宋体"/>
          <w:szCs w:val="24"/>
          <w:shd w:val="clear" w:color="auto" w:fill="FFFFFF"/>
        </w:rPr>
        <w:t xml:space="preserve"> </w:t>
      </w:r>
    </w:p>
    <w:p w14:paraId="410E3C4D">
      <w:pPr>
        <w:pStyle w:val="14"/>
        <w:widowControl/>
        <w:wordWrap w:val="0"/>
        <w:spacing w:before="0" w:beforeAutospacing="0" w:after="0" w:afterAutospacing="0" w:line="360" w:lineRule="auto"/>
        <w:ind w:firstLine="480"/>
        <w:jc w:val="both"/>
        <w:rPr>
          <w:rFonts w:hint="eastAsia" w:ascii="宋体" w:hAnsi="宋体" w:cs="宋体"/>
          <w:szCs w:val="24"/>
        </w:rPr>
      </w:pPr>
    </w:p>
    <w:p w14:paraId="5A2C2B04">
      <w:pPr>
        <w:rPr>
          <w:rFonts w:hint="eastAsia" w:ascii="宋体" w:hAnsi="宋体" w:cs="宋体"/>
          <w:b/>
          <w:sz w:val="32"/>
          <w:szCs w:val="32"/>
        </w:rPr>
      </w:pPr>
      <w:r>
        <w:rPr>
          <w:rFonts w:hint="eastAsia" w:ascii="宋体" w:hAnsi="宋体" w:cs="宋体"/>
          <w:b/>
          <w:sz w:val="32"/>
          <w:szCs w:val="32"/>
        </w:rPr>
        <w:br w:type="page"/>
      </w:r>
    </w:p>
    <w:p w14:paraId="6B7B1882">
      <w:pPr>
        <w:spacing w:line="480" w:lineRule="auto"/>
        <w:jc w:val="center"/>
        <w:rPr>
          <w:rFonts w:hint="eastAsia" w:ascii="宋体" w:hAnsi="宋体" w:cs="宋体"/>
          <w:b/>
          <w:sz w:val="32"/>
          <w:szCs w:val="32"/>
        </w:rPr>
      </w:pPr>
      <w:r>
        <w:rPr>
          <w:rFonts w:hint="eastAsia" w:ascii="宋体" w:hAnsi="宋体" w:cs="宋体"/>
          <w:b/>
          <w:sz w:val="32"/>
          <w:szCs w:val="32"/>
        </w:rPr>
        <w:t>第二部分 投标人须知</w:t>
      </w:r>
    </w:p>
    <w:p w14:paraId="6C682E2E">
      <w:pPr>
        <w:spacing w:line="480" w:lineRule="auto"/>
        <w:jc w:val="center"/>
        <w:rPr>
          <w:rFonts w:hint="eastAsia" w:ascii="宋体" w:hAnsi="宋体" w:cs="宋体"/>
          <w:b/>
          <w:sz w:val="32"/>
          <w:szCs w:val="32"/>
        </w:rPr>
      </w:pPr>
      <w:r>
        <w:rPr>
          <w:rFonts w:hint="eastAsia" w:ascii="宋体" w:hAnsi="宋体" w:cs="宋体"/>
          <w:b/>
          <w:sz w:val="30"/>
          <w:szCs w:val="30"/>
        </w:rPr>
        <w:t>一、名词解释</w:t>
      </w:r>
    </w:p>
    <w:p w14:paraId="73C09DC2">
      <w:pPr>
        <w:numPr>
          <w:ilvl w:val="0"/>
          <w:numId w:val="1"/>
        </w:numPr>
        <w:tabs>
          <w:tab w:val="left" w:pos="600"/>
          <w:tab w:val="left" w:pos="1140"/>
        </w:tabs>
        <w:spacing w:line="440" w:lineRule="exact"/>
        <w:ind w:left="239" w:leftChars="114" w:firstLine="0"/>
        <w:rPr>
          <w:rFonts w:hint="eastAsia" w:ascii="宋体" w:hAnsi="宋体" w:cs="宋体"/>
          <w:bCs/>
          <w:sz w:val="24"/>
        </w:rPr>
      </w:pPr>
      <w:r>
        <w:rPr>
          <w:rFonts w:hint="eastAsia" w:ascii="宋体" w:hAnsi="宋体" w:cs="宋体"/>
          <w:b/>
          <w:bCs/>
          <w:sz w:val="24"/>
        </w:rPr>
        <w:t>采购人：</w:t>
      </w:r>
      <w:r>
        <w:rPr>
          <w:rFonts w:hint="eastAsia" w:ascii="宋体" w:hAnsi="宋体" w:cs="宋体"/>
          <w:sz w:val="24"/>
        </w:rPr>
        <w:t>延安市公安局</w:t>
      </w:r>
    </w:p>
    <w:p w14:paraId="3F710FD7">
      <w:pPr>
        <w:numPr>
          <w:ilvl w:val="0"/>
          <w:numId w:val="1"/>
        </w:numPr>
        <w:tabs>
          <w:tab w:val="left" w:pos="600"/>
          <w:tab w:val="left" w:pos="1140"/>
        </w:tabs>
        <w:spacing w:line="440" w:lineRule="exact"/>
        <w:ind w:left="239" w:leftChars="114" w:firstLine="0"/>
        <w:rPr>
          <w:rFonts w:hint="eastAsia" w:ascii="宋体" w:hAnsi="宋体" w:cs="宋体"/>
          <w:bCs/>
          <w:sz w:val="24"/>
        </w:rPr>
      </w:pPr>
      <w:r>
        <w:rPr>
          <w:rFonts w:hint="eastAsia" w:ascii="宋体" w:hAnsi="宋体" w:cs="宋体"/>
          <w:b/>
          <w:bCs/>
          <w:sz w:val="24"/>
        </w:rPr>
        <w:t>采购代理机构</w:t>
      </w:r>
      <w:r>
        <w:rPr>
          <w:rFonts w:hint="eastAsia" w:ascii="宋体" w:hAnsi="宋体" w:cs="宋体"/>
          <w:bCs/>
          <w:sz w:val="24"/>
        </w:rPr>
        <w:t xml:space="preserve">：铭森信达（陕西）项目管理有限公司 </w:t>
      </w:r>
    </w:p>
    <w:p w14:paraId="6F798863">
      <w:pPr>
        <w:numPr>
          <w:ilvl w:val="0"/>
          <w:numId w:val="1"/>
        </w:numPr>
        <w:tabs>
          <w:tab w:val="left" w:pos="600"/>
          <w:tab w:val="left" w:pos="1140"/>
        </w:tabs>
        <w:spacing w:line="440" w:lineRule="exact"/>
        <w:ind w:left="239" w:leftChars="114" w:firstLine="0"/>
        <w:rPr>
          <w:rFonts w:hint="eastAsia" w:ascii="宋体" w:hAnsi="宋体" w:cs="宋体"/>
          <w:bCs/>
          <w:sz w:val="24"/>
        </w:rPr>
      </w:pPr>
      <w:r>
        <w:rPr>
          <w:rFonts w:hint="eastAsia" w:ascii="宋体" w:hAnsi="宋体" w:cs="宋体"/>
          <w:b/>
          <w:bCs/>
          <w:sz w:val="24"/>
        </w:rPr>
        <w:t>投标人</w:t>
      </w:r>
      <w:r>
        <w:rPr>
          <w:rFonts w:hint="eastAsia" w:ascii="宋体" w:hAnsi="宋体" w:cs="宋体"/>
          <w:bCs/>
          <w:sz w:val="24"/>
        </w:rPr>
        <w:t>：满足本次招标要求、具有相应资质和完成项目能力的投标供应商</w:t>
      </w:r>
    </w:p>
    <w:p w14:paraId="247243A4">
      <w:pPr>
        <w:numPr>
          <w:ilvl w:val="0"/>
          <w:numId w:val="1"/>
        </w:numPr>
        <w:tabs>
          <w:tab w:val="left" w:pos="600"/>
          <w:tab w:val="left" w:pos="1140"/>
        </w:tabs>
        <w:spacing w:line="440" w:lineRule="exact"/>
        <w:ind w:left="239" w:leftChars="114" w:firstLine="0"/>
        <w:rPr>
          <w:rFonts w:hint="eastAsia" w:ascii="宋体" w:hAnsi="宋体" w:cs="宋体"/>
          <w:bCs/>
          <w:sz w:val="24"/>
        </w:rPr>
      </w:pPr>
      <w:r>
        <w:rPr>
          <w:rFonts w:hint="eastAsia" w:ascii="宋体" w:hAnsi="宋体" w:cs="宋体"/>
          <w:b/>
          <w:bCs/>
          <w:sz w:val="24"/>
        </w:rPr>
        <w:t>标书</w:t>
      </w:r>
      <w:r>
        <w:rPr>
          <w:rFonts w:hint="eastAsia" w:ascii="宋体" w:hAnsi="宋体" w:cs="宋体"/>
          <w:bCs/>
          <w:sz w:val="24"/>
        </w:rPr>
        <w:t>：招标文件与投标文件的统称</w:t>
      </w:r>
    </w:p>
    <w:p w14:paraId="4E999FDA">
      <w:pPr>
        <w:numPr>
          <w:ilvl w:val="0"/>
          <w:numId w:val="1"/>
        </w:numPr>
        <w:tabs>
          <w:tab w:val="left" w:pos="600"/>
          <w:tab w:val="left" w:pos="1140"/>
        </w:tabs>
        <w:spacing w:line="440" w:lineRule="exact"/>
        <w:ind w:left="239" w:leftChars="114" w:firstLine="0"/>
        <w:rPr>
          <w:rFonts w:hint="eastAsia" w:ascii="宋体" w:hAnsi="宋体" w:cs="宋体"/>
          <w:bCs/>
          <w:sz w:val="24"/>
        </w:rPr>
      </w:pPr>
      <w:r>
        <w:rPr>
          <w:rFonts w:hint="eastAsia" w:ascii="宋体" w:hAnsi="宋体" w:cs="宋体"/>
          <w:b/>
          <w:bCs/>
          <w:sz w:val="24"/>
        </w:rPr>
        <w:t>中标人</w:t>
      </w:r>
      <w:r>
        <w:rPr>
          <w:rFonts w:hint="eastAsia" w:ascii="宋体" w:hAnsi="宋体" w:cs="宋体"/>
          <w:bCs/>
          <w:sz w:val="24"/>
        </w:rPr>
        <w:t>：评标委员会推荐的投标人</w:t>
      </w:r>
    </w:p>
    <w:p w14:paraId="76964DA7">
      <w:pPr>
        <w:numPr>
          <w:ilvl w:val="0"/>
          <w:numId w:val="1"/>
        </w:numPr>
        <w:tabs>
          <w:tab w:val="left" w:pos="600"/>
          <w:tab w:val="left" w:pos="1140"/>
        </w:tabs>
        <w:spacing w:line="440" w:lineRule="exact"/>
        <w:ind w:left="239" w:leftChars="114" w:firstLine="0"/>
        <w:rPr>
          <w:rFonts w:hint="eastAsia" w:ascii="宋体" w:hAnsi="宋体" w:cs="宋体"/>
          <w:bCs/>
          <w:sz w:val="24"/>
        </w:rPr>
      </w:pPr>
      <w:r>
        <w:rPr>
          <w:rFonts w:hint="eastAsia" w:ascii="宋体" w:hAnsi="宋体" w:cs="宋体"/>
          <w:bCs/>
          <w:sz w:val="24"/>
        </w:rPr>
        <w:t>标有“</w:t>
      </w:r>
      <w:r>
        <w:rPr>
          <w:rFonts w:hint="eastAsia" w:ascii="宋体" w:hAnsi="宋体" w:cs="宋体"/>
          <w:szCs w:val="21"/>
        </w:rPr>
        <w:t>★</w:t>
      </w:r>
      <w:r>
        <w:rPr>
          <w:rFonts w:hint="eastAsia" w:ascii="宋体" w:hAnsi="宋体" w:cs="宋体"/>
          <w:bCs/>
          <w:sz w:val="24"/>
        </w:rPr>
        <w:t>”记号的条款系指重要性要求条款</w:t>
      </w:r>
    </w:p>
    <w:p w14:paraId="7F2DE93D">
      <w:pPr>
        <w:pStyle w:val="24"/>
        <w:rPr>
          <w:rFonts w:hint="eastAsia" w:ascii="宋体" w:hAnsi="宋体" w:cs="宋体"/>
        </w:rPr>
      </w:pPr>
    </w:p>
    <w:p w14:paraId="1F59C6D1">
      <w:pPr>
        <w:spacing w:line="480" w:lineRule="auto"/>
        <w:jc w:val="center"/>
        <w:rPr>
          <w:rFonts w:hint="eastAsia" w:ascii="宋体" w:hAnsi="宋体" w:cs="宋体"/>
          <w:b/>
          <w:sz w:val="30"/>
          <w:szCs w:val="30"/>
        </w:rPr>
      </w:pPr>
      <w:r>
        <w:rPr>
          <w:rFonts w:hint="eastAsia" w:ascii="宋体" w:hAnsi="宋体" w:cs="宋体"/>
          <w:b/>
          <w:sz w:val="30"/>
          <w:szCs w:val="30"/>
        </w:rPr>
        <w:t>二、投标人</w:t>
      </w:r>
    </w:p>
    <w:p w14:paraId="522D0AEE">
      <w:pPr>
        <w:spacing w:line="440" w:lineRule="exact"/>
        <w:ind w:left="-122" w:leftChars="-58" w:firstLine="482" w:firstLineChars="200"/>
        <w:rPr>
          <w:rFonts w:hint="eastAsia" w:ascii="宋体" w:hAnsi="宋体" w:cs="宋体"/>
          <w:b/>
          <w:sz w:val="24"/>
        </w:rPr>
      </w:pPr>
      <w:r>
        <w:rPr>
          <w:rFonts w:hint="eastAsia" w:ascii="宋体" w:hAnsi="宋体" w:cs="宋体"/>
          <w:b/>
          <w:sz w:val="24"/>
        </w:rPr>
        <w:t>1.供应商参加政府采购应当具备下列条件：</w:t>
      </w:r>
    </w:p>
    <w:p w14:paraId="25091F7C">
      <w:pPr>
        <w:spacing w:line="440" w:lineRule="exact"/>
        <w:ind w:left="-122" w:leftChars="-58" w:firstLine="480" w:firstLineChars="200"/>
        <w:rPr>
          <w:rFonts w:hint="eastAsia" w:ascii="宋体" w:hAnsi="宋体" w:cs="宋体"/>
          <w:sz w:val="24"/>
        </w:rPr>
      </w:pPr>
      <w:r>
        <w:rPr>
          <w:rFonts w:hint="eastAsia" w:ascii="宋体" w:hAnsi="宋体" w:cs="宋体"/>
          <w:sz w:val="24"/>
        </w:rPr>
        <w:t>（1）具有独立承担民事责任的能力；</w:t>
      </w:r>
    </w:p>
    <w:p w14:paraId="6A099569">
      <w:pPr>
        <w:spacing w:line="440" w:lineRule="exact"/>
        <w:ind w:left="-122" w:leftChars="-58" w:firstLine="480" w:firstLineChars="200"/>
        <w:rPr>
          <w:rFonts w:hint="eastAsia" w:ascii="宋体" w:hAnsi="宋体" w:cs="宋体"/>
          <w:sz w:val="24"/>
        </w:rPr>
      </w:pPr>
      <w:r>
        <w:rPr>
          <w:rFonts w:hint="eastAsia" w:ascii="宋体" w:hAnsi="宋体" w:cs="宋体"/>
          <w:sz w:val="24"/>
        </w:rPr>
        <w:t>（2）具有良好的商业信誉和健全的财务会计制度；</w:t>
      </w:r>
    </w:p>
    <w:p w14:paraId="0CB5D449">
      <w:pPr>
        <w:spacing w:line="440" w:lineRule="exact"/>
        <w:ind w:left="-122" w:leftChars="-58" w:firstLine="480" w:firstLineChars="200"/>
        <w:rPr>
          <w:rFonts w:hint="eastAsia" w:ascii="宋体" w:hAnsi="宋体" w:cs="宋体"/>
          <w:sz w:val="24"/>
        </w:rPr>
      </w:pPr>
      <w:r>
        <w:rPr>
          <w:rFonts w:hint="eastAsia" w:ascii="宋体" w:hAnsi="宋体" w:cs="宋体"/>
          <w:sz w:val="24"/>
        </w:rPr>
        <w:t>（3）具有履行合同所必需的设备和专业技术能力；</w:t>
      </w:r>
    </w:p>
    <w:p w14:paraId="369DA0A7">
      <w:pPr>
        <w:spacing w:line="440" w:lineRule="exact"/>
        <w:ind w:left="-122" w:leftChars="-58" w:firstLine="480" w:firstLineChars="200"/>
        <w:rPr>
          <w:rFonts w:hint="eastAsia" w:ascii="宋体" w:hAnsi="宋体" w:cs="宋体"/>
          <w:sz w:val="24"/>
        </w:rPr>
      </w:pPr>
      <w:r>
        <w:rPr>
          <w:rFonts w:hint="eastAsia" w:ascii="宋体" w:hAnsi="宋体" w:cs="宋体"/>
          <w:sz w:val="24"/>
        </w:rPr>
        <w:t>（4）有依法缴纳税收和社会保障资金的良好记录；</w:t>
      </w:r>
    </w:p>
    <w:p w14:paraId="5828FFFB">
      <w:pPr>
        <w:spacing w:line="440" w:lineRule="exact"/>
        <w:ind w:left="-122" w:leftChars="-58" w:firstLine="480" w:firstLineChars="200"/>
        <w:rPr>
          <w:rFonts w:hint="eastAsia" w:ascii="宋体" w:hAnsi="宋体" w:cs="宋体"/>
          <w:sz w:val="24"/>
        </w:rPr>
      </w:pPr>
      <w:r>
        <w:rPr>
          <w:rFonts w:hint="eastAsia" w:ascii="宋体" w:hAnsi="宋体" w:cs="宋体"/>
          <w:sz w:val="24"/>
        </w:rPr>
        <w:t>（5）参加政府采购活动前三年内，在经营活动中没有重大违法记录；</w:t>
      </w:r>
    </w:p>
    <w:p w14:paraId="37F12DCE">
      <w:pPr>
        <w:spacing w:line="440" w:lineRule="exact"/>
        <w:ind w:left="-122" w:leftChars="-58" w:firstLine="480" w:firstLineChars="200"/>
        <w:rPr>
          <w:rFonts w:hint="eastAsia" w:ascii="宋体" w:hAnsi="宋体" w:cs="宋体"/>
          <w:sz w:val="24"/>
        </w:rPr>
      </w:pPr>
      <w:r>
        <w:rPr>
          <w:rFonts w:hint="eastAsia" w:ascii="宋体" w:hAnsi="宋体" w:cs="宋体"/>
          <w:sz w:val="24"/>
        </w:rPr>
        <w:t>（6）法律、行政法规规定的其他条件。</w:t>
      </w:r>
    </w:p>
    <w:p w14:paraId="3A7707B6">
      <w:pPr>
        <w:spacing w:line="440" w:lineRule="exact"/>
        <w:ind w:left="-122" w:leftChars="-58" w:firstLine="480" w:firstLineChars="200"/>
        <w:rPr>
          <w:rFonts w:hint="eastAsia" w:ascii="宋体" w:hAnsi="宋体" w:cs="宋体"/>
          <w:sz w:val="24"/>
        </w:rPr>
      </w:pPr>
      <w:r>
        <w:rPr>
          <w:rFonts w:hint="eastAsia" w:ascii="宋体" w:hAnsi="宋体" w:cs="宋体"/>
          <w:sz w:val="24"/>
        </w:rPr>
        <w:t>（7）完全同意并愿意自觉遵守本招标文件中的所有规定和要求；</w:t>
      </w:r>
    </w:p>
    <w:p w14:paraId="036F9CB9">
      <w:pPr>
        <w:spacing w:line="312" w:lineRule="auto"/>
        <w:ind w:firstLine="360" w:firstLineChars="150"/>
        <w:rPr>
          <w:rFonts w:hint="eastAsia" w:ascii="宋体" w:hAnsi="宋体" w:cs="宋体"/>
          <w:sz w:val="24"/>
        </w:rPr>
      </w:pPr>
      <w:r>
        <w:rPr>
          <w:rFonts w:hint="eastAsia" w:ascii="宋体" w:hAnsi="宋体" w:cs="宋体"/>
          <w:sz w:val="24"/>
        </w:rPr>
        <w:t>（8）单位负责人为同一人或者存在直接控股、管理关系的不同供应商，不得参加同一合同项下的政府采购活动。</w:t>
      </w:r>
    </w:p>
    <w:p w14:paraId="6BDC233F">
      <w:pPr>
        <w:spacing w:line="312" w:lineRule="auto"/>
        <w:ind w:firstLine="360" w:firstLineChars="150"/>
        <w:rPr>
          <w:rFonts w:hint="eastAsia" w:ascii="宋体" w:hAnsi="宋体" w:cs="宋体"/>
          <w:sz w:val="24"/>
        </w:rPr>
      </w:pPr>
      <w:r>
        <w:rPr>
          <w:rFonts w:hint="eastAsia" w:ascii="宋体" w:hAnsi="宋体" w:cs="宋体"/>
          <w:sz w:val="24"/>
        </w:rPr>
        <w:t>除单一来源采购项目外，为采购项目提供整体设计、规范编制或者项目管理、监理、检测等服务的供应商，不得再参加该采购项目的招标活动。</w:t>
      </w:r>
    </w:p>
    <w:p w14:paraId="77411102">
      <w:pPr>
        <w:spacing w:line="440" w:lineRule="exact"/>
        <w:ind w:left="-122" w:leftChars="-58" w:firstLine="482" w:firstLineChars="200"/>
        <w:rPr>
          <w:rFonts w:hint="eastAsia" w:ascii="宋体" w:hAnsi="宋体" w:cs="宋体"/>
          <w:b/>
          <w:sz w:val="24"/>
        </w:rPr>
      </w:pPr>
      <w:r>
        <w:rPr>
          <w:rFonts w:hint="eastAsia" w:ascii="宋体" w:hAnsi="宋体" w:cs="宋体"/>
          <w:b/>
          <w:sz w:val="24"/>
        </w:rPr>
        <w:t>2.投标委托</w:t>
      </w:r>
    </w:p>
    <w:p w14:paraId="163673F0">
      <w:pPr>
        <w:spacing w:line="440" w:lineRule="exact"/>
        <w:ind w:left="-122" w:leftChars="-58" w:firstLine="480" w:firstLineChars="200"/>
        <w:rPr>
          <w:rFonts w:hint="eastAsia" w:ascii="宋体" w:hAnsi="宋体" w:cs="宋体"/>
          <w:sz w:val="24"/>
        </w:rPr>
      </w:pPr>
      <w:r>
        <w:rPr>
          <w:rFonts w:hint="eastAsia" w:ascii="宋体" w:hAnsi="宋体" w:cs="宋体"/>
          <w:sz w:val="24"/>
        </w:rPr>
        <w:t>如投标人代表不是法定代表人，须持有《法定代表人授权书》（原件）。</w:t>
      </w:r>
    </w:p>
    <w:p w14:paraId="420A7B8E">
      <w:pPr>
        <w:spacing w:line="440" w:lineRule="exact"/>
        <w:ind w:left="-122" w:leftChars="-58" w:firstLine="482" w:firstLineChars="200"/>
        <w:rPr>
          <w:rFonts w:hint="eastAsia" w:ascii="宋体" w:hAnsi="宋体" w:cs="宋体"/>
          <w:b/>
          <w:sz w:val="24"/>
        </w:rPr>
      </w:pPr>
      <w:r>
        <w:rPr>
          <w:rFonts w:hint="eastAsia" w:ascii="宋体" w:hAnsi="宋体" w:cs="宋体"/>
          <w:b/>
          <w:sz w:val="24"/>
        </w:rPr>
        <w:t>3.投标费用</w:t>
      </w:r>
    </w:p>
    <w:p w14:paraId="2732C75C">
      <w:pPr>
        <w:spacing w:line="440" w:lineRule="exact"/>
        <w:ind w:left="-122" w:leftChars="-58" w:firstLine="480" w:firstLineChars="200"/>
        <w:rPr>
          <w:rFonts w:hint="eastAsia" w:ascii="宋体" w:hAnsi="宋体" w:cs="宋体"/>
          <w:sz w:val="24"/>
        </w:rPr>
      </w:pPr>
      <w:r>
        <w:rPr>
          <w:rFonts w:hint="eastAsia" w:ascii="宋体" w:hAnsi="宋体" w:cs="宋体"/>
          <w:sz w:val="24"/>
        </w:rPr>
        <w:t>投标人自行承担参加投标相关的全部费用，无论投标的结果如何。</w:t>
      </w:r>
    </w:p>
    <w:p w14:paraId="6216E6EB">
      <w:pPr>
        <w:tabs>
          <w:tab w:val="center" w:pos="4725"/>
          <w:tab w:val="left" w:pos="6799"/>
        </w:tabs>
        <w:spacing w:line="480" w:lineRule="auto"/>
        <w:ind w:firstLine="281" w:firstLineChars="100"/>
        <w:jc w:val="center"/>
        <w:rPr>
          <w:rFonts w:hint="eastAsia" w:ascii="宋体" w:hAnsi="宋体" w:cs="宋体"/>
          <w:b/>
          <w:sz w:val="30"/>
          <w:szCs w:val="30"/>
        </w:rPr>
      </w:pPr>
      <w:r>
        <w:rPr>
          <w:rFonts w:hint="eastAsia" w:ascii="宋体" w:hAnsi="宋体" w:cs="宋体"/>
          <w:b/>
          <w:sz w:val="28"/>
          <w:szCs w:val="28"/>
        </w:rPr>
        <w:t>三、招标文件</w:t>
      </w:r>
    </w:p>
    <w:p w14:paraId="23A59EB0">
      <w:pPr>
        <w:spacing w:line="440" w:lineRule="exact"/>
        <w:ind w:left="-122" w:leftChars="-58" w:firstLine="482" w:firstLineChars="200"/>
        <w:rPr>
          <w:rFonts w:hint="eastAsia" w:ascii="宋体" w:hAnsi="宋体" w:cs="宋体"/>
          <w:b/>
          <w:sz w:val="24"/>
        </w:rPr>
      </w:pPr>
      <w:r>
        <w:rPr>
          <w:rFonts w:hint="eastAsia" w:ascii="宋体" w:hAnsi="宋体" w:cs="宋体"/>
          <w:b/>
          <w:sz w:val="24"/>
        </w:rPr>
        <w:t>1.招标文件</w:t>
      </w:r>
    </w:p>
    <w:p w14:paraId="23C58D32">
      <w:pPr>
        <w:spacing w:line="360" w:lineRule="auto"/>
        <w:ind w:firstLine="360" w:firstLineChars="150"/>
        <w:rPr>
          <w:rFonts w:hint="eastAsia" w:ascii="宋体" w:hAnsi="宋体" w:cs="宋体"/>
          <w:sz w:val="24"/>
        </w:rPr>
      </w:pPr>
      <w:r>
        <w:rPr>
          <w:rFonts w:hint="eastAsia" w:ascii="宋体" w:hAnsi="宋体" w:cs="宋体"/>
          <w:sz w:val="24"/>
        </w:rPr>
        <w:t>（1）招标文件由招标文件总目录所列内容组成；投标人应详细阅读招标文件中所有的事项、格式、条款和规范要求,在投标文件中对招标文件的各方面都应做出实质性的响应，按照招标文件的要求提交全部资料。</w:t>
      </w:r>
    </w:p>
    <w:p w14:paraId="6CC68709">
      <w:pPr>
        <w:pStyle w:val="14"/>
        <w:spacing w:before="0" w:beforeAutospacing="0" w:after="0" w:afterAutospacing="0" w:line="360" w:lineRule="auto"/>
        <w:ind w:firstLine="360" w:firstLineChars="150"/>
        <w:rPr>
          <w:rFonts w:hint="eastAsia" w:ascii="宋体" w:hAnsi="宋体" w:cs="宋体"/>
          <w:kern w:val="2"/>
        </w:rPr>
      </w:pPr>
      <w:r>
        <w:rPr>
          <w:rFonts w:hint="eastAsia" w:ascii="宋体" w:hAnsi="宋体" w:cs="宋体"/>
          <w:kern w:val="2"/>
        </w:rPr>
        <w:t>（2）适用范围</w:t>
      </w:r>
    </w:p>
    <w:p w14:paraId="1737563D">
      <w:pPr>
        <w:pStyle w:val="14"/>
        <w:spacing w:before="0" w:beforeAutospacing="0" w:after="0" w:afterAutospacing="0" w:line="360" w:lineRule="auto"/>
        <w:ind w:firstLine="360" w:firstLineChars="150"/>
        <w:rPr>
          <w:rFonts w:hint="eastAsia" w:ascii="宋体" w:hAnsi="宋体" w:cs="宋体"/>
          <w:kern w:val="2"/>
        </w:rPr>
      </w:pPr>
      <w:r>
        <w:rPr>
          <w:rFonts w:hint="eastAsia" w:ascii="宋体" w:hAnsi="宋体" w:cs="宋体"/>
          <w:kern w:val="2"/>
        </w:rPr>
        <w:t xml:space="preserve">  本次招标依据采购人的采购计划，仅适用于本招标文件中所叙述的项目。</w:t>
      </w:r>
    </w:p>
    <w:p w14:paraId="40F42047">
      <w:pPr>
        <w:spacing w:line="360" w:lineRule="auto"/>
        <w:ind w:firstLine="360" w:firstLineChars="150"/>
        <w:rPr>
          <w:rFonts w:hint="eastAsia" w:ascii="宋体" w:hAnsi="宋体" w:cs="宋体"/>
        </w:rPr>
      </w:pPr>
      <w:r>
        <w:rPr>
          <w:rFonts w:hint="eastAsia" w:ascii="宋体" w:hAnsi="宋体" w:cs="宋体"/>
          <w:sz w:val="24"/>
        </w:rPr>
        <w:t>（3）招标文件的下载：招标公告发布后，投标人应从</w:t>
      </w:r>
      <w:r>
        <w:rPr>
          <w:rFonts w:hint="eastAsia" w:ascii="宋体" w:hAnsi="宋体" w:cs="宋体"/>
          <w:sz w:val="24"/>
          <w:shd w:val="clear" w:color="auto" w:fill="FFFFFF"/>
        </w:rPr>
        <w:t>全国公共资源交易平台（陕西省·延安市）</w:t>
      </w:r>
      <w:r>
        <w:rPr>
          <w:rFonts w:hint="eastAsia" w:ascii="宋体" w:hAnsi="宋体" w:cs="宋体"/>
          <w:sz w:val="24"/>
        </w:rPr>
        <w:t>下载招标文件，投标人自行转让或复制的招标文件视为无效招标文件。</w:t>
      </w:r>
    </w:p>
    <w:p w14:paraId="70870D85">
      <w:pPr>
        <w:ind w:firstLine="420"/>
        <w:rPr>
          <w:rFonts w:hint="eastAsia" w:ascii="宋体" w:hAnsi="宋体" w:cs="宋体"/>
          <w:b/>
          <w:sz w:val="24"/>
        </w:rPr>
      </w:pPr>
      <w:r>
        <w:rPr>
          <w:rFonts w:hint="eastAsia" w:ascii="宋体" w:hAnsi="宋体" w:cs="宋体"/>
          <w:b/>
          <w:sz w:val="24"/>
        </w:rPr>
        <w:t>2.招标文件的澄清及修改</w:t>
      </w:r>
    </w:p>
    <w:p w14:paraId="081E9D55">
      <w:pPr>
        <w:pStyle w:val="14"/>
        <w:spacing w:before="0" w:beforeAutospacing="0" w:after="0" w:afterAutospacing="0" w:line="360" w:lineRule="auto"/>
        <w:ind w:firstLine="480" w:firstLineChars="200"/>
        <w:rPr>
          <w:rFonts w:hint="eastAsia" w:ascii="宋体" w:hAnsi="宋体" w:cs="宋体"/>
          <w:bCs/>
          <w:kern w:val="2"/>
        </w:rPr>
      </w:pPr>
      <w:r>
        <w:rPr>
          <w:rFonts w:hint="eastAsia" w:ascii="宋体" w:hAnsi="宋体" w:cs="宋体"/>
          <w:bCs/>
          <w:kern w:val="2"/>
        </w:rPr>
        <w:t>采购代理机构可对已上传的招标文件进行必要的澄清或者修改，澄清或者修改的内容作为招标文件的组成部分。澄清和修改的内容可能影响投标文件编制的，采购代理机构应当在投标文件截止时间至少十五日前，在全国公共资源交易平台（陕西省·延安市）通知所有获取招标文件的潜在投标人</w:t>
      </w:r>
      <w:r>
        <w:rPr>
          <w:rFonts w:hint="eastAsia" w:ascii="宋体" w:hAnsi="宋体" w:cs="宋体"/>
          <w:bCs/>
          <w:kern w:val="2"/>
          <w:lang w:val="zh-CN"/>
        </w:rPr>
        <w:t>，并对投标人具有约束力。投标人</w:t>
      </w:r>
      <w:r>
        <w:rPr>
          <w:rFonts w:hint="eastAsia" w:ascii="宋体" w:hAnsi="宋体" w:cs="宋体"/>
          <w:bCs/>
          <w:kern w:val="2"/>
        </w:rPr>
        <w:t>应随时在交易系统中查看本项目澄清文件；不足十五日的，采购代理机构应当顺延提交投标文件的截止时间。</w:t>
      </w:r>
    </w:p>
    <w:p w14:paraId="19867CA7">
      <w:pPr>
        <w:pStyle w:val="14"/>
        <w:spacing w:before="0" w:beforeAutospacing="0" w:after="0" w:afterAutospacing="0" w:line="360" w:lineRule="auto"/>
        <w:ind w:firstLine="420"/>
        <w:rPr>
          <w:rFonts w:hint="eastAsia" w:ascii="宋体" w:hAnsi="宋体" w:cs="宋体"/>
        </w:rPr>
      </w:pPr>
      <w:r>
        <w:rPr>
          <w:rFonts w:hint="eastAsia" w:ascii="宋体" w:hAnsi="宋体" w:cs="宋体"/>
          <w:b/>
          <w:kern w:val="2"/>
        </w:rPr>
        <w:t>3.质疑提出与答复</w:t>
      </w:r>
    </w:p>
    <w:p w14:paraId="5768E40A">
      <w:pPr>
        <w:pStyle w:val="14"/>
        <w:spacing w:before="0" w:beforeAutospacing="0" w:after="0" w:afterAutospacing="0" w:line="360" w:lineRule="auto"/>
        <w:ind w:firstLine="360" w:firstLineChars="150"/>
        <w:rPr>
          <w:rFonts w:hint="eastAsia" w:ascii="宋体" w:hAnsi="宋体" w:cs="宋体"/>
          <w:kern w:val="2"/>
          <w:szCs w:val="24"/>
        </w:rPr>
      </w:pPr>
      <w:r>
        <w:rPr>
          <w:rFonts w:hint="eastAsia" w:ascii="宋体" w:hAnsi="宋体" w:cs="宋体"/>
          <w:szCs w:val="24"/>
        </w:rPr>
        <w:t>（1）投标人认为采购文件、采购过程、中标结果使自己的权益受到损害的，可以在知道或者应知其权益受到损害之日起七个工作日内，</w:t>
      </w:r>
      <w:r>
        <w:rPr>
          <w:rFonts w:hint="eastAsia" w:ascii="宋体" w:hAnsi="宋体" w:cs="宋体"/>
          <w:kern w:val="2"/>
          <w:szCs w:val="24"/>
        </w:rPr>
        <w:t xml:space="preserve">以书面形式向采购代理机构提出（质疑函接收联系人、联系电话和通讯地址等详见招标公告）。 </w:t>
      </w:r>
    </w:p>
    <w:p w14:paraId="6E013782">
      <w:pPr>
        <w:pStyle w:val="14"/>
        <w:spacing w:before="0" w:beforeAutospacing="0" w:after="0" w:afterAutospacing="0" w:line="360" w:lineRule="auto"/>
        <w:ind w:firstLine="360" w:firstLineChars="150"/>
        <w:rPr>
          <w:rFonts w:hint="eastAsia" w:ascii="宋体" w:hAnsi="宋体" w:cs="宋体"/>
          <w:kern w:val="2"/>
          <w:szCs w:val="24"/>
        </w:rPr>
      </w:pPr>
      <w:r>
        <w:rPr>
          <w:rFonts w:hint="eastAsia" w:ascii="宋体" w:hAnsi="宋体" w:cs="宋体"/>
          <w:szCs w:val="24"/>
        </w:rPr>
        <w:t>（2）投标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3FBB7B4D">
      <w:pPr>
        <w:snapToGrid w:val="0"/>
        <w:spacing w:line="360" w:lineRule="auto"/>
        <w:ind w:firstLine="600" w:firstLineChars="250"/>
        <w:rPr>
          <w:rFonts w:hint="eastAsia" w:ascii="宋体" w:hAnsi="宋体" w:cs="宋体"/>
          <w:sz w:val="24"/>
        </w:rPr>
      </w:pPr>
      <w:r>
        <w:rPr>
          <w:rFonts w:hint="eastAsia" w:ascii="宋体" w:hAnsi="宋体" w:cs="宋体"/>
          <w:sz w:val="24"/>
        </w:rPr>
        <w:t>质疑函应当包括下列内容：</w:t>
      </w:r>
    </w:p>
    <w:p w14:paraId="1676033B">
      <w:pPr>
        <w:pStyle w:val="25"/>
        <w:snapToGrid w:val="0"/>
        <w:spacing w:line="360" w:lineRule="auto"/>
        <w:ind w:firstLine="480"/>
        <w:rPr>
          <w:rFonts w:hint="eastAsia" w:ascii="宋体" w:hAnsi="宋体" w:cs="宋体"/>
          <w:szCs w:val="24"/>
        </w:rPr>
      </w:pPr>
      <w:r>
        <w:rPr>
          <w:rFonts w:hint="eastAsia" w:ascii="宋体" w:hAnsi="宋体" w:cs="宋体"/>
          <w:szCs w:val="24"/>
        </w:rPr>
        <w:t>①</w:t>
      </w:r>
      <w:r>
        <w:rPr>
          <w:rFonts w:hint="eastAsia" w:ascii="宋体" w:hAnsi="宋体" w:cs="宋体"/>
          <w:szCs w:val="24"/>
          <w:lang w:val="zh-CN"/>
        </w:rPr>
        <w:t>投标人</w:t>
      </w:r>
      <w:r>
        <w:rPr>
          <w:rFonts w:hint="eastAsia" w:ascii="宋体" w:hAnsi="宋体" w:cs="宋体"/>
          <w:szCs w:val="24"/>
        </w:rPr>
        <w:t>的姓名或者名称、地址、邮编、联系人及联系电话；</w:t>
      </w:r>
    </w:p>
    <w:p w14:paraId="4866A222">
      <w:pPr>
        <w:pStyle w:val="25"/>
        <w:snapToGrid w:val="0"/>
        <w:spacing w:line="360" w:lineRule="auto"/>
        <w:ind w:firstLine="480"/>
        <w:rPr>
          <w:rFonts w:hint="eastAsia" w:ascii="宋体" w:hAnsi="宋体" w:cs="宋体"/>
          <w:szCs w:val="24"/>
        </w:rPr>
      </w:pPr>
      <w:r>
        <w:rPr>
          <w:rFonts w:hint="eastAsia" w:ascii="宋体" w:hAnsi="宋体" w:cs="宋体"/>
          <w:szCs w:val="24"/>
        </w:rPr>
        <w:t>②质疑项目的名称、编号；</w:t>
      </w:r>
    </w:p>
    <w:p w14:paraId="2466D8EE">
      <w:pPr>
        <w:pStyle w:val="25"/>
        <w:snapToGrid w:val="0"/>
        <w:spacing w:line="360" w:lineRule="auto"/>
        <w:ind w:firstLine="480"/>
        <w:rPr>
          <w:rFonts w:hint="eastAsia" w:ascii="宋体" w:hAnsi="宋体" w:cs="宋体"/>
          <w:szCs w:val="24"/>
        </w:rPr>
      </w:pPr>
      <w:r>
        <w:rPr>
          <w:rFonts w:hint="eastAsia" w:ascii="宋体" w:hAnsi="宋体" w:cs="宋体"/>
          <w:szCs w:val="24"/>
        </w:rPr>
        <w:t>③具体、明确的质疑事项和与质疑事项相关的请求；</w:t>
      </w:r>
    </w:p>
    <w:p w14:paraId="189CEF7D">
      <w:pPr>
        <w:pStyle w:val="25"/>
        <w:snapToGrid w:val="0"/>
        <w:spacing w:line="360" w:lineRule="auto"/>
        <w:ind w:firstLine="480"/>
        <w:rPr>
          <w:rFonts w:hint="eastAsia" w:ascii="宋体" w:hAnsi="宋体" w:cs="宋体"/>
          <w:szCs w:val="24"/>
        </w:rPr>
      </w:pPr>
      <w:r>
        <w:rPr>
          <w:rFonts w:hint="eastAsia" w:ascii="宋体" w:hAnsi="宋体" w:cs="宋体"/>
          <w:szCs w:val="24"/>
        </w:rPr>
        <w:t>④事实依据；</w:t>
      </w:r>
    </w:p>
    <w:p w14:paraId="579C5DC2">
      <w:pPr>
        <w:pStyle w:val="25"/>
        <w:snapToGrid w:val="0"/>
        <w:spacing w:line="360" w:lineRule="auto"/>
        <w:ind w:firstLine="480"/>
        <w:rPr>
          <w:rFonts w:hint="eastAsia" w:ascii="宋体" w:hAnsi="宋体" w:cs="宋体"/>
          <w:szCs w:val="24"/>
        </w:rPr>
      </w:pPr>
      <w:r>
        <w:rPr>
          <w:rFonts w:hint="eastAsia" w:ascii="宋体" w:hAnsi="宋体" w:cs="宋体"/>
          <w:szCs w:val="24"/>
        </w:rPr>
        <w:t>⑤必要的法律依据；</w:t>
      </w:r>
    </w:p>
    <w:p w14:paraId="24C5C308">
      <w:pPr>
        <w:pStyle w:val="25"/>
        <w:snapToGrid w:val="0"/>
        <w:spacing w:line="360" w:lineRule="auto"/>
        <w:ind w:firstLine="480"/>
        <w:rPr>
          <w:rFonts w:hint="eastAsia" w:ascii="宋体" w:hAnsi="宋体" w:cs="宋体"/>
          <w:szCs w:val="24"/>
        </w:rPr>
      </w:pPr>
      <w:r>
        <w:rPr>
          <w:rFonts w:hint="eastAsia" w:ascii="宋体" w:hAnsi="宋体" w:cs="宋体"/>
          <w:szCs w:val="24"/>
        </w:rPr>
        <w:t xml:space="preserve">⑥提出质疑的日期。 </w:t>
      </w:r>
    </w:p>
    <w:p w14:paraId="51D7BE6E">
      <w:pPr>
        <w:pStyle w:val="25"/>
        <w:snapToGrid w:val="0"/>
        <w:spacing w:line="360" w:lineRule="auto"/>
        <w:ind w:firstLine="480"/>
        <w:rPr>
          <w:rFonts w:hint="eastAsia" w:ascii="宋体" w:hAnsi="宋体" w:cs="宋体"/>
          <w:szCs w:val="24"/>
        </w:rPr>
      </w:pPr>
      <w:r>
        <w:rPr>
          <w:rFonts w:hint="eastAsia" w:ascii="宋体" w:hAnsi="宋体" w:cs="宋体"/>
          <w:szCs w:val="24"/>
        </w:rPr>
        <w:t>备注：</w:t>
      </w:r>
      <w:r>
        <w:rPr>
          <w:rFonts w:hint="eastAsia" w:ascii="宋体" w:hAnsi="宋体" w:cs="宋体"/>
          <w:szCs w:val="24"/>
          <w:lang w:val="zh-CN"/>
        </w:rPr>
        <w:t>投标人</w:t>
      </w:r>
      <w:r>
        <w:rPr>
          <w:rFonts w:hint="eastAsia" w:ascii="宋体" w:hAnsi="宋体" w:cs="宋体"/>
          <w:szCs w:val="24"/>
        </w:rPr>
        <w:t>须在法定质疑期内一次性提出针对同一采购程序环节的质疑。</w:t>
      </w:r>
    </w:p>
    <w:p w14:paraId="5CB16876">
      <w:pPr>
        <w:snapToGrid w:val="0"/>
        <w:spacing w:line="360" w:lineRule="auto"/>
        <w:ind w:firstLine="360" w:firstLineChars="150"/>
        <w:rPr>
          <w:rFonts w:hint="eastAsia" w:ascii="宋体" w:hAnsi="宋体" w:cs="宋体"/>
          <w:sz w:val="24"/>
        </w:rPr>
      </w:pPr>
      <w:r>
        <w:rPr>
          <w:rFonts w:hint="eastAsia" w:ascii="宋体" w:hAnsi="宋体" w:cs="宋体"/>
          <w:sz w:val="24"/>
        </w:rPr>
        <w:t>（3）质疑有以下情形之一的，采购代理机构不予受理：</w:t>
      </w:r>
    </w:p>
    <w:p w14:paraId="1D01634A">
      <w:pPr>
        <w:pStyle w:val="25"/>
        <w:snapToGrid w:val="0"/>
        <w:spacing w:line="360" w:lineRule="auto"/>
        <w:ind w:firstLine="480"/>
        <w:rPr>
          <w:rFonts w:hint="eastAsia" w:ascii="宋体" w:hAnsi="宋体" w:cs="宋体"/>
          <w:szCs w:val="24"/>
        </w:rPr>
      </w:pPr>
      <w:r>
        <w:rPr>
          <w:rFonts w:hint="eastAsia" w:ascii="宋体" w:hAnsi="宋体" w:cs="宋体"/>
          <w:szCs w:val="24"/>
        </w:rPr>
        <w:t>①未按规定程序和渠道提出质疑的；</w:t>
      </w:r>
    </w:p>
    <w:p w14:paraId="594AE15A">
      <w:pPr>
        <w:pStyle w:val="25"/>
        <w:snapToGrid w:val="0"/>
        <w:spacing w:line="360" w:lineRule="auto"/>
        <w:ind w:firstLine="480"/>
        <w:rPr>
          <w:rFonts w:hint="eastAsia" w:ascii="宋体" w:hAnsi="宋体" w:cs="宋体"/>
          <w:szCs w:val="24"/>
        </w:rPr>
      </w:pPr>
      <w:r>
        <w:rPr>
          <w:rFonts w:hint="eastAsia" w:ascii="宋体" w:hAnsi="宋体" w:cs="宋体"/>
          <w:szCs w:val="24"/>
        </w:rPr>
        <w:t xml:space="preserve">②超过法定质疑期限的； </w:t>
      </w:r>
    </w:p>
    <w:p w14:paraId="28B420E0">
      <w:pPr>
        <w:pStyle w:val="25"/>
        <w:snapToGrid w:val="0"/>
        <w:spacing w:line="360" w:lineRule="auto"/>
        <w:ind w:firstLine="480"/>
        <w:rPr>
          <w:rFonts w:hint="eastAsia" w:ascii="宋体" w:hAnsi="宋体" w:cs="宋体"/>
          <w:szCs w:val="24"/>
        </w:rPr>
      </w:pPr>
      <w:r>
        <w:rPr>
          <w:rFonts w:hint="eastAsia" w:ascii="宋体" w:hAnsi="宋体" w:cs="宋体"/>
          <w:szCs w:val="24"/>
        </w:rPr>
        <w:t>③书面质疑的形式和内容不符合上述要求的；</w:t>
      </w:r>
    </w:p>
    <w:p w14:paraId="215DE96C">
      <w:pPr>
        <w:pStyle w:val="25"/>
        <w:snapToGrid w:val="0"/>
        <w:spacing w:line="360" w:lineRule="auto"/>
        <w:ind w:firstLine="480"/>
        <w:rPr>
          <w:rFonts w:hint="eastAsia" w:ascii="宋体" w:hAnsi="宋体" w:cs="宋体"/>
          <w:szCs w:val="24"/>
        </w:rPr>
      </w:pPr>
      <w:r>
        <w:rPr>
          <w:rFonts w:hint="eastAsia" w:ascii="宋体" w:hAnsi="宋体" w:cs="宋体"/>
          <w:szCs w:val="24"/>
        </w:rPr>
        <w:t xml:space="preserve">④提出的质疑事项已经明确答复的； </w:t>
      </w:r>
    </w:p>
    <w:p w14:paraId="2AD0A8FB">
      <w:pPr>
        <w:pStyle w:val="25"/>
        <w:snapToGrid w:val="0"/>
        <w:spacing w:line="360" w:lineRule="auto"/>
        <w:ind w:firstLine="480"/>
        <w:rPr>
          <w:rFonts w:hint="eastAsia" w:ascii="宋体" w:hAnsi="宋体" w:cs="宋体"/>
          <w:szCs w:val="24"/>
        </w:rPr>
      </w:pPr>
      <w:r>
        <w:rPr>
          <w:rFonts w:hint="eastAsia" w:ascii="宋体" w:hAnsi="宋体" w:cs="宋体"/>
          <w:szCs w:val="24"/>
        </w:rPr>
        <w:t>⑤法律法规规定的其他不予受理的条件。</w:t>
      </w:r>
    </w:p>
    <w:p w14:paraId="21EF695F">
      <w:pPr>
        <w:spacing w:line="360" w:lineRule="auto"/>
        <w:ind w:firstLine="420"/>
        <w:rPr>
          <w:rFonts w:hint="eastAsia" w:ascii="宋体" w:hAnsi="宋体" w:cs="宋体"/>
          <w:sz w:val="24"/>
        </w:rPr>
      </w:pPr>
      <w:r>
        <w:rPr>
          <w:rFonts w:hint="eastAsia" w:ascii="宋体" w:hAnsi="宋体" w:cs="宋体"/>
          <w:sz w:val="24"/>
        </w:rPr>
        <w:t>（4）采购代理机构应当在收到质疑函后七个工作日内做出书面答复。答复内容同时通知与处理结果有关的投标人，但答复内容不得涉及投标人 的商业秘密。</w:t>
      </w:r>
    </w:p>
    <w:p w14:paraId="78AA2039">
      <w:pPr>
        <w:spacing w:line="360" w:lineRule="auto"/>
        <w:ind w:firstLine="420"/>
        <w:rPr>
          <w:rFonts w:hint="eastAsia" w:ascii="宋体" w:hAnsi="宋体" w:cs="宋体"/>
          <w:b/>
          <w:sz w:val="24"/>
        </w:rPr>
      </w:pPr>
      <w:r>
        <w:rPr>
          <w:rFonts w:hint="eastAsia" w:ascii="宋体" w:hAnsi="宋体" w:cs="宋体"/>
          <w:b/>
          <w:sz w:val="24"/>
        </w:rPr>
        <w:t>4.评标的处理依据</w:t>
      </w:r>
    </w:p>
    <w:p w14:paraId="31A32C2F">
      <w:pPr>
        <w:spacing w:line="360" w:lineRule="auto"/>
        <w:ind w:firstLine="480" w:firstLineChars="200"/>
        <w:rPr>
          <w:rFonts w:hint="eastAsia" w:ascii="宋体" w:hAnsi="宋体" w:cs="宋体"/>
          <w:sz w:val="24"/>
        </w:rPr>
      </w:pPr>
      <w:r>
        <w:rPr>
          <w:rFonts w:hint="eastAsia" w:ascii="宋体" w:hAnsi="宋体" w:cs="宋体"/>
          <w:sz w:val="24"/>
        </w:rPr>
        <w:t>评标委员会有权对在开标、评标过程中出现的一切问题，根据《中华人民共和国政府采购法》、《中华人民共和国政府采购法实施条例》和</w:t>
      </w:r>
      <w:r>
        <w:rPr>
          <w:rFonts w:hint="eastAsia" w:ascii="宋体" w:hAnsi="宋体" w:cs="宋体"/>
          <w:kern w:val="0"/>
          <w:sz w:val="24"/>
        </w:rPr>
        <w:t>《政府采购货物和服务招标投标管理办法》</w:t>
      </w:r>
      <w:r>
        <w:rPr>
          <w:rFonts w:hint="eastAsia" w:ascii="宋体" w:hAnsi="宋体" w:cs="宋体"/>
          <w:sz w:val="24"/>
        </w:rPr>
        <w:t xml:space="preserve">等相关法律、法规的条款，本着公开、公平、公正的原则进行处理。 </w:t>
      </w:r>
    </w:p>
    <w:p w14:paraId="5BE2DC1E">
      <w:pPr>
        <w:spacing w:line="360" w:lineRule="auto"/>
        <w:ind w:firstLine="420"/>
        <w:rPr>
          <w:rFonts w:hint="eastAsia" w:ascii="宋体" w:hAnsi="宋体" w:cs="宋体"/>
          <w:b/>
          <w:sz w:val="24"/>
        </w:rPr>
      </w:pPr>
      <w:r>
        <w:rPr>
          <w:rFonts w:hint="eastAsia" w:ascii="宋体" w:hAnsi="宋体" w:cs="宋体"/>
          <w:b/>
          <w:sz w:val="24"/>
        </w:rPr>
        <w:t>5.解释权归属</w:t>
      </w:r>
    </w:p>
    <w:p w14:paraId="29234AF5">
      <w:pPr>
        <w:spacing w:line="360" w:lineRule="auto"/>
        <w:ind w:firstLine="480" w:firstLineChars="200"/>
        <w:rPr>
          <w:rFonts w:hint="eastAsia" w:ascii="宋体" w:hAnsi="宋体" w:cs="宋体"/>
          <w:sz w:val="24"/>
        </w:rPr>
      </w:pPr>
      <w:r>
        <w:rPr>
          <w:rFonts w:hint="eastAsia" w:ascii="宋体" w:hAnsi="宋体" w:cs="宋体"/>
          <w:sz w:val="24"/>
        </w:rPr>
        <w:t>本招标文件的解释权归采购代理机构。</w:t>
      </w:r>
    </w:p>
    <w:p w14:paraId="49FF6D99">
      <w:pPr>
        <w:pStyle w:val="24"/>
        <w:rPr>
          <w:rFonts w:hint="eastAsia" w:ascii="宋体" w:hAnsi="宋体" w:cs="宋体"/>
        </w:rPr>
      </w:pPr>
    </w:p>
    <w:p w14:paraId="671C6331">
      <w:pPr>
        <w:tabs>
          <w:tab w:val="left" w:pos="3709"/>
          <w:tab w:val="center" w:pos="4725"/>
        </w:tabs>
        <w:spacing w:line="480" w:lineRule="auto"/>
        <w:jc w:val="left"/>
        <w:rPr>
          <w:rFonts w:hint="eastAsia" w:ascii="宋体" w:hAnsi="宋体" w:cs="宋体"/>
          <w:b/>
          <w:sz w:val="30"/>
          <w:szCs w:val="30"/>
        </w:rPr>
      </w:pPr>
      <w:r>
        <w:rPr>
          <w:rFonts w:hint="eastAsia" w:ascii="宋体" w:hAnsi="宋体" w:cs="宋体"/>
          <w:b/>
          <w:sz w:val="30"/>
          <w:szCs w:val="30"/>
        </w:rPr>
        <w:tab/>
      </w:r>
      <w:r>
        <w:rPr>
          <w:rFonts w:hint="eastAsia" w:ascii="宋体" w:hAnsi="宋体" w:cs="宋体"/>
          <w:b/>
          <w:sz w:val="30"/>
          <w:szCs w:val="30"/>
        </w:rPr>
        <w:t>四、招标要求</w:t>
      </w:r>
    </w:p>
    <w:p w14:paraId="47163C1F">
      <w:pPr>
        <w:spacing w:line="440" w:lineRule="exact"/>
        <w:ind w:left="-122" w:leftChars="-58" w:firstLine="482" w:firstLineChars="200"/>
        <w:rPr>
          <w:rFonts w:hint="eastAsia" w:ascii="宋体" w:hAnsi="宋体" w:cs="宋体"/>
          <w:b/>
          <w:sz w:val="24"/>
        </w:rPr>
      </w:pPr>
      <w:r>
        <w:rPr>
          <w:rFonts w:hint="eastAsia" w:ascii="宋体" w:hAnsi="宋体" w:cs="宋体"/>
          <w:b/>
          <w:sz w:val="24"/>
        </w:rPr>
        <w:t>1.招标文件内容</w:t>
      </w:r>
    </w:p>
    <w:p w14:paraId="3B0D4BA0">
      <w:pPr>
        <w:spacing w:line="440" w:lineRule="exact"/>
        <w:ind w:firstLine="480" w:firstLineChars="200"/>
        <w:rPr>
          <w:rFonts w:hint="eastAsia" w:ascii="宋体" w:hAnsi="宋体" w:cs="宋体"/>
          <w:sz w:val="24"/>
        </w:rPr>
      </w:pPr>
      <w:r>
        <w:rPr>
          <w:rFonts w:hint="eastAsia" w:ascii="宋体" w:hAnsi="宋体" w:cs="宋体"/>
          <w:sz w:val="24"/>
        </w:rPr>
        <w:t>本次招标为：</w:t>
      </w:r>
      <w:r>
        <w:rPr>
          <w:rFonts w:hint="eastAsia" w:ascii="宋体" w:hAnsi="宋体" w:cs="宋体"/>
          <w:color w:val="333333"/>
          <w:sz w:val="24"/>
          <w:shd w:val="clear" w:color="auto" w:fill="FFFFFF"/>
        </w:rPr>
        <w:t>延安市公安局侦查中心建设</w:t>
      </w:r>
      <w:r>
        <w:rPr>
          <w:rFonts w:hint="eastAsia" w:ascii="宋体" w:hAnsi="宋体" w:cs="宋体"/>
          <w:sz w:val="24"/>
        </w:rPr>
        <w:t>。投标人不得将整体项目再行分解或只投其中的一部分内容，否则投标无效；开标、阅标、评标、定标、签订合同均以标段为单位进行。</w:t>
      </w:r>
    </w:p>
    <w:p w14:paraId="081B1537">
      <w:pPr>
        <w:spacing w:line="400" w:lineRule="exact"/>
        <w:ind w:left="480"/>
        <w:rPr>
          <w:rFonts w:hint="eastAsia" w:ascii="宋体" w:hAnsi="宋体" w:cs="宋体"/>
          <w:b/>
          <w:sz w:val="24"/>
        </w:rPr>
      </w:pPr>
      <w:r>
        <w:rPr>
          <w:rFonts w:hint="eastAsia" w:ascii="宋体" w:hAnsi="宋体" w:cs="宋体"/>
          <w:b/>
          <w:sz w:val="24"/>
        </w:rPr>
        <w:t>（1）投标人须提交以下资质证书和证明文件：</w:t>
      </w:r>
    </w:p>
    <w:p w14:paraId="12099B87">
      <w:pPr>
        <w:pStyle w:val="14"/>
        <w:widowControl/>
        <w:wordWrap w:val="0"/>
        <w:spacing w:before="0" w:beforeAutospacing="0" w:after="0" w:afterAutospacing="0" w:line="360" w:lineRule="auto"/>
        <w:ind w:left="480"/>
        <w:jc w:val="both"/>
        <w:rPr>
          <w:rFonts w:hint="eastAsia" w:ascii="宋体" w:hAnsi="宋体" w:cs="宋体"/>
          <w:szCs w:val="24"/>
        </w:rPr>
      </w:pPr>
      <w:r>
        <w:rPr>
          <w:rFonts w:hint="eastAsia" w:ascii="宋体" w:hAnsi="宋体" w:cs="宋体"/>
          <w:color w:val="333333"/>
          <w:szCs w:val="24"/>
          <w:shd w:val="clear" w:color="auto" w:fill="FFFFFF"/>
        </w:rPr>
        <w:t>①具有独立承担民事责任能力的法人或其他组织，提供合法有效的统一社会信用代码的营业执照（附年度报告书）或事业单位法人证书等国家规定的相关证明，自然人参与的提供其身份证明；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cs="宋体"/>
          <w:color w:val="333333"/>
          <w:szCs w:val="24"/>
          <w:shd w:val="clear" w:color="auto" w:fill="FFFFFF"/>
        </w:rPr>
        <w:br w:type="textWrapping"/>
      </w:r>
      <w:r>
        <w:rPr>
          <w:rFonts w:hint="eastAsia" w:ascii="宋体" w:hAnsi="宋体" w:cs="宋体"/>
          <w:color w:val="333333"/>
          <w:szCs w:val="24"/>
          <w:shd w:val="clear" w:color="auto" w:fill="FFFFFF"/>
        </w:rPr>
        <w:t>②法定代表人授权书（附法定代表人身份证复印件）及被授权人身份证（法定代表人直接参加只须提供法定代表人身份证）；</w:t>
      </w:r>
      <w:r>
        <w:rPr>
          <w:rFonts w:hint="eastAsia" w:ascii="宋体" w:hAnsi="宋体" w:cs="宋体"/>
          <w:color w:val="333333"/>
          <w:szCs w:val="24"/>
          <w:shd w:val="clear" w:color="auto" w:fill="FFFFFF"/>
        </w:rPr>
        <w:br w:type="textWrapping"/>
      </w:r>
      <w:r>
        <w:rPr>
          <w:rFonts w:hint="eastAsia" w:ascii="宋体" w:hAnsi="宋体" w:cs="宋体"/>
          <w:color w:val="333333"/>
          <w:szCs w:val="24"/>
          <w:shd w:val="clear" w:color="auto" w:fill="FFFFFF"/>
        </w:rPr>
        <w:t>③财务状况报告：提供2025年度的财务审计报告(成立时间至提交投标文件截止时间不足一年的可提供成立后任意时段的资产负债表),或其基本存款账户开户银行出具的资信证明及基本存款账户开户信息；</w:t>
      </w:r>
      <w:r>
        <w:rPr>
          <w:rFonts w:hint="eastAsia" w:ascii="宋体" w:hAnsi="宋体" w:cs="宋体"/>
          <w:color w:val="333333"/>
          <w:szCs w:val="24"/>
          <w:shd w:val="clear" w:color="auto" w:fill="FFFFFF"/>
        </w:rPr>
        <w:br w:type="textWrapping"/>
      </w:r>
      <w:r>
        <w:rPr>
          <w:rFonts w:hint="eastAsia" w:ascii="宋体" w:hAnsi="宋体" w:cs="宋体"/>
          <w:color w:val="333333"/>
          <w:szCs w:val="24"/>
          <w:shd w:val="clear" w:color="auto" w:fill="FFFFFF"/>
        </w:rPr>
        <w:t>④社会保障资金缴纳证明：提供2025年05月份至2026年05月份任意一个月份的社会保障资金缴存证明或社保机构开具的社会保险参保缴费情况证明；依法不需要缴纳社会保障资金的应提供相关文件证明；</w:t>
      </w:r>
      <w:r>
        <w:rPr>
          <w:rFonts w:hint="eastAsia" w:ascii="宋体" w:hAnsi="宋体" w:cs="宋体"/>
          <w:color w:val="333333"/>
          <w:szCs w:val="24"/>
          <w:shd w:val="clear" w:color="auto" w:fill="FFFFFF"/>
        </w:rPr>
        <w:br w:type="textWrapping"/>
      </w:r>
      <w:r>
        <w:rPr>
          <w:rFonts w:hint="eastAsia" w:ascii="宋体" w:hAnsi="宋体" w:cs="宋体"/>
          <w:color w:val="333333"/>
          <w:szCs w:val="24"/>
          <w:shd w:val="clear" w:color="auto" w:fill="FFFFFF"/>
        </w:rPr>
        <w:t>⑤税收缴纳证明：提供已缴纳的2025年05月份至2026年05月份任意一个月份的缴税凭证；依法免税的投标人应提供相关文件证明；</w:t>
      </w:r>
      <w:r>
        <w:rPr>
          <w:rFonts w:hint="eastAsia" w:ascii="宋体" w:hAnsi="宋体" w:cs="宋体"/>
          <w:color w:val="333333"/>
          <w:szCs w:val="24"/>
          <w:shd w:val="clear" w:color="auto" w:fill="FFFFFF"/>
        </w:rPr>
        <w:br w:type="textWrapping"/>
      </w:r>
      <w:r>
        <w:rPr>
          <w:rFonts w:hint="eastAsia" w:ascii="宋体" w:hAnsi="宋体" w:cs="宋体"/>
          <w:color w:val="333333"/>
          <w:szCs w:val="24"/>
          <w:shd w:val="clear" w:color="auto" w:fill="FFFFFF"/>
        </w:rPr>
        <w:t>⑥信用记录：提供《供应商信用记录书面声明函》（按格式填写），经查，投标单位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cs="宋体"/>
          <w:color w:val="333333"/>
          <w:szCs w:val="24"/>
          <w:shd w:val="clear" w:color="auto" w:fill="FFFFFF"/>
        </w:rPr>
        <w:br w:type="textWrapping"/>
      </w:r>
      <w:r>
        <w:rPr>
          <w:rFonts w:hint="eastAsia" w:ascii="宋体" w:hAnsi="宋体" w:cs="宋体"/>
          <w:color w:val="333333"/>
          <w:szCs w:val="24"/>
          <w:shd w:val="clear" w:color="auto" w:fill="FFFFFF"/>
        </w:rPr>
        <w:t>⑦本项目不接受联合体投标，投标单位须提供非联合体投标声明函（按格式填写）。</w:t>
      </w:r>
    </w:p>
    <w:p w14:paraId="15A03488">
      <w:pPr>
        <w:spacing w:line="440" w:lineRule="exact"/>
        <w:ind w:firstLine="480" w:firstLineChars="200"/>
        <w:rPr>
          <w:rFonts w:hint="eastAsia" w:ascii="宋体" w:hAnsi="宋体" w:cs="宋体"/>
          <w:sz w:val="24"/>
        </w:rPr>
      </w:pPr>
      <w:r>
        <w:rPr>
          <w:rFonts w:hint="eastAsia" w:ascii="宋体" w:hAnsi="宋体" w:cs="宋体"/>
          <w:sz w:val="24"/>
        </w:rPr>
        <w:t>以上资格证明文件中</w:t>
      </w:r>
      <w:r>
        <w:rPr>
          <w:rFonts w:hint="eastAsia" w:ascii="宋体" w:hAnsi="宋体" w:cs="宋体"/>
          <w:color w:val="333333"/>
          <w:sz w:val="24"/>
          <w:shd w:val="clear" w:color="auto" w:fill="FFFFFF"/>
        </w:rPr>
        <w:t>①</w:t>
      </w:r>
      <w:r>
        <w:rPr>
          <w:rFonts w:hint="eastAsia" w:ascii="宋体" w:hAnsi="宋体" w:cs="宋体"/>
          <w:sz w:val="24"/>
        </w:rPr>
        <w:t xml:space="preserve">- </w:t>
      </w:r>
      <w:r>
        <w:rPr>
          <w:rFonts w:hint="eastAsia" w:ascii="宋体" w:hAnsi="宋体" w:cs="宋体"/>
          <w:color w:val="333333"/>
          <w:sz w:val="24"/>
          <w:shd w:val="clear" w:color="auto" w:fill="FFFFFF"/>
        </w:rPr>
        <w:t>⑦</w:t>
      </w:r>
      <w:r>
        <w:rPr>
          <w:rFonts w:hint="eastAsia" w:ascii="宋体" w:hAnsi="宋体" w:cs="宋体"/>
          <w:sz w:val="24"/>
        </w:rPr>
        <w:t>项为必备资质，缺少一项或某项达不到要求，其投标均无效。若证件的有效期已过，且发证机关未统一换证，须提供发证主管机关的证明文件，否则按无效证明对待。</w:t>
      </w:r>
    </w:p>
    <w:p w14:paraId="3E0BF882">
      <w:pPr>
        <w:spacing w:line="380" w:lineRule="exact"/>
        <w:ind w:firstLine="420"/>
        <w:rPr>
          <w:rFonts w:hint="eastAsia" w:ascii="宋体" w:hAnsi="宋体" w:cs="宋体"/>
          <w:b/>
          <w:sz w:val="24"/>
        </w:rPr>
      </w:pPr>
      <w:r>
        <w:rPr>
          <w:rFonts w:hint="eastAsia" w:ascii="宋体" w:hAnsi="宋体" w:cs="宋体"/>
          <w:b/>
          <w:sz w:val="24"/>
        </w:rPr>
        <w:t>2.投标文件的编制</w:t>
      </w:r>
    </w:p>
    <w:p w14:paraId="6C49686B">
      <w:pPr>
        <w:spacing w:line="440" w:lineRule="exact"/>
        <w:ind w:firstLine="480" w:firstLineChars="200"/>
        <w:rPr>
          <w:rFonts w:hint="eastAsia" w:ascii="宋体" w:hAnsi="宋体" w:cs="宋体"/>
          <w:sz w:val="24"/>
        </w:rPr>
      </w:pPr>
      <w:r>
        <w:rPr>
          <w:rFonts w:hint="eastAsia" w:ascii="宋体" w:hAnsi="宋体" w:cs="宋体"/>
          <w:sz w:val="24"/>
        </w:rPr>
        <w:t>投标文件必须根据招标文件提供的内容及格式编制，并对招标文件做出实质性响应；具体内容包括：</w:t>
      </w:r>
    </w:p>
    <w:p w14:paraId="5737BEDD">
      <w:pPr>
        <w:kinsoku w:val="0"/>
        <w:spacing w:line="500" w:lineRule="exact"/>
        <w:ind w:firstLine="420"/>
        <w:rPr>
          <w:rFonts w:hint="eastAsia" w:ascii="宋体" w:hAnsi="宋体" w:cs="宋体"/>
          <w:sz w:val="24"/>
        </w:rPr>
      </w:pPr>
      <w:r>
        <w:rPr>
          <w:rFonts w:hint="eastAsia" w:ascii="宋体" w:hAnsi="宋体" w:cs="宋体"/>
          <w:sz w:val="24"/>
        </w:rPr>
        <w:t>（1）按照格式要求填写的投标函；</w:t>
      </w:r>
    </w:p>
    <w:p w14:paraId="10A21701">
      <w:pPr>
        <w:kinsoku w:val="0"/>
        <w:spacing w:line="500" w:lineRule="exact"/>
        <w:ind w:firstLine="420"/>
        <w:rPr>
          <w:rFonts w:hint="eastAsia" w:ascii="宋体" w:hAnsi="宋体" w:cs="宋体"/>
          <w:sz w:val="24"/>
        </w:rPr>
      </w:pPr>
      <w:r>
        <w:rPr>
          <w:rFonts w:hint="eastAsia" w:ascii="宋体" w:hAnsi="宋体" w:cs="宋体"/>
          <w:sz w:val="24"/>
        </w:rPr>
        <w:t>（2）开标一览表、分项报价表、技术指标偏差表和商务及合同主要条款响应说明；</w:t>
      </w:r>
    </w:p>
    <w:p w14:paraId="3559385D">
      <w:pPr>
        <w:kinsoku w:val="0"/>
        <w:spacing w:line="500" w:lineRule="exact"/>
        <w:ind w:firstLine="420"/>
        <w:rPr>
          <w:rFonts w:hint="eastAsia" w:ascii="宋体" w:hAnsi="宋体" w:cs="宋体"/>
          <w:sz w:val="24"/>
        </w:rPr>
      </w:pPr>
      <w:r>
        <w:rPr>
          <w:rFonts w:hint="eastAsia" w:ascii="宋体" w:hAnsi="宋体" w:cs="宋体"/>
          <w:sz w:val="24"/>
        </w:rPr>
        <w:t>（3）法定代表人证明及法定代表人授权委托书；</w:t>
      </w:r>
    </w:p>
    <w:p w14:paraId="3AD407B3">
      <w:pPr>
        <w:kinsoku w:val="0"/>
        <w:spacing w:line="500" w:lineRule="exact"/>
        <w:ind w:firstLine="420"/>
        <w:rPr>
          <w:rFonts w:hint="eastAsia" w:ascii="宋体" w:hAnsi="宋体" w:cs="宋体"/>
          <w:sz w:val="24"/>
        </w:rPr>
      </w:pPr>
      <w:r>
        <w:rPr>
          <w:rFonts w:hint="eastAsia" w:ascii="宋体" w:hAnsi="宋体" w:cs="宋体"/>
          <w:sz w:val="24"/>
        </w:rPr>
        <w:t>（4）按要求出具的资质文件；</w:t>
      </w:r>
    </w:p>
    <w:p w14:paraId="7338358A">
      <w:pPr>
        <w:kinsoku w:val="0"/>
        <w:spacing w:line="500" w:lineRule="exact"/>
        <w:ind w:firstLine="420"/>
        <w:rPr>
          <w:rFonts w:hint="eastAsia" w:ascii="宋体" w:hAnsi="宋体" w:cs="宋体"/>
          <w:sz w:val="24"/>
        </w:rPr>
      </w:pPr>
      <w:r>
        <w:rPr>
          <w:rFonts w:hint="eastAsia" w:ascii="宋体" w:hAnsi="宋体" w:cs="宋体"/>
          <w:sz w:val="24"/>
        </w:rPr>
        <w:t xml:space="preserve">（5）投标人的投标技术方案： </w:t>
      </w:r>
    </w:p>
    <w:p w14:paraId="4E6AF554">
      <w:pPr>
        <w:tabs>
          <w:tab w:val="left" w:pos="1080"/>
        </w:tabs>
        <w:spacing w:line="460" w:lineRule="exact"/>
        <w:ind w:firstLine="420"/>
        <w:rPr>
          <w:rFonts w:hint="eastAsia" w:ascii="宋体" w:hAnsi="宋体" w:cs="宋体"/>
          <w:sz w:val="24"/>
        </w:rPr>
      </w:pPr>
      <w:r>
        <w:rPr>
          <w:rFonts w:hint="eastAsia" w:ascii="宋体" w:hAnsi="宋体" w:cs="宋体"/>
          <w:sz w:val="24"/>
        </w:rPr>
        <w:t>（6）投标人承诺书。</w:t>
      </w:r>
    </w:p>
    <w:p w14:paraId="78527DA4">
      <w:pPr>
        <w:spacing w:line="380" w:lineRule="exact"/>
        <w:ind w:firstLine="420"/>
        <w:rPr>
          <w:rFonts w:hint="eastAsia" w:ascii="宋体" w:hAnsi="宋体" w:cs="宋体"/>
          <w:b/>
          <w:sz w:val="24"/>
        </w:rPr>
      </w:pPr>
      <w:r>
        <w:rPr>
          <w:rFonts w:hint="eastAsia" w:ascii="宋体" w:hAnsi="宋体" w:cs="宋体"/>
          <w:b/>
          <w:sz w:val="24"/>
        </w:rPr>
        <w:t>3.投标报价</w:t>
      </w:r>
    </w:p>
    <w:p w14:paraId="0FAAEC86">
      <w:pPr>
        <w:spacing w:line="440" w:lineRule="exact"/>
        <w:ind w:firstLine="480" w:firstLineChars="200"/>
        <w:rPr>
          <w:rFonts w:hint="eastAsia" w:ascii="宋体" w:hAnsi="宋体" w:cs="宋体"/>
          <w:sz w:val="24"/>
        </w:rPr>
      </w:pPr>
      <w:r>
        <w:rPr>
          <w:rFonts w:hint="eastAsia" w:ascii="宋体" w:hAnsi="宋体" w:cs="宋体"/>
          <w:sz w:val="24"/>
        </w:rPr>
        <w:t>（1）投标报价是指产品货物到达使用地点，达到正常使用条件下的所有费用，包括产品货物的报价及所发生的运杂费（含保险）、现场安装调试费及进口的关税等按现行税收政策征收的一切税费等，以招标文件的内容和要求作为投标依据；</w:t>
      </w:r>
    </w:p>
    <w:p w14:paraId="2B40928B">
      <w:pPr>
        <w:spacing w:line="440" w:lineRule="exact"/>
        <w:ind w:firstLine="480" w:firstLineChars="200"/>
        <w:rPr>
          <w:rFonts w:hint="eastAsia" w:ascii="宋体" w:hAnsi="宋体" w:cs="宋体"/>
          <w:sz w:val="24"/>
        </w:rPr>
      </w:pPr>
      <w:r>
        <w:rPr>
          <w:rFonts w:hint="eastAsia" w:ascii="宋体" w:hAnsi="宋体" w:cs="宋体"/>
          <w:sz w:val="24"/>
        </w:rPr>
        <w:t>（2）投标人应在投标文件中的开标一览表（唱标报告）上，标明响应产品的所有费用；任何有选择的报价不予接受；</w:t>
      </w:r>
    </w:p>
    <w:p w14:paraId="6742AB5F">
      <w:pPr>
        <w:spacing w:line="440" w:lineRule="exact"/>
        <w:ind w:firstLine="480" w:firstLineChars="200"/>
        <w:rPr>
          <w:rFonts w:hint="eastAsia" w:ascii="宋体" w:hAnsi="宋体" w:cs="宋体"/>
          <w:sz w:val="24"/>
        </w:rPr>
      </w:pPr>
      <w:r>
        <w:rPr>
          <w:rFonts w:hint="eastAsia" w:ascii="宋体" w:hAnsi="宋体" w:cs="宋体"/>
          <w:sz w:val="24"/>
        </w:rPr>
        <w:t>（3）投标货币：人民币；单位：元；</w:t>
      </w:r>
    </w:p>
    <w:p w14:paraId="03B5434B">
      <w:pPr>
        <w:spacing w:line="440" w:lineRule="exact"/>
        <w:ind w:firstLine="480" w:firstLineChars="200"/>
        <w:rPr>
          <w:rFonts w:hint="eastAsia" w:ascii="宋体" w:hAnsi="宋体" w:cs="宋体"/>
          <w:sz w:val="24"/>
        </w:rPr>
      </w:pPr>
      <w:r>
        <w:rPr>
          <w:rFonts w:hint="eastAsia" w:ascii="宋体" w:hAnsi="宋体" w:cs="宋体"/>
          <w:sz w:val="24"/>
        </w:rPr>
        <w:t>（4）开标一览表应有投标人公章及法定代表人或被授权人的签字；</w:t>
      </w:r>
    </w:p>
    <w:p w14:paraId="5BE33750">
      <w:pPr>
        <w:spacing w:line="440" w:lineRule="exact"/>
        <w:ind w:firstLine="480" w:firstLineChars="200"/>
        <w:rPr>
          <w:rFonts w:hint="eastAsia" w:ascii="宋体" w:hAnsi="宋体" w:cs="宋体"/>
          <w:sz w:val="24"/>
        </w:rPr>
      </w:pPr>
      <w:r>
        <w:rPr>
          <w:rFonts w:hint="eastAsia" w:ascii="宋体" w:hAnsi="宋体" w:cs="宋体"/>
          <w:sz w:val="24"/>
        </w:rPr>
        <w:t>（5）投标报价表中标明的价格，在合同执行过程中，不得以任何理由变更；</w:t>
      </w:r>
    </w:p>
    <w:p w14:paraId="36CDD234">
      <w:pPr>
        <w:spacing w:line="440" w:lineRule="exact"/>
        <w:ind w:firstLine="480" w:firstLineChars="200"/>
        <w:rPr>
          <w:rFonts w:hint="eastAsia" w:ascii="宋体" w:hAnsi="宋体" w:cs="宋体"/>
          <w:sz w:val="24"/>
        </w:rPr>
      </w:pPr>
      <w:r>
        <w:rPr>
          <w:rFonts w:hint="eastAsia" w:ascii="宋体" w:hAnsi="宋体" w:cs="宋体"/>
          <w:sz w:val="24"/>
        </w:rPr>
        <w:t>（6）凡因投标人对招标文件阅读不深、理解不透、误解、疏漏、或因市场行情了解不清造成的后果和风险均由投标人自负；</w:t>
      </w:r>
    </w:p>
    <w:p w14:paraId="1105DC13">
      <w:pPr>
        <w:spacing w:line="440" w:lineRule="exact"/>
        <w:ind w:firstLine="480" w:firstLineChars="200"/>
        <w:rPr>
          <w:rFonts w:hint="eastAsia" w:ascii="宋体" w:hAnsi="宋体" w:cs="宋体"/>
          <w:sz w:val="24"/>
        </w:rPr>
      </w:pPr>
      <w:r>
        <w:rPr>
          <w:rFonts w:hint="eastAsia" w:ascii="宋体" w:hAnsi="宋体" w:cs="宋体"/>
          <w:sz w:val="24"/>
        </w:rPr>
        <w:t>（7）最低报价不是中标的唯一依据。</w:t>
      </w:r>
    </w:p>
    <w:p w14:paraId="28D88DCF">
      <w:pPr>
        <w:spacing w:line="360" w:lineRule="auto"/>
        <w:ind w:firstLine="480" w:firstLineChars="200"/>
        <w:rPr>
          <w:rFonts w:hint="eastAsia" w:ascii="宋体" w:hAnsi="宋体" w:cs="宋体"/>
          <w:sz w:val="24"/>
        </w:rPr>
      </w:pPr>
      <w:r>
        <w:rPr>
          <w:rFonts w:hint="eastAsia" w:ascii="宋体" w:hAnsi="宋体" w:cs="宋体"/>
          <w:sz w:val="24"/>
        </w:rPr>
        <w:t>（8）投标人不得以低于成本的报价参加投标。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6C50DED">
      <w:pPr>
        <w:spacing w:line="360" w:lineRule="auto"/>
        <w:ind w:firstLine="602" w:firstLineChars="250"/>
        <w:rPr>
          <w:rFonts w:hint="eastAsia" w:ascii="宋体" w:hAnsi="宋体" w:cs="宋体"/>
          <w:b/>
          <w:bCs/>
          <w:sz w:val="24"/>
        </w:rPr>
      </w:pPr>
      <w:r>
        <w:rPr>
          <w:rFonts w:hint="eastAsia" w:ascii="宋体" w:hAnsi="宋体" w:cs="宋体"/>
          <w:b/>
          <w:bCs/>
          <w:sz w:val="24"/>
        </w:rPr>
        <w:t>4.投标保证金：本项目不收取投标保证金。</w:t>
      </w:r>
    </w:p>
    <w:p w14:paraId="20B3FAC4">
      <w:pPr>
        <w:spacing w:line="360" w:lineRule="auto"/>
        <w:ind w:firstLine="602" w:firstLineChars="250"/>
        <w:rPr>
          <w:rFonts w:hint="eastAsia" w:ascii="宋体" w:hAnsi="宋体" w:cs="宋体"/>
          <w:b/>
          <w:bCs/>
          <w:sz w:val="24"/>
        </w:rPr>
      </w:pPr>
      <w:r>
        <w:rPr>
          <w:rFonts w:hint="eastAsia" w:ascii="宋体" w:hAnsi="宋体" w:cs="宋体"/>
          <w:b/>
          <w:bCs/>
          <w:sz w:val="24"/>
        </w:rPr>
        <w:t>5.投标文件的有效期</w:t>
      </w:r>
    </w:p>
    <w:p w14:paraId="33A7F77D">
      <w:pPr>
        <w:spacing w:line="440" w:lineRule="exact"/>
        <w:ind w:firstLine="480" w:firstLineChars="200"/>
        <w:rPr>
          <w:rFonts w:hint="eastAsia" w:ascii="宋体" w:hAnsi="宋体" w:cs="宋体"/>
          <w:sz w:val="24"/>
        </w:rPr>
      </w:pPr>
      <w:r>
        <w:rPr>
          <w:rFonts w:hint="eastAsia" w:ascii="宋体" w:hAnsi="宋体" w:cs="宋体"/>
          <w:sz w:val="24"/>
        </w:rPr>
        <w:t>投标文件有效期为自开标之日起算90个日历日；投标文件无投标有效期或有效期短于招标文件规定的投标有效期，按无效文件处理。中标人的投标文件有效期延长至合同执行完毕。</w:t>
      </w:r>
    </w:p>
    <w:p w14:paraId="4DCE386C">
      <w:pPr>
        <w:spacing w:line="440" w:lineRule="exact"/>
        <w:ind w:firstLine="482" w:firstLineChars="200"/>
        <w:rPr>
          <w:rFonts w:hint="eastAsia" w:ascii="宋体" w:hAnsi="宋体" w:cs="宋体"/>
          <w:b/>
          <w:bCs/>
          <w:sz w:val="24"/>
        </w:rPr>
      </w:pPr>
      <w:r>
        <w:rPr>
          <w:rFonts w:hint="eastAsia" w:ascii="宋体" w:hAnsi="宋体" w:cs="宋体"/>
          <w:b/>
          <w:bCs/>
          <w:sz w:val="24"/>
        </w:rPr>
        <w:t>6.投标文件的签署及规定</w:t>
      </w:r>
    </w:p>
    <w:p w14:paraId="7B57620B">
      <w:pPr>
        <w:pStyle w:val="26"/>
        <w:widowControl w:val="0"/>
        <w:overflowPunct w:val="0"/>
        <w:adjustRightInd w:val="0"/>
        <w:snapToGrid w:val="0"/>
        <w:spacing w:line="360" w:lineRule="auto"/>
        <w:ind w:firstLine="480"/>
        <w:rPr>
          <w:rFonts w:hint="eastAsia"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（1）投标单位须依据招标文件内容和投标文件格式的要求编制投标文件；</w:t>
      </w:r>
    </w:p>
    <w:p w14:paraId="625945E4">
      <w:pPr>
        <w:pStyle w:val="26"/>
        <w:widowControl w:val="0"/>
        <w:overflowPunct w:val="0"/>
        <w:adjustRightInd w:val="0"/>
        <w:snapToGrid w:val="0"/>
        <w:spacing w:line="360" w:lineRule="auto"/>
        <w:ind w:firstLine="480"/>
        <w:rPr>
          <w:rFonts w:hint="eastAsia"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2）投标文件需单独提供纸质版，正本和所有的副本均需打印或用不褪色的蓝（黑）墨水填写，注明“正本”、“副本”、“电子版(U盘）”字样。统一装订、编码，在每一页的正下方清楚标明共几页、第几页等字样；</w:t>
      </w:r>
    </w:p>
    <w:p w14:paraId="15DB2C73">
      <w:pPr>
        <w:overflowPunct w:val="0"/>
        <w:adjustRightInd w:val="0"/>
        <w:snapToGrid w:val="0"/>
        <w:spacing w:line="360" w:lineRule="auto"/>
        <w:ind w:firstLine="360" w:firstLineChars="15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（3）本次招标需在开标时同时提交纸质版投标文件</w:t>
      </w:r>
      <w:r>
        <w:rPr>
          <w:rFonts w:hint="eastAsia" w:ascii="宋体" w:hAnsi="宋体" w:cs="宋体"/>
          <w:b/>
          <w:color w:val="000000" w:themeColor="text1"/>
          <w:sz w:val="24"/>
          <w14:textFill>
            <w14:solidFill>
              <w14:schemeClr w14:val="tx1"/>
            </w14:solidFill>
          </w14:textFill>
        </w:rPr>
        <w:t>共叁份，其中正本壹份，副本贰份；电子版投标文件提供加盖公章PDF格式，用（U盘）拷贝叁份。</w:t>
      </w:r>
    </w:p>
    <w:p w14:paraId="1444EB7B">
      <w:pPr>
        <w:pStyle w:val="26"/>
        <w:widowControl w:val="0"/>
        <w:overflowPunct w:val="0"/>
        <w:adjustRightInd w:val="0"/>
        <w:snapToGrid w:val="0"/>
        <w:spacing w:line="360" w:lineRule="auto"/>
        <w:ind w:firstLine="480"/>
        <w:rPr>
          <w:rFonts w:hint="eastAsia"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（4）投标单位在纸质版投标文件中需逐页加盖公章（鲜章），并按招标文件要求加盖公章、签字；</w:t>
      </w:r>
    </w:p>
    <w:p w14:paraId="330A8DE6">
      <w:pPr>
        <w:pStyle w:val="26"/>
        <w:widowControl w:val="0"/>
        <w:overflowPunct w:val="0"/>
        <w:adjustRightInd w:val="0"/>
        <w:snapToGrid w:val="0"/>
        <w:spacing w:line="360" w:lineRule="auto"/>
        <w:ind w:firstLine="480"/>
        <w:rPr>
          <w:rFonts w:hint="eastAsia"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（5）投标单位名称应填写全称，同时加盖公章（鲜章）；</w:t>
      </w:r>
    </w:p>
    <w:p w14:paraId="36F27D95">
      <w:pPr>
        <w:pStyle w:val="26"/>
        <w:widowControl w:val="0"/>
        <w:overflowPunct w:val="0"/>
        <w:adjustRightInd w:val="0"/>
        <w:snapToGrid w:val="0"/>
        <w:spacing w:line="360" w:lineRule="auto"/>
        <w:ind w:firstLine="480"/>
        <w:rPr>
          <w:rFonts w:hint="eastAsia"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（6）投标文件的任何行间插字、涂改和增删，必须由法定代表人或被授权人在改动处旁签字方为有效；</w:t>
      </w:r>
    </w:p>
    <w:p w14:paraId="0FC88C7B">
      <w:pPr>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（7）投标文件因字迹潦草或表达不清所引起的后果由供应商负责。</w:t>
      </w:r>
    </w:p>
    <w:p w14:paraId="1BC20BE0">
      <w:pPr>
        <w:spacing w:line="440" w:lineRule="exact"/>
        <w:ind w:firstLine="482" w:firstLineChars="200"/>
        <w:rPr>
          <w:rFonts w:hint="eastAsia" w:ascii="宋体" w:hAnsi="宋体" w:cs="宋体"/>
          <w:b/>
          <w:bCs/>
          <w:sz w:val="24"/>
        </w:rPr>
      </w:pPr>
      <w:r>
        <w:rPr>
          <w:rFonts w:hint="eastAsia" w:ascii="宋体" w:hAnsi="宋体" w:cs="宋体"/>
          <w:b/>
          <w:bCs/>
          <w:sz w:val="24"/>
        </w:rPr>
        <w:t>7.文字要求</w:t>
      </w:r>
    </w:p>
    <w:p w14:paraId="7E4E44E5">
      <w:pPr>
        <w:spacing w:line="440" w:lineRule="exact"/>
        <w:ind w:firstLine="480" w:firstLineChars="200"/>
        <w:rPr>
          <w:rFonts w:hint="eastAsia" w:ascii="宋体" w:hAnsi="宋体" w:cs="宋体"/>
          <w:sz w:val="24"/>
        </w:rPr>
      </w:pPr>
      <w:r>
        <w:rPr>
          <w:rFonts w:hint="eastAsia" w:ascii="宋体" w:hAnsi="宋体" w:cs="宋体"/>
          <w:sz w:val="24"/>
        </w:rPr>
        <w:t>本次招标只接受简体中文文字的投标文件，数字为阿拉伯数字，纸张为Ａ4,统一装订并标明页码。</w:t>
      </w:r>
    </w:p>
    <w:p w14:paraId="1BB6120F">
      <w:pPr>
        <w:spacing w:line="360" w:lineRule="auto"/>
        <w:ind w:firstLine="482" w:firstLineChars="200"/>
        <w:rPr>
          <w:rFonts w:hint="eastAsia" w:ascii="宋体" w:hAnsi="宋体" w:cs="宋体"/>
          <w:b/>
          <w:sz w:val="24"/>
        </w:rPr>
      </w:pPr>
      <w:r>
        <w:rPr>
          <w:rFonts w:hint="eastAsia" w:ascii="宋体" w:hAnsi="宋体" w:cs="宋体"/>
          <w:b/>
          <w:sz w:val="24"/>
        </w:rPr>
        <w:t>8.本项目不接受联合体投标</w:t>
      </w:r>
    </w:p>
    <w:p w14:paraId="32DF8F82">
      <w:pPr>
        <w:spacing w:line="360" w:lineRule="auto"/>
        <w:jc w:val="center"/>
        <w:rPr>
          <w:rFonts w:hint="eastAsia" w:ascii="宋体" w:hAnsi="宋体" w:cs="宋体"/>
          <w:b/>
          <w:sz w:val="30"/>
          <w:szCs w:val="30"/>
        </w:rPr>
      </w:pPr>
      <w:r>
        <w:rPr>
          <w:rFonts w:hint="eastAsia" w:ascii="宋体" w:hAnsi="宋体" w:cs="宋体"/>
          <w:b/>
          <w:sz w:val="30"/>
          <w:szCs w:val="30"/>
        </w:rPr>
        <w:t>五、投标文件递交</w:t>
      </w:r>
    </w:p>
    <w:p w14:paraId="459141B2">
      <w:pPr>
        <w:adjustRightInd w:val="0"/>
        <w:snapToGrid w:val="0"/>
        <w:spacing w:line="360" w:lineRule="auto"/>
        <w:ind w:firstLine="482" w:firstLineChars="200"/>
        <w:rPr>
          <w:rFonts w:hint="eastAsia" w:ascii="宋体" w:hAnsi="宋体" w:cs="宋体"/>
          <w:b/>
          <w:bCs/>
          <w:color w:val="000000" w:themeColor="text1"/>
          <w:sz w:val="24"/>
          <w14:textFill>
            <w14:solidFill>
              <w14:schemeClr w14:val="tx1"/>
            </w14:solidFill>
          </w14:textFill>
        </w:rPr>
      </w:pPr>
      <w:r>
        <w:rPr>
          <w:rFonts w:hint="eastAsia" w:ascii="宋体" w:hAnsi="宋体" w:cs="宋体"/>
          <w:b/>
          <w:sz w:val="24"/>
        </w:rPr>
        <w:t>1.投标文件的递交</w:t>
      </w:r>
      <w:r>
        <w:rPr>
          <w:rFonts w:hint="eastAsia" w:ascii="宋体" w:hAnsi="宋体" w:cs="宋体"/>
          <w:b/>
          <w:bCs/>
          <w:color w:val="000000" w:themeColor="text1"/>
          <w:spacing w:val="6"/>
          <w:sz w:val="24"/>
          <w14:textFill>
            <w14:solidFill>
              <w14:schemeClr w14:val="tx1"/>
            </w14:solidFill>
          </w14:textFill>
        </w:rPr>
        <w:t>（本项目采用线上不见面开标）</w:t>
      </w:r>
    </w:p>
    <w:p w14:paraId="709230D6">
      <w:pPr>
        <w:spacing w:line="360" w:lineRule="auto"/>
        <w:ind w:firstLine="480" w:firstLineChars="200"/>
        <w:rPr>
          <w:rFonts w:hint="eastAsia" w:ascii="宋体" w:hAnsi="宋体" w:cs="宋体"/>
          <w:sz w:val="24"/>
        </w:rPr>
      </w:pPr>
      <w:r>
        <w:rPr>
          <w:rFonts w:hint="eastAsia" w:ascii="宋体" w:hAnsi="宋体" w:cs="宋体"/>
          <w:sz w:val="24"/>
        </w:rPr>
        <w:t xml:space="preserve">（1）本项目采用电子化远程不见面投标解密的方式，相关操作流程详见全国公共资源交易平台（陕西省）网站[服务指南-下载专区]中的《陕西省公共资源交易中心政府采购项目投标指南》；        </w:t>
      </w:r>
    </w:p>
    <w:p w14:paraId="33688684">
      <w:pPr>
        <w:spacing w:line="360" w:lineRule="auto"/>
        <w:ind w:firstLine="480" w:firstLineChars="200"/>
        <w:rPr>
          <w:rFonts w:hint="eastAsia" w:ascii="宋体" w:hAnsi="宋体" w:cs="宋体"/>
          <w:sz w:val="24"/>
        </w:rPr>
      </w:pPr>
      <w:r>
        <w:rPr>
          <w:rFonts w:hint="eastAsia" w:ascii="宋体" w:hAnsi="宋体" w:cs="宋体"/>
          <w:sz w:val="24"/>
        </w:rPr>
        <w:t>（2）电子投标文件可于提交投标文件截止时间前任意时段在</w:t>
      </w:r>
      <w:r>
        <w:rPr>
          <w:rFonts w:hint="eastAsia" w:ascii="宋体" w:hAnsi="宋体" w:cs="宋体"/>
          <w:color w:val="333333"/>
          <w:sz w:val="24"/>
          <w:shd w:val="clear" w:color="auto" w:fill="FFFFFF"/>
        </w:rPr>
        <w:t>全国公共资源交易平台（陕西省·延安市）系统</w:t>
      </w:r>
      <w:r>
        <w:rPr>
          <w:rFonts w:hint="eastAsia" w:ascii="宋体" w:hAnsi="宋体" w:cs="宋体"/>
          <w:sz w:val="24"/>
        </w:rPr>
        <w:t>进行提交，逾期系统将拒绝接收，纸质版投标文件须在开标前递交至延安市公共资源交易中心交易</w:t>
      </w:r>
      <w:r>
        <w:rPr>
          <w:rFonts w:hint="eastAsia" w:ascii="宋体" w:hAnsi="宋体" w:cs="宋体"/>
          <w:sz w:val="24"/>
          <w:u w:val="none"/>
          <w:shd w:val="clear" w:color="auto" w:fill="FFFFFF"/>
          <w:lang w:val="en-US" w:eastAsia="zh-CN"/>
        </w:rPr>
        <w:t>一</w:t>
      </w:r>
      <w:r>
        <w:rPr>
          <w:rFonts w:hint="eastAsia" w:ascii="宋体" w:hAnsi="宋体" w:cs="宋体"/>
          <w:sz w:val="24"/>
        </w:rPr>
        <w:t>厅；</w:t>
      </w:r>
    </w:p>
    <w:p w14:paraId="4BFD4AB2">
      <w:pPr>
        <w:spacing w:line="440" w:lineRule="exact"/>
        <w:ind w:left="-122" w:leftChars="-58" w:firstLine="482" w:firstLineChars="200"/>
        <w:rPr>
          <w:rFonts w:hint="eastAsia" w:ascii="宋体" w:hAnsi="宋体" w:cs="宋体"/>
          <w:b/>
          <w:sz w:val="24"/>
        </w:rPr>
      </w:pPr>
      <w:r>
        <w:rPr>
          <w:rFonts w:hint="eastAsia" w:ascii="宋体" w:hAnsi="宋体" w:cs="宋体"/>
          <w:b/>
          <w:sz w:val="24"/>
        </w:rPr>
        <w:t>2.投标截止时间</w:t>
      </w:r>
    </w:p>
    <w:p w14:paraId="4F277936">
      <w:pPr>
        <w:spacing w:line="440" w:lineRule="exact"/>
        <w:ind w:firstLine="360" w:firstLineChars="150"/>
        <w:rPr>
          <w:rFonts w:hint="eastAsia" w:ascii="宋体" w:hAnsi="宋体" w:cs="宋体"/>
          <w:sz w:val="24"/>
        </w:rPr>
      </w:pPr>
      <w:r>
        <w:rPr>
          <w:rFonts w:hint="eastAsia" w:ascii="宋体" w:hAnsi="宋体" w:cs="宋体"/>
          <w:sz w:val="24"/>
        </w:rPr>
        <w:t>（1）投标人必须在招标文件规定的递交截止时间之前在全国公共资源交易平台（陕西省）网站系统中上传电子版投标文件；</w:t>
      </w:r>
    </w:p>
    <w:p w14:paraId="3861F1B2">
      <w:pPr>
        <w:spacing w:line="440" w:lineRule="exact"/>
        <w:ind w:firstLine="360" w:firstLineChars="150"/>
        <w:rPr>
          <w:rFonts w:hint="eastAsia" w:ascii="宋体" w:hAnsi="宋体" w:cs="宋体"/>
          <w:sz w:val="24"/>
        </w:rPr>
      </w:pPr>
      <w:r>
        <w:rPr>
          <w:rFonts w:hint="eastAsia" w:ascii="宋体" w:hAnsi="宋体" w:cs="宋体"/>
          <w:sz w:val="24"/>
        </w:rPr>
        <w:t>（2）因采购人推迟投标截止时间时，采购代理机构应以澄清及变更公告的形式，通知所有投标人；在这种情况下，采购代理机构和投标人的权利和义务将受到新的截止期的约束。</w:t>
      </w:r>
    </w:p>
    <w:p w14:paraId="208214C7">
      <w:pPr>
        <w:spacing w:line="480" w:lineRule="auto"/>
        <w:jc w:val="center"/>
        <w:rPr>
          <w:rFonts w:hint="eastAsia" w:ascii="宋体" w:hAnsi="宋体" w:cs="宋体"/>
          <w:b/>
          <w:sz w:val="30"/>
          <w:szCs w:val="30"/>
        </w:rPr>
      </w:pPr>
      <w:r>
        <w:rPr>
          <w:rFonts w:hint="eastAsia" w:ascii="宋体" w:hAnsi="宋体" w:cs="宋体"/>
          <w:b/>
          <w:sz w:val="30"/>
          <w:szCs w:val="30"/>
        </w:rPr>
        <w:t>六、开标、评标、定标</w:t>
      </w:r>
    </w:p>
    <w:p w14:paraId="3963EB56">
      <w:pPr>
        <w:spacing w:line="520" w:lineRule="exact"/>
        <w:ind w:firstLine="420"/>
        <w:rPr>
          <w:rFonts w:hint="eastAsia" w:ascii="宋体" w:hAnsi="宋体" w:cs="宋体"/>
          <w:b/>
          <w:sz w:val="24"/>
        </w:rPr>
      </w:pPr>
      <w:r>
        <w:rPr>
          <w:rFonts w:hint="eastAsia" w:ascii="宋体" w:hAnsi="宋体" w:cs="宋体"/>
          <w:b/>
          <w:sz w:val="24"/>
        </w:rPr>
        <w:t>1.开标</w:t>
      </w:r>
    </w:p>
    <w:p w14:paraId="4948224D">
      <w:pPr>
        <w:adjustRightInd w:val="0"/>
        <w:snapToGrid w:val="0"/>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（1）采购代理机构按招标文件规定的时间、地点组织公开开标大会。</w:t>
      </w:r>
    </w:p>
    <w:p w14:paraId="6F58B890">
      <w:pPr>
        <w:adjustRightInd w:val="0"/>
        <w:snapToGrid w:val="0"/>
        <w:spacing w:line="360" w:lineRule="auto"/>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（2）开标大会由采购代理机构主持，采购人参会人员及有关工作人员参加，投标人代表在</w:t>
      </w:r>
      <w:r>
        <w:rPr>
          <w:rFonts w:hint="eastAsia" w:ascii="宋体" w:hAnsi="宋体" w:cs="宋体"/>
          <w:color w:val="333333"/>
          <w:sz w:val="24"/>
          <w:shd w:val="clear" w:color="auto" w:fill="FFFFFF"/>
        </w:rPr>
        <w:t>全国公共资源交易平台（陕西省·延安市）本项目包不见面开标大厅签到</w:t>
      </w:r>
      <w:r>
        <w:rPr>
          <w:rFonts w:hint="eastAsia" w:ascii="宋体" w:hAnsi="宋体" w:cs="宋体"/>
          <w:color w:val="000000" w:themeColor="text1"/>
          <w:sz w:val="24"/>
          <w14:textFill>
            <w14:solidFill>
              <w14:schemeClr w14:val="tx1"/>
            </w14:solidFill>
          </w14:textFill>
        </w:rPr>
        <w:t>，以证明其出席。</w:t>
      </w:r>
    </w:p>
    <w:p w14:paraId="39AD6F4A">
      <w:pPr>
        <w:spacing w:line="360" w:lineRule="auto"/>
        <w:ind w:firstLine="480" w:firstLineChars="200"/>
        <w:rPr>
          <w:rFonts w:hint="eastAsia" w:ascii="宋体" w:hAnsi="宋体" w:cs="宋体"/>
          <w:b/>
          <w:sz w:val="24"/>
        </w:rPr>
      </w:pPr>
      <w:r>
        <w:rPr>
          <w:rFonts w:hint="eastAsia" w:ascii="宋体" w:hAnsi="宋体" w:cs="宋体"/>
          <w:color w:val="000000" w:themeColor="text1"/>
          <w:sz w:val="24"/>
          <w14:textFill>
            <w14:solidFill>
              <w14:schemeClr w14:val="tx1"/>
            </w14:solidFill>
          </w14:textFill>
        </w:rPr>
        <w:t>（3）开标以</w:t>
      </w:r>
      <w:r>
        <w:rPr>
          <w:rFonts w:hint="eastAsia" w:ascii="宋体" w:hAnsi="宋体" w:cs="宋体"/>
          <w:color w:val="333333"/>
          <w:sz w:val="24"/>
          <w:shd w:val="clear" w:color="auto" w:fill="FFFFFF"/>
        </w:rPr>
        <w:t>全国公共资源交易平台（陕西省·延安市）线上不见面开标</w:t>
      </w:r>
      <w:r>
        <w:rPr>
          <w:rFonts w:hint="eastAsia" w:ascii="宋体" w:hAnsi="宋体" w:cs="宋体"/>
          <w:color w:val="000000" w:themeColor="text1"/>
          <w:sz w:val="24"/>
          <w14:textFill>
            <w14:solidFill>
              <w14:schemeClr w14:val="tx1"/>
            </w14:solidFill>
          </w14:textFill>
        </w:rPr>
        <w:t>流程为准</w:t>
      </w:r>
      <w:r>
        <w:rPr>
          <w:rFonts w:hint="eastAsia" w:ascii="宋体" w:hAnsi="宋体" w:cs="宋体"/>
          <w:bCs/>
          <w:sz w:val="24"/>
        </w:rPr>
        <w:t>。</w:t>
      </w:r>
    </w:p>
    <w:p w14:paraId="4D9330D7">
      <w:pPr>
        <w:spacing w:line="360" w:lineRule="auto"/>
        <w:ind w:firstLine="420"/>
        <w:rPr>
          <w:rFonts w:hint="eastAsia" w:ascii="宋体" w:hAnsi="宋体" w:cs="宋体"/>
          <w:b/>
          <w:sz w:val="24"/>
        </w:rPr>
      </w:pPr>
      <w:r>
        <w:rPr>
          <w:rFonts w:hint="eastAsia" w:ascii="宋体" w:hAnsi="宋体" w:cs="宋体"/>
          <w:b/>
          <w:sz w:val="24"/>
        </w:rPr>
        <w:t>2.评标委员会组成与职责</w:t>
      </w:r>
    </w:p>
    <w:p w14:paraId="22C58279">
      <w:pPr>
        <w:spacing w:line="360" w:lineRule="auto"/>
        <w:ind w:firstLine="480" w:firstLineChars="200"/>
        <w:rPr>
          <w:rFonts w:hint="eastAsia" w:ascii="宋体" w:hAnsi="宋体" w:cs="宋体"/>
          <w:sz w:val="24"/>
        </w:rPr>
      </w:pPr>
      <w:r>
        <w:rPr>
          <w:rFonts w:hint="eastAsia" w:ascii="宋体" w:hAnsi="宋体" w:cs="宋体"/>
          <w:sz w:val="24"/>
        </w:rPr>
        <w:t>2.1为确保评标工作公开、公平、公正，依法成立评标委员会。评标委员会由采购人代表及评审专家组成，成员人数为5人以上单数，其中评审专家不得少于成员总数的三分之二，采购预算金额在1000万元以上、技术复杂的项目或者社会影响较大的项目，评标委员会成员应当为7人以上。专家名单由有关人员从省级以上的财政部门设立的政府采购评审专家库中随机抽取，评标委员会成员应当遵守并履行下列责任和义务：</w:t>
      </w:r>
    </w:p>
    <w:p w14:paraId="0E2B11AF">
      <w:pPr>
        <w:spacing w:line="360" w:lineRule="auto"/>
        <w:ind w:firstLine="600" w:firstLineChars="250"/>
        <w:rPr>
          <w:rFonts w:hint="eastAsia" w:ascii="宋体" w:hAnsi="宋体" w:cs="宋体"/>
          <w:sz w:val="24"/>
        </w:rPr>
      </w:pPr>
      <w:r>
        <w:rPr>
          <w:rFonts w:hint="eastAsia" w:ascii="宋体" w:hAnsi="宋体" w:cs="宋体"/>
          <w:sz w:val="24"/>
        </w:rPr>
        <w:t>A、要严格遵守政府采购相关法律制度，依法履行各自职责，公正、客观、审慎地组织和参与评审工作；</w:t>
      </w:r>
    </w:p>
    <w:p w14:paraId="2552231E">
      <w:pPr>
        <w:spacing w:line="360" w:lineRule="auto"/>
        <w:ind w:firstLine="600" w:firstLineChars="250"/>
        <w:rPr>
          <w:rFonts w:hint="eastAsia" w:ascii="宋体" w:hAnsi="宋体" w:cs="宋体"/>
          <w:sz w:val="24"/>
        </w:rPr>
      </w:pPr>
      <w:r>
        <w:rPr>
          <w:rFonts w:hint="eastAsia" w:ascii="宋体" w:hAnsi="宋体" w:cs="宋体"/>
          <w:sz w:val="24"/>
        </w:rPr>
        <w:t>B、审查、评价投标文件是否符合招标文件的商务、技术等实质性要求；</w:t>
      </w:r>
    </w:p>
    <w:p w14:paraId="5B1A06BF">
      <w:pPr>
        <w:spacing w:line="360" w:lineRule="auto"/>
        <w:ind w:firstLine="600" w:firstLineChars="250"/>
        <w:rPr>
          <w:rFonts w:hint="eastAsia" w:ascii="宋体" w:hAnsi="宋体" w:cs="宋体"/>
          <w:sz w:val="24"/>
        </w:rPr>
      </w:pPr>
      <w:r>
        <w:rPr>
          <w:rFonts w:hint="eastAsia" w:ascii="宋体" w:hAnsi="宋体" w:cs="宋体"/>
          <w:sz w:val="24"/>
        </w:rPr>
        <w:t>C、要求投标人对投标文件有关事项作出澄清或说明；</w:t>
      </w:r>
    </w:p>
    <w:p w14:paraId="1081A6DB">
      <w:pPr>
        <w:spacing w:line="360" w:lineRule="auto"/>
        <w:ind w:firstLine="600" w:firstLineChars="250"/>
        <w:rPr>
          <w:rFonts w:hint="eastAsia" w:ascii="宋体" w:hAnsi="宋体" w:cs="宋体"/>
          <w:sz w:val="24"/>
        </w:rPr>
      </w:pPr>
      <w:r>
        <w:rPr>
          <w:rFonts w:hint="eastAsia" w:ascii="宋体" w:hAnsi="宋体" w:cs="宋体"/>
          <w:sz w:val="24"/>
        </w:rPr>
        <w:t>D、按招标文件规定的评审方法和标准，对投标文件进行比较和评价；对投标人的客观评分项的评分应当一致；</w:t>
      </w:r>
    </w:p>
    <w:p w14:paraId="58EACE63">
      <w:pPr>
        <w:spacing w:line="360" w:lineRule="auto"/>
        <w:ind w:firstLine="600" w:firstLineChars="250"/>
        <w:rPr>
          <w:rFonts w:hint="eastAsia" w:ascii="宋体" w:hAnsi="宋体" w:cs="宋体"/>
          <w:sz w:val="24"/>
        </w:rPr>
      </w:pPr>
      <w:r>
        <w:rPr>
          <w:rFonts w:hint="eastAsia" w:ascii="宋体" w:hAnsi="宋体" w:cs="宋体"/>
          <w:sz w:val="24"/>
        </w:rPr>
        <w:t>E、要依法独立评审，按照招标文件的要求和评标标准进行评标，推荐中标候选人名单，对评审意见承担个人责任；</w:t>
      </w:r>
    </w:p>
    <w:p w14:paraId="42FC99F6">
      <w:pPr>
        <w:spacing w:line="360" w:lineRule="auto"/>
        <w:ind w:firstLine="600" w:firstLineChars="250"/>
        <w:rPr>
          <w:rFonts w:hint="eastAsia" w:ascii="宋体" w:hAnsi="宋体" w:cs="宋体"/>
          <w:sz w:val="24"/>
        </w:rPr>
      </w:pPr>
      <w:r>
        <w:rPr>
          <w:rFonts w:hint="eastAsia" w:ascii="宋体" w:hAnsi="宋体" w:cs="宋体"/>
          <w:sz w:val="24"/>
        </w:rPr>
        <w:t xml:space="preserve">F、对需要共同认定的事项存在争议的，按照少数服从多数的原则做出结论。持不同意见的评审委员会成员应当在评审报告上签署不同意见并说明理由，否则视为同意； </w:t>
      </w:r>
    </w:p>
    <w:p w14:paraId="6FAB3EB7">
      <w:pPr>
        <w:spacing w:line="360" w:lineRule="auto"/>
        <w:ind w:firstLine="600" w:firstLineChars="250"/>
        <w:rPr>
          <w:rFonts w:hint="eastAsia" w:ascii="宋体" w:hAnsi="宋体" w:cs="宋体"/>
          <w:sz w:val="24"/>
        </w:rPr>
      </w:pPr>
      <w:r>
        <w:rPr>
          <w:rFonts w:hint="eastAsia" w:ascii="宋体" w:hAnsi="宋体" w:cs="宋体"/>
          <w:sz w:val="24"/>
        </w:rPr>
        <w:t>G、对评审情况以及在评审过程中获悉的国家秘密、商业秘密负有保密责任；</w:t>
      </w:r>
    </w:p>
    <w:p w14:paraId="1791F635">
      <w:pPr>
        <w:spacing w:line="360" w:lineRule="auto"/>
        <w:ind w:firstLine="600" w:firstLineChars="250"/>
        <w:rPr>
          <w:rFonts w:hint="eastAsia" w:ascii="宋体" w:hAnsi="宋体" w:cs="宋体"/>
          <w:sz w:val="24"/>
        </w:rPr>
      </w:pPr>
      <w:r>
        <w:rPr>
          <w:rFonts w:hint="eastAsia" w:ascii="宋体" w:hAnsi="宋体" w:cs="宋体"/>
          <w:sz w:val="24"/>
        </w:rPr>
        <w:t>H、向采购人、采购代理机构或者有关部门报告评标中发现的违法行为；</w:t>
      </w:r>
    </w:p>
    <w:p w14:paraId="559F0F51">
      <w:pPr>
        <w:spacing w:line="360" w:lineRule="auto"/>
        <w:ind w:firstLine="600" w:firstLineChars="250"/>
        <w:rPr>
          <w:rFonts w:hint="eastAsia" w:ascii="宋体" w:hAnsi="宋体" w:cs="宋体"/>
          <w:sz w:val="24"/>
        </w:rPr>
      </w:pPr>
      <w:r>
        <w:rPr>
          <w:rFonts w:hint="eastAsia" w:ascii="宋体" w:hAnsi="宋体" w:cs="宋体"/>
          <w:sz w:val="24"/>
        </w:rPr>
        <w:t>I、配合采购人、采购代理机构答复投标人提出的质疑；</w:t>
      </w:r>
    </w:p>
    <w:p w14:paraId="521B7BE1">
      <w:pPr>
        <w:spacing w:line="360" w:lineRule="auto"/>
        <w:ind w:firstLine="600" w:firstLineChars="250"/>
        <w:rPr>
          <w:rFonts w:hint="eastAsia" w:ascii="宋体" w:hAnsi="宋体" w:cs="宋体"/>
          <w:sz w:val="24"/>
        </w:rPr>
      </w:pPr>
      <w:r>
        <w:rPr>
          <w:rFonts w:hint="eastAsia" w:ascii="宋体" w:hAnsi="宋体" w:cs="宋体"/>
          <w:sz w:val="24"/>
        </w:rPr>
        <w:t>J、配合财政部门处理投诉工作。</w:t>
      </w:r>
    </w:p>
    <w:p w14:paraId="036C3E55">
      <w:pPr>
        <w:pStyle w:val="14"/>
        <w:shd w:val="clear" w:color="auto" w:fill="FFFFFF"/>
        <w:spacing w:before="0" w:beforeAutospacing="0" w:after="0" w:afterAutospacing="0" w:line="360" w:lineRule="auto"/>
        <w:ind w:firstLine="480" w:firstLineChars="200"/>
        <w:rPr>
          <w:rFonts w:hint="eastAsia" w:ascii="宋体" w:hAnsi="宋体" w:cs="宋体"/>
          <w:bCs/>
          <w:kern w:val="2"/>
          <w:szCs w:val="24"/>
        </w:rPr>
      </w:pPr>
      <w:r>
        <w:rPr>
          <w:rFonts w:hint="eastAsia" w:ascii="宋体" w:hAnsi="宋体" w:cs="宋体"/>
          <w:bCs/>
          <w:kern w:val="2"/>
          <w:szCs w:val="24"/>
        </w:rPr>
        <w:t>对技术复杂、专业性强的采购项目，通过随机方式难以确定合适评审专家的，经主管预算单位同意，采购人或采购代理机构可以自行选定相应专业领域的评审专家。</w:t>
      </w:r>
    </w:p>
    <w:p w14:paraId="6AA00351">
      <w:pPr>
        <w:spacing w:line="360" w:lineRule="auto"/>
        <w:ind w:left="120" w:leftChars="57" w:firstLine="360" w:firstLineChars="150"/>
        <w:rPr>
          <w:rFonts w:hint="eastAsia" w:ascii="宋体" w:hAnsi="宋体" w:cs="宋体"/>
          <w:sz w:val="24"/>
        </w:rPr>
      </w:pPr>
      <w:r>
        <w:rPr>
          <w:rFonts w:hint="eastAsia" w:ascii="宋体" w:hAnsi="宋体" w:cs="宋体"/>
          <w:sz w:val="24"/>
        </w:rPr>
        <w:t>2.2评标委会成员到位后，推荐一名评审专家担任评标组长，并由评标组长牵头组织该项目评标工作，采购人授权的评审专家，不得担任评标组长。</w:t>
      </w:r>
    </w:p>
    <w:p w14:paraId="17AC1C5C">
      <w:pPr>
        <w:spacing w:line="360" w:lineRule="auto"/>
        <w:ind w:left="120" w:leftChars="57" w:firstLine="360" w:firstLineChars="150"/>
        <w:rPr>
          <w:rFonts w:hint="eastAsia" w:ascii="宋体" w:hAnsi="宋体" w:cs="宋体"/>
          <w:sz w:val="24"/>
        </w:rPr>
      </w:pPr>
      <w:r>
        <w:rPr>
          <w:rFonts w:hint="eastAsia" w:ascii="宋体" w:hAnsi="宋体" w:cs="宋体"/>
          <w:sz w:val="24"/>
        </w:rPr>
        <w:t>2.3评委会成员有下列情形之一的，应当回避：</w:t>
      </w:r>
    </w:p>
    <w:p w14:paraId="40C8B868">
      <w:pPr>
        <w:spacing w:line="360" w:lineRule="auto"/>
        <w:ind w:left="120" w:leftChars="57" w:firstLine="360" w:firstLineChars="150"/>
        <w:rPr>
          <w:rFonts w:hint="eastAsia" w:ascii="宋体" w:hAnsi="宋体" w:cs="宋体"/>
          <w:sz w:val="24"/>
        </w:rPr>
      </w:pPr>
      <w:r>
        <w:rPr>
          <w:rFonts w:hint="eastAsia" w:ascii="宋体" w:hAnsi="宋体" w:cs="宋体"/>
          <w:sz w:val="24"/>
        </w:rPr>
        <w:t>（1）采购人或投标人主要负责人的近亲属；</w:t>
      </w:r>
    </w:p>
    <w:p w14:paraId="6F575674">
      <w:pPr>
        <w:spacing w:line="360" w:lineRule="auto"/>
        <w:ind w:left="120" w:leftChars="57" w:firstLine="360" w:firstLineChars="150"/>
        <w:rPr>
          <w:rFonts w:hint="eastAsia" w:ascii="宋体" w:hAnsi="宋体" w:cs="宋体"/>
          <w:sz w:val="24"/>
        </w:rPr>
      </w:pPr>
      <w:r>
        <w:rPr>
          <w:rFonts w:hint="eastAsia" w:ascii="宋体" w:hAnsi="宋体" w:cs="宋体"/>
          <w:sz w:val="24"/>
        </w:rPr>
        <w:t>（2）与投标人有经济利益关系，可能影响对投标公正评审的；</w:t>
      </w:r>
    </w:p>
    <w:p w14:paraId="049C96D5">
      <w:pPr>
        <w:spacing w:line="360" w:lineRule="auto"/>
        <w:ind w:left="120" w:leftChars="57" w:firstLine="360" w:firstLineChars="150"/>
        <w:rPr>
          <w:rFonts w:hint="eastAsia" w:ascii="宋体" w:hAnsi="宋体" w:cs="宋体"/>
          <w:sz w:val="24"/>
        </w:rPr>
      </w:pPr>
      <w:r>
        <w:rPr>
          <w:rFonts w:hint="eastAsia" w:ascii="宋体" w:hAnsi="宋体" w:cs="宋体"/>
          <w:sz w:val="24"/>
        </w:rPr>
        <w:t>（3）曾因在招标、评标以及其他与招标投标有关活动中从事违法行为而受过行政处罚或刑事处罚的。</w:t>
      </w:r>
    </w:p>
    <w:p w14:paraId="06531212">
      <w:pPr>
        <w:spacing w:line="360" w:lineRule="auto"/>
        <w:ind w:firstLine="420"/>
        <w:rPr>
          <w:rFonts w:hint="eastAsia" w:ascii="宋体" w:hAnsi="宋体" w:cs="宋体"/>
          <w:sz w:val="24"/>
        </w:rPr>
      </w:pPr>
      <w:r>
        <w:rPr>
          <w:rFonts w:hint="eastAsia" w:ascii="宋体" w:hAnsi="宋体" w:cs="宋体"/>
          <w:sz w:val="24"/>
        </w:rPr>
        <w:t>2.4 评委会成员名单在中标结果公告前，应当保密。</w:t>
      </w:r>
    </w:p>
    <w:p w14:paraId="3BE8E1DB">
      <w:pPr>
        <w:spacing w:line="440" w:lineRule="exact"/>
        <w:ind w:firstLine="420"/>
        <w:rPr>
          <w:rFonts w:hint="eastAsia" w:ascii="宋体" w:hAnsi="宋体" w:cs="宋体"/>
          <w:b/>
          <w:sz w:val="24"/>
        </w:rPr>
      </w:pPr>
      <w:r>
        <w:rPr>
          <w:rFonts w:hint="eastAsia" w:ascii="宋体" w:hAnsi="宋体" w:cs="宋体"/>
          <w:b/>
          <w:sz w:val="24"/>
        </w:rPr>
        <w:t>3.投标人资格审查</w:t>
      </w:r>
    </w:p>
    <w:p w14:paraId="702D5391">
      <w:pPr>
        <w:overflowPunct w:val="0"/>
        <w:adjustRightInd w:val="0"/>
        <w:snapToGrid w:val="0"/>
        <w:spacing w:line="500" w:lineRule="exact"/>
        <w:ind w:firstLine="420"/>
        <w:rPr>
          <w:rFonts w:hint="eastAsia" w:ascii="宋体" w:hAnsi="宋体" w:cs="宋体"/>
          <w:kern w:val="0"/>
          <w:sz w:val="24"/>
        </w:rPr>
      </w:pPr>
      <w:r>
        <w:rPr>
          <w:rFonts w:hint="eastAsia" w:ascii="宋体" w:hAnsi="宋体" w:cs="宋体"/>
          <w:kern w:val="0"/>
          <w:sz w:val="24"/>
        </w:rPr>
        <w:t>3.1 投标人的资格性审查</w:t>
      </w:r>
    </w:p>
    <w:p w14:paraId="15EBC6AF">
      <w:pPr>
        <w:overflowPunct w:val="0"/>
        <w:adjustRightInd w:val="0"/>
        <w:snapToGrid w:val="0"/>
        <w:spacing w:line="500" w:lineRule="exact"/>
        <w:ind w:firstLine="480" w:firstLineChars="200"/>
        <w:rPr>
          <w:rFonts w:hint="eastAsia" w:ascii="宋体" w:hAnsi="宋体" w:cs="宋体"/>
          <w:kern w:val="0"/>
          <w:sz w:val="24"/>
        </w:rPr>
      </w:pPr>
      <w:r>
        <w:rPr>
          <w:rFonts w:hint="eastAsia" w:ascii="宋体" w:hAnsi="宋体" w:cs="宋体"/>
          <w:kern w:val="0"/>
          <w:sz w:val="24"/>
        </w:rPr>
        <w:t>依据法律法规和招标文件的规定，由采购人或代理机构对投标人的资格证明文件进行审查，以确保投标人是否具备相应资格。</w:t>
      </w:r>
    </w:p>
    <w:p w14:paraId="1131D55C">
      <w:pPr>
        <w:overflowPunct w:val="0"/>
        <w:adjustRightInd w:val="0"/>
        <w:snapToGrid w:val="0"/>
        <w:spacing w:line="500" w:lineRule="exact"/>
        <w:ind w:left="420"/>
        <w:rPr>
          <w:rFonts w:hint="eastAsia" w:ascii="宋体" w:hAnsi="宋体" w:cs="宋体"/>
          <w:kern w:val="0"/>
          <w:sz w:val="24"/>
        </w:rPr>
      </w:pPr>
      <w:r>
        <w:rPr>
          <w:rFonts w:hint="eastAsia" w:ascii="宋体" w:hAnsi="宋体" w:cs="宋体"/>
          <w:kern w:val="0"/>
          <w:sz w:val="24"/>
        </w:rPr>
        <w:t xml:space="preserve"> 3.2 投标文件符合性审查</w:t>
      </w:r>
    </w:p>
    <w:p w14:paraId="3FD2DD39">
      <w:pPr>
        <w:pStyle w:val="8"/>
        <w:snapToGrid w:val="0"/>
        <w:spacing w:line="360" w:lineRule="auto"/>
        <w:ind w:firstLine="480"/>
        <w:rPr>
          <w:rFonts w:hint="eastAsia" w:hAnsi="宋体" w:cs="宋体"/>
          <w:sz w:val="24"/>
          <w:szCs w:val="24"/>
        </w:rPr>
      </w:pPr>
      <w:r>
        <w:rPr>
          <w:rFonts w:hint="eastAsia" w:hAnsi="宋体" w:cs="宋体"/>
          <w:kern w:val="0"/>
          <w:sz w:val="24"/>
          <w:szCs w:val="24"/>
        </w:rPr>
        <w:t>依据法律法规和招标文件的规定，由评标委员会对符合资格要求的投标人的投标文件有效性、完整性和对招标文件的响应程度进行符合性审查，以确定是否对招标文件的实质性内容作出响应。</w:t>
      </w:r>
      <w:r>
        <w:rPr>
          <w:rFonts w:hint="eastAsia" w:hAnsi="宋体" w:cs="宋体"/>
          <w:sz w:val="24"/>
          <w:szCs w:val="24"/>
        </w:rPr>
        <w:t>投标文件的符合性评审（合格性、完整性、有效性），具体审查：</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8"/>
        <w:gridCol w:w="6708"/>
        <w:gridCol w:w="1927"/>
      </w:tblGrid>
      <w:tr w14:paraId="16DB6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532" w:type="pct"/>
            <w:vAlign w:val="center"/>
          </w:tcPr>
          <w:p w14:paraId="177DB365">
            <w:pPr>
              <w:spacing w:line="240" w:lineRule="auto"/>
              <w:jc w:val="center"/>
              <w:rPr>
                <w:rFonts w:hint="eastAsia" w:ascii="宋体" w:hAnsi="宋体" w:cs="宋体"/>
                <w:sz w:val="24"/>
              </w:rPr>
            </w:pPr>
            <w:r>
              <w:rPr>
                <w:rFonts w:hint="eastAsia" w:ascii="宋体" w:hAnsi="宋体" w:cs="宋体"/>
                <w:b/>
                <w:sz w:val="24"/>
              </w:rPr>
              <w:t>序号</w:t>
            </w:r>
          </w:p>
        </w:tc>
        <w:tc>
          <w:tcPr>
            <w:tcW w:w="3470" w:type="pct"/>
            <w:vAlign w:val="center"/>
          </w:tcPr>
          <w:p w14:paraId="4C57DB72">
            <w:pPr>
              <w:spacing w:line="240" w:lineRule="auto"/>
              <w:jc w:val="center"/>
              <w:rPr>
                <w:rFonts w:hint="eastAsia" w:ascii="宋体" w:hAnsi="宋体" w:cs="宋体"/>
                <w:sz w:val="24"/>
              </w:rPr>
            </w:pPr>
            <w:r>
              <w:rPr>
                <w:rFonts w:hint="eastAsia" w:ascii="宋体" w:hAnsi="宋体" w:cs="宋体"/>
                <w:b/>
                <w:sz w:val="24"/>
              </w:rPr>
              <w:t>符合性审查内容</w:t>
            </w:r>
          </w:p>
        </w:tc>
        <w:tc>
          <w:tcPr>
            <w:tcW w:w="997" w:type="pct"/>
            <w:vAlign w:val="center"/>
          </w:tcPr>
          <w:p w14:paraId="618A6F44">
            <w:pPr>
              <w:spacing w:line="240" w:lineRule="auto"/>
              <w:jc w:val="center"/>
              <w:rPr>
                <w:rFonts w:hint="eastAsia" w:ascii="宋体" w:hAnsi="宋体" w:cs="宋体"/>
                <w:sz w:val="24"/>
              </w:rPr>
            </w:pPr>
            <w:r>
              <w:rPr>
                <w:rFonts w:hint="eastAsia" w:ascii="宋体" w:hAnsi="宋体" w:cs="宋体"/>
                <w:b/>
                <w:sz w:val="24"/>
              </w:rPr>
              <w:t>结论</w:t>
            </w:r>
          </w:p>
        </w:tc>
      </w:tr>
      <w:tr w14:paraId="20944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532" w:type="pct"/>
          </w:tcPr>
          <w:p w14:paraId="7B43F0C6">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1</w:t>
            </w:r>
          </w:p>
        </w:tc>
        <w:tc>
          <w:tcPr>
            <w:tcW w:w="3470" w:type="pct"/>
          </w:tcPr>
          <w:p w14:paraId="7878D250">
            <w:pPr>
              <w:pStyle w:val="8"/>
              <w:overflowPunct w:val="0"/>
              <w:adjustRightInd w:val="0"/>
              <w:snapToGrid w:val="0"/>
              <w:spacing w:line="360" w:lineRule="auto"/>
              <w:rPr>
                <w:rFonts w:hint="eastAsia" w:hAnsi="宋体" w:cs="宋体"/>
                <w:sz w:val="24"/>
              </w:rPr>
            </w:pPr>
            <w:r>
              <w:rPr>
                <w:rFonts w:hint="eastAsia" w:hAnsi="宋体" w:cs="宋体"/>
                <w:sz w:val="24"/>
              </w:rPr>
              <w:t>投标文件封面、投标函、法定代表人授权委托书三处的项目名称、项目编号，三处均无遗漏，且与所投项目名称、项目编号完全一致。</w:t>
            </w:r>
          </w:p>
        </w:tc>
        <w:tc>
          <w:tcPr>
            <w:tcW w:w="997" w:type="pct"/>
          </w:tcPr>
          <w:p w14:paraId="4E2946F7">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合格/不合格</w:t>
            </w:r>
          </w:p>
        </w:tc>
      </w:tr>
      <w:tr w14:paraId="232B8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532" w:type="pct"/>
          </w:tcPr>
          <w:p w14:paraId="747FED92">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2</w:t>
            </w:r>
          </w:p>
        </w:tc>
        <w:tc>
          <w:tcPr>
            <w:tcW w:w="3470" w:type="pct"/>
          </w:tcPr>
          <w:p w14:paraId="6AC9E901">
            <w:pPr>
              <w:pStyle w:val="8"/>
              <w:overflowPunct w:val="0"/>
              <w:adjustRightInd w:val="0"/>
              <w:snapToGrid w:val="0"/>
              <w:spacing w:line="360" w:lineRule="auto"/>
              <w:rPr>
                <w:rFonts w:hint="eastAsia" w:hAnsi="宋体" w:cs="宋体"/>
                <w:sz w:val="24"/>
              </w:rPr>
            </w:pPr>
            <w:r>
              <w:rPr>
                <w:rFonts w:hint="eastAsia" w:hAnsi="宋体" w:cs="宋体"/>
                <w:sz w:val="24"/>
              </w:rPr>
              <w:t>投标文件签署、盖章是否符合招标文件要求，且无遗漏；</w:t>
            </w:r>
          </w:p>
        </w:tc>
        <w:tc>
          <w:tcPr>
            <w:tcW w:w="997" w:type="pct"/>
          </w:tcPr>
          <w:p w14:paraId="5EFCCC03">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合格/不合格</w:t>
            </w:r>
          </w:p>
        </w:tc>
      </w:tr>
      <w:tr w14:paraId="59774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2" w:type="pct"/>
          </w:tcPr>
          <w:p w14:paraId="5872C9EF">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3</w:t>
            </w:r>
          </w:p>
        </w:tc>
        <w:tc>
          <w:tcPr>
            <w:tcW w:w="3470" w:type="pct"/>
          </w:tcPr>
          <w:p w14:paraId="46B9C88A">
            <w:pPr>
              <w:pStyle w:val="8"/>
              <w:overflowPunct w:val="0"/>
              <w:adjustRightInd w:val="0"/>
              <w:snapToGrid w:val="0"/>
              <w:spacing w:line="360" w:lineRule="auto"/>
              <w:rPr>
                <w:rFonts w:hint="eastAsia" w:hAnsi="宋体" w:cs="宋体"/>
                <w:sz w:val="24"/>
              </w:rPr>
            </w:pPr>
            <w:r>
              <w:rPr>
                <w:rFonts w:hint="eastAsia" w:hAnsi="宋体" w:cs="宋体"/>
                <w:sz w:val="24"/>
              </w:rPr>
              <w:t>交付期、质保期是否满足招标文件要求；</w:t>
            </w:r>
          </w:p>
        </w:tc>
        <w:tc>
          <w:tcPr>
            <w:tcW w:w="997" w:type="pct"/>
          </w:tcPr>
          <w:p w14:paraId="604F337E">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合格/不合格</w:t>
            </w:r>
          </w:p>
        </w:tc>
      </w:tr>
      <w:tr w14:paraId="4CEA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2" w:type="pct"/>
          </w:tcPr>
          <w:p w14:paraId="51207D3D">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4</w:t>
            </w:r>
          </w:p>
        </w:tc>
        <w:tc>
          <w:tcPr>
            <w:tcW w:w="3470" w:type="pct"/>
          </w:tcPr>
          <w:p w14:paraId="66716CFE">
            <w:pPr>
              <w:pStyle w:val="8"/>
              <w:overflowPunct w:val="0"/>
              <w:adjustRightInd w:val="0"/>
              <w:snapToGrid w:val="0"/>
              <w:spacing w:line="360" w:lineRule="auto"/>
              <w:rPr>
                <w:rFonts w:hint="eastAsia" w:hAnsi="宋体" w:cs="宋体"/>
                <w:sz w:val="24"/>
              </w:rPr>
            </w:pPr>
            <w:r>
              <w:rPr>
                <w:rFonts w:hint="eastAsia" w:hAnsi="宋体" w:cs="宋体"/>
                <w:sz w:val="24"/>
              </w:rPr>
              <w:t>投标有效期是否满足招标文件要求；</w:t>
            </w:r>
          </w:p>
        </w:tc>
        <w:tc>
          <w:tcPr>
            <w:tcW w:w="997" w:type="pct"/>
          </w:tcPr>
          <w:p w14:paraId="286F3254">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合格/不合格</w:t>
            </w:r>
          </w:p>
        </w:tc>
      </w:tr>
      <w:tr w14:paraId="6DF75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2" w:type="pct"/>
          </w:tcPr>
          <w:p w14:paraId="5BB54ED2">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5</w:t>
            </w:r>
          </w:p>
        </w:tc>
        <w:tc>
          <w:tcPr>
            <w:tcW w:w="3470" w:type="pct"/>
          </w:tcPr>
          <w:p w14:paraId="559DB337">
            <w:pPr>
              <w:pStyle w:val="8"/>
              <w:overflowPunct w:val="0"/>
              <w:adjustRightInd w:val="0"/>
              <w:snapToGrid w:val="0"/>
              <w:spacing w:line="360" w:lineRule="auto"/>
              <w:rPr>
                <w:rFonts w:hint="eastAsia" w:hAnsi="宋体" w:cs="宋体"/>
                <w:sz w:val="24"/>
              </w:rPr>
            </w:pPr>
            <w:r>
              <w:rPr>
                <w:rFonts w:hint="eastAsia" w:hAnsi="宋体" w:cs="宋体"/>
                <w:sz w:val="24"/>
              </w:rPr>
              <w:t>投标报价：同时满足以下条款：</w:t>
            </w:r>
          </w:p>
          <w:p w14:paraId="1DF13886">
            <w:pPr>
              <w:pStyle w:val="8"/>
              <w:numPr>
                <w:ilvl w:val="0"/>
                <w:numId w:val="2"/>
              </w:numPr>
              <w:overflowPunct w:val="0"/>
              <w:adjustRightInd w:val="0"/>
              <w:snapToGrid w:val="0"/>
              <w:spacing w:line="360" w:lineRule="auto"/>
              <w:rPr>
                <w:rFonts w:hint="eastAsia" w:hAnsi="宋体" w:cs="宋体"/>
                <w:sz w:val="24"/>
              </w:rPr>
            </w:pPr>
            <w:r>
              <w:rPr>
                <w:rFonts w:hint="eastAsia" w:hAnsi="宋体" w:cs="宋体"/>
                <w:sz w:val="24"/>
              </w:rPr>
              <w:t>投标报价符合唯一性要求：</w:t>
            </w:r>
          </w:p>
          <w:p w14:paraId="4A12239A">
            <w:pPr>
              <w:pStyle w:val="8"/>
              <w:numPr>
                <w:ilvl w:val="0"/>
                <w:numId w:val="2"/>
              </w:numPr>
              <w:overflowPunct w:val="0"/>
              <w:adjustRightInd w:val="0"/>
              <w:snapToGrid w:val="0"/>
              <w:spacing w:line="360" w:lineRule="auto"/>
              <w:rPr>
                <w:rFonts w:hint="eastAsia" w:hAnsi="宋体" w:cs="宋体"/>
                <w:sz w:val="24"/>
              </w:rPr>
            </w:pPr>
            <w:r>
              <w:rPr>
                <w:rFonts w:hint="eastAsia" w:hAnsi="宋体" w:cs="宋体"/>
                <w:sz w:val="24"/>
              </w:rPr>
              <w:t>开标一览表填写符合要求；</w:t>
            </w:r>
          </w:p>
          <w:p w14:paraId="34ECAA41">
            <w:pPr>
              <w:pStyle w:val="8"/>
              <w:numPr>
                <w:ilvl w:val="0"/>
                <w:numId w:val="2"/>
              </w:numPr>
              <w:overflowPunct w:val="0"/>
              <w:adjustRightInd w:val="0"/>
              <w:snapToGrid w:val="0"/>
              <w:spacing w:line="360" w:lineRule="auto"/>
              <w:rPr>
                <w:rFonts w:hint="eastAsia" w:hAnsi="宋体" w:cs="宋体"/>
                <w:sz w:val="24"/>
              </w:rPr>
            </w:pPr>
            <w:r>
              <w:rPr>
                <w:rFonts w:hint="eastAsia" w:hAnsi="宋体" w:cs="宋体"/>
                <w:sz w:val="24"/>
              </w:rPr>
              <w:t>计量单位、报价货币均符合招标文件要求；</w:t>
            </w:r>
          </w:p>
          <w:p w14:paraId="764C5B3F">
            <w:pPr>
              <w:pStyle w:val="8"/>
              <w:overflowPunct w:val="0"/>
              <w:adjustRightInd w:val="0"/>
              <w:snapToGrid w:val="0"/>
              <w:spacing w:line="360" w:lineRule="auto"/>
              <w:rPr>
                <w:rFonts w:hint="eastAsia" w:hAnsi="宋体" w:cs="宋体"/>
                <w:sz w:val="24"/>
              </w:rPr>
            </w:pPr>
            <w:r>
              <w:rPr>
                <w:rFonts w:hint="eastAsia" w:hAnsi="宋体" w:cs="宋体"/>
                <w:sz w:val="24"/>
              </w:rPr>
              <w:t>（4）未超出采购预算或招标文件规定的最高限价；</w:t>
            </w:r>
          </w:p>
        </w:tc>
        <w:tc>
          <w:tcPr>
            <w:tcW w:w="997" w:type="pct"/>
          </w:tcPr>
          <w:p w14:paraId="6A5585B5">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合格/不合格</w:t>
            </w:r>
          </w:p>
        </w:tc>
      </w:tr>
      <w:tr w14:paraId="1EFA8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2" w:type="pct"/>
          </w:tcPr>
          <w:p w14:paraId="4556DF79">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6</w:t>
            </w:r>
          </w:p>
        </w:tc>
        <w:tc>
          <w:tcPr>
            <w:tcW w:w="3470" w:type="pct"/>
          </w:tcPr>
          <w:p w14:paraId="30C80730">
            <w:pPr>
              <w:pStyle w:val="8"/>
              <w:overflowPunct w:val="0"/>
              <w:adjustRightInd w:val="0"/>
              <w:snapToGrid w:val="0"/>
              <w:spacing w:line="360" w:lineRule="auto"/>
              <w:rPr>
                <w:rFonts w:hint="eastAsia" w:hAnsi="宋体" w:cs="宋体"/>
                <w:sz w:val="24"/>
              </w:rPr>
            </w:pPr>
            <w:r>
              <w:rPr>
                <w:rFonts w:hint="eastAsia" w:hAnsi="宋体" w:cs="宋体"/>
                <w:sz w:val="24"/>
              </w:rPr>
              <w:t>技术/服务要求：是否完全理解并接受对合格供应商、合格的货物、工程或服务要求，技术/服务没有重大偏离和保留；</w:t>
            </w:r>
          </w:p>
        </w:tc>
        <w:tc>
          <w:tcPr>
            <w:tcW w:w="997" w:type="pct"/>
          </w:tcPr>
          <w:p w14:paraId="04C89B4D">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合格/不合格</w:t>
            </w:r>
          </w:p>
        </w:tc>
      </w:tr>
      <w:tr w14:paraId="3770B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32" w:type="pct"/>
          </w:tcPr>
          <w:p w14:paraId="0CABAC4C">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7</w:t>
            </w:r>
          </w:p>
        </w:tc>
        <w:tc>
          <w:tcPr>
            <w:tcW w:w="3470" w:type="pct"/>
          </w:tcPr>
          <w:p w14:paraId="30FDA093">
            <w:pPr>
              <w:pStyle w:val="8"/>
              <w:overflowPunct w:val="0"/>
              <w:adjustRightInd w:val="0"/>
              <w:snapToGrid w:val="0"/>
              <w:spacing w:line="360" w:lineRule="auto"/>
              <w:rPr>
                <w:rFonts w:hint="eastAsia" w:hAnsi="宋体" w:cs="宋体"/>
                <w:b/>
                <w:bCs/>
                <w:sz w:val="24"/>
              </w:rPr>
            </w:pPr>
            <w:r>
              <w:rPr>
                <w:rFonts w:hint="eastAsia" w:hAnsi="宋体" w:cs="宋体"/>
                <w:sz w:val="24"/>
              </w:rPr>
              <w:t>合同文本：是否完全理解并接受招标文件合同基本条款的要求。</w:t>
            </w:r>
          </w:p>
        </w:tc>
        <w:tc>
          <w:tcPr>
            <w:tcW w:w="997" w:type="pct"/>
          </w:tcPr>
          <w:p w14:paraId="0D05ED64">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合格/不合格</w:t>
            </w:r>
          </w:p>
        </w:tc>
      </w:tr>
      <w:tr w14:paraId="79204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2" w:type="pct"/>
          </w:tcPr>
          <w:p w14:paraId="7AD4AF86">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8</w:t>
            </w:r>
          </w:p>
        </w:tc>
        <w:tc>
          <w:tcPr>
            <w:tcW w:w="3470" w:type="pct"/>
          </w:tcPr>
          <w:p w14:paraId="4C5EAC14">
            <w:pPr>
              <w:pStyle w:val="8"/>
              <w:overflowPunct w:val="0"/>
              <w:adjustRightInd w:val="0"/>
              <w:snapToGrid w:val="0"/>
              <w:spacing w:line="360" w:lineRule="auto"/>
              <w:rPr>
                <w:rFonts w:hint="eastAsia" w:hAnsi="宋体" w:cs="宋体"/>
                <w:sz w:val="24"/>
              </w:rPr>
            </w:pPr>
            <w:r>
              <w:rPr>
                <w:rFonts w:hint="eastAsia" w:hAnsi="宋体" w:cs="宋体"/>
                <w:sz w:val="24"/>
              </w:rPr>
              <w:t>其他：完全理解并接受法律法规和招标文件对供应商的各项须知、规约要求和责任义务，没有出现法律法规或招标文件明确规定的其他被视为“无效投标”的情形。</w:t>
            </w:r>
          </w:p>
        </w:tc>
        <w:tc>
          <w:tcPr>
            <w:tcW w:w="997" w:type="pct"/>
          </w:tcPr>
          <w:p w14:paraId="66FC539B">
            <w:pPr>
              <w:overflowPunct w:val="0"/>
              <w:adjustRightInd w:val="0"/>
              <w:snapToGrid w:val="0"/>
              <w:spacing w:line="500" w:lineRule="exact"/>
              <w:jc w:val="center"/>
              <w:rPr>
                <w:rFonts w:hint="eastAsia" w:ascii="宋体" w:hAnsi="宋体" w:cs="宋体"/>
                <w:sz w:val="24"/>
              </w:rPr>
            </w:pPr>
            <w:r>
              <w:rPr>
                <w:rFonts w:hint="eastAsia" w:ascii="宋体" w:hAnsi="宋体" w:cs="宋体"/>
                <w:sz w:val="24"/>
              </w:rPr>
              <w:t>合格/不合格</w:t>
            </w:r>
          </w:p>
        </w:tc>
      </w:tr>
    </w:tbl>
    <w:p w14:paraId="656D0842">
      <w:pPr>
        <w:overflowPunct w:val="0"/>
        <w:adjustRightInd w:val="0"/>
        <w:snapToGrid w:val="0"/>
        <w:spacing w:line="500" w:lineRule="exact"/>
        <w:ind w:firstLine="480" w:firstLineChars="200"/>
        <w:rPr>
          <w:rFonts w:hint="eastAsia" w:ascii="宋体" w:hAnsi="宋体" w:cs="宋体"/>
          <w:kern w:val="0"/>
          <w:sz w:val="24"/>
        </w:rPr>
      </w:pPr>
      <w:r>
        <w:rPr>
          <w:rFonts w:hint="eastAsia" w:ascii="宋体" w:hAnsi="宋体" w:cs="宋体"/>
          <w:sz w:val="24"/>
        </w:rPr>
        <w:t>对通过审查的，被认为其投标文件完整、合格，投标有效，可进入下阶段的评标。</w:t>
      </w:r>
    </w:p>
    <w:p w14:paraId="22E2B926">
      <w:pPr>
        <w:overflowPunct w:val="0"/>
        <w:adjustRightInd w:val="0"/>
        <w:snapToGrid w:val="0"/>
        <w:spacing w:line="500" w:lineRule="exact"/>
        <w:ind w:firstLine="480" w:firstLineChars="200"/>
        <w:rPr>
          <w:rFonts w:hint="eastAsia" w:ascii="宋体" w:hAnsi="宋体" w:cs="宋体"/>
          <w:kern w:val="0"/>
          <w:sz w:val="24"/>
        </w:rPr>
      </w:pPr>
      <w:r>
        <w:rPr>
          <w:rFonts w:hint="eastAsia" w:ascii="宋体" w:hAnsi="宋体" w:cs="宋体"/>
          <w:kern w:val="0"/>
          <w:sz w:val="24"/>
        </w:rPr>
        <w:t xml:space="preserve"> 3.3 经过对投标人资格审查及投标文件符合性审查，出现下列情况者（但不限于），按无效投标处理：</w:t>
      </w:r>
    </w:p>
    <w:p w14:paraId="6EE5B33B">
      <w:pPr>
        <w:kinsoku w:val="0"/>
        <w:spacing w:line="360" w:lineRule="auto"/>
        <w:ind w:firstLine="600" w:firstLineChars="250"/>
        <w:rPr>
          <w:rFonts w:hint="eastAsia" w:ascii="宋体" w:hAnsi="宋体" w:cs="宋体"/>
          <w:sz w:val="24"/>
        </w:rPr>
      </w:pPr>
      <w:r>
        <w:rPr>
          <w:rFonts w:hint="eastAsia" w:ascii="宋体" w:hAnsi="宋体" w:cs="宋体"/>
          <w:sz w:val="24"/>
        </w:rPr>
        <w:t>A、投标人的投标报价超过最高限价；</w:t>
      </w:r>
    </w:p>
    <w:p w14:paraId="7D19C2C2">
      <w:pPr>
        <w:kinsoku w:val="0"/>
        <w:spacing w:line="360" w:lineRule="auto"/>
        <w:ind w:firstLine="600" w:firstLineChars="250"/>
        <w:rPr>
          <w:rFonts w:hint="eastAsia" w:ascii="宋体" w:hAnsi="宋体" w:cs="宋体"/>
          <w:sz w:val="24"/>
        </w:rPr>
      </w:pPr>
      <w:r>
        <w:rPr>
          <w:rFonts w:hint="eastAsia" w:ascii="宋体" w:hAnsi="宋体" w:cs="宋体"/>
          <w:sz w:val="24"/>
        </w:rPr>
        <w:t>B、投标人未经过正常渠道下载招标文件，或投标人名称与下载招标文件时登记的投标人名称不符的；</w:t>
      </w:r>
    </w:p>
    <w:p w14:paraId="60519512">
      <w:pPr>
        <w:kinsoku w:val="0"/>
        <w:spacing w:line="360" w:lineRule="auto"/>
        <w:ind w:firstLine="600" w:firstLineChars="250"/>
        <w:rPr>
          <w:rFonts w:hint="eastAsia" w:ascii="宋体" w:hAnsi="宋体" w:cs="宋体"/>
          <w:sz w:val="24"/>
        </w:rPr>
      </w:pPr>
      <w:r>
        <w:rPr>
          <w:rFonts w:hint="eastAsia" w:ascii="宋体" w:hAnsi="宋体" w:cs="宋体"/>
          <w:sz w:val="24"/>
        </w:rPr>
        <w:t xml:space="preserve">C、投标文件的签署、盖章不符合招标文件要求； </w:t>
      </w:r>
    </w:p>
    <w:p w14:paraId="34D0B279">
      <w:pPr>
        <w:kinsoku w:val="0"/>
        <w:spacing w:line="360" w:lineRule="auto"/>
        <w:ind w:firstLine="600" w:firstLineChars="250"/>
        <w:rPr>
          <w:rFonts w:hint="eastAsia" w:ascii="宋体" w:hAnsi="宋体" w:cs="宋体"/>
          <w:sz w:val="24"/>
        </w:rPr>
      </w:pPr>
      <w:r>
        <w:rPr>
          <w:rFonts w:hint="eastAsia" w:ascii="宋体" w:hAnsi="宋体" w:cs="宋体"/>
          <w:sz w:val="24"/>
        </w:rPr>
        <w:t>D、投标文件的有效性和符合性不符合要求的；</w:t>
      </w:r>
    </w:p>
    <w:p w14:paraId="455BAB1E">
      <w:pPr>
        <w:kinsoku w:val="0"/>
        <w:spacing w:line="360" w:lineRule="auto"/>
        <w:ind w:firstLine="600" w:firstLineChars="250"/>
        <w:rPr>
          <w:rFonts w:hint="eastAsia" w:ascii="宋体" w:hAnsi="宋体" w:cs="宋体"/>
          <w:sz w:val="24"/>
        </w:rPr>
      </w:pPr>
      <w:r>
        <w:rPr>
          <w:rFonts w:hint="eastAsia" w:ascii="宋体" w:hAnsi="宋体" w:cs="宋体"/>
          <w:sz w:val="24"/>
        </w:rPr>
        <w:t>E、实质性内容不满足或未响应的（包括但不限于：</w:t>
      </w:r>
      <w:r>
        <w:rPr>
          <w:rFonts w:hint="eastAsia" w:hAnsi="宋体" w:cs="宋体"/>
          <w:sz w:val="24"/>
        </w:rPr>
        <w:t>交付</w:t>
      </w:r>
      <w:r>
        <w:rPr>
          <w:rFonts w:hint="eastAsia" w:ascii="宋体" w:hAnsi="宋体" w:cs="宋体"/>
          <w:sz w:val="24"/>
        </w:rPr>
        <w:t>期、质保期、付款方式、主要技术指标等）；</w:t>
      </w:r>
    </w:p>
    <w:p w14:paraId="68C06B99">
      <w:pPr>
        <w:kinsoku w:val="0"/>
        <w:spacing w:line="360" w:lineRule="auto"/>
        <w:ind w:firstLine="600" w:firstLineChars="250"/>
        <w:rPr>
          <w:rFonts w:hint="eastAsia" w:ascii="宋体" w:hAnsi="宋体" w:cs="宋体"/>
          <w:sz w:val="24"/>
        </w:rPr>
      </w:pPr>
      <w:r>
        <w:rPr>
          <w:rFonts w:hint="eastAsia" w:ascii="宋体" w:hAnsi="宋体" w:cs="宋体"/>
          <w:sz w:val="24"/>
        </w:rPr>
        <w:t>F、投标文件未按招标文件要求的数量和方式签字、加盖公章的；</w:t>
      </w:r>
    </w:p>
    <w:p w14:paraId="38ECB449">
      <w:pPr>
        <w:kinsoku w:val="0"/>
        <w:spacing w:line="360" w:lineRule="auto"/>
        <w:ind w:firstLine="600" w:firstLineChars="250"/>
        <w:rPr>
          <w:rFonts w:hint="eastAsia" w:ascii="宋体" w:hAnsi="宋体" w:cs="宋体"/>
          <w:sz w:val="24"/>
        </w:rPr>
      </w:pPr>
      <w:r>
        <w:rPr>
          <w:rFonts w:hint="eastAsia" w:ascii="宋体" w:hAnsi="宋体" w:cs="宋体"/>
          <w:sz w:val="24"/>
        </w:rPr>
        <w:t xml:space="preserve">G、无投标有效期或有效期达不到招标文件要求的； </w:t>
      </w:r>
    </w:p>
    <w:p w14:paraId="6BCD16FB">
      <w:pPr>
        <w:kinsoku w:val="0"/>
        <w:spacing w:line="360" w:lineRule="auto"/>
        <w:ind w:firstLine="600" w:firstLineChars="250"/>
        <w:rPr>
          <w:rFonts w:hint="eastAsia" w:ascii="宋体" w:hAnsi="宋体" w:cs="宋体"/>
          <w:sz w:val="24"/>
        </w:rPr>
      </w:pPr>
      <w:r>
        <w:rPr>
          <w:rFonts w:hint="eastAsia" w:ascii="宋体" w:hAnsi="宋体" w:cs="宋体"/>
          <w:sz w:val="24"/>
        </w:rPr>
        <w:t>H、投标人针对同一项目递交两份或多份内容不同的投标文件，未书面声明哪一份是有效的或出现选择性报价的；</w:t>
      </w:r>
    </w:p>
    <w:p w14:paraId="35F77972">
      <w:pPr>
        <w:spacing w:line="360" w:lineRule="auto"/>
        <w:ind w:firstLine="600" w:firstLineChars="250"/>
        <w:rPr>
          <w:rFonts w:hint="eastAsia" w:ascii="宋体" w:hAnsi="宋体" w:cs="宋体"/>
          <w:sz w:val="24"/>
        </w:rPr>
      </w:pPr>
      <w:r>
        <w:rPr>
          <w:rFonts w:hint="eastAsia" w:ascii="宋体" w:hAnsi="宋体" w:cs="宋体"/>
          <w:sz w:val="24"/>
        </w:rPr>
        <w:t>I、投标人有串通投标、弄虚作假（包括但不限于虚假资质、虚假证明、虚假应答等）、行贿等违法行为的；</w:t>
      </w:r>
    </w:p>
    <w:p w14:paraId="71FAD15E">
      <w:pPr>
        <w:kinsoku w:val="0"/>
        <w:spacing w:line="360" w:lineRule="auto"/>
        <w:ind w:firstLine="600" w:firstLineChars="250"/>
        <w:rPr>
          <w:rFonts w:hint="eastAsia" w:ascii="宋体" w:hAnsi="宋体" w:cs="宋体"/>
          <w:sz w:val="24"/>
        </w:rPr>
      </w:pPr>
      <w:r>
        <w:rPr>
          <w:rFonts w:hint="eastAsia" w:ascii="宋体" w:hAnsi="宋体" w:cs="宋体"/>
          <w:sz w:val="24"/>
        </w:rPr>
        <w:t>J、投标文件附加了采购人难以接受的条件或条款的；</w:t>
      </w:r>
    </w:p>
    <w:p w14:paraId="3E3F03E0">
      <w:pPr>
        <w:kinsoku w:val="0"/>
        <w:spacing w:line="360" w:lineRule="auto"/>
        <w:ind w:firstLine="600" w:firstLineChars="250"/>
        <w:rPr>
          <w:rFonts w:hint="eastAsia" w:ascii="宋体" w:hAnsi="宋体" w:cs="宋体"/>
          <w:sz w:val="24"/>
        </w:rPr>
      </w:pPr>
      <w:r>
        <w:rPr>
          <w:rFonts w:hint="eastAsia" w:ascii="宋体" w:hAnsi="宋体" w:cs="宋体"/>
          <w:sz w:val="24"/>
        </w:rPr>
        <w:t>K、在政府采购或其它重大项目履约过程中有不良记录，未能按期履约的；</w:t>
      </w:r>
    </w:p>
    <w:p w14:paraId="1284849D">
      <w:pPr>
        <w:kinsoku w:val="0"/>
        <w:spacing w:line="360" w:lineRule="auto"/>
        <w:ind w:firstLine="600" w:firstLineChars="250"/>
        <w:rPr>
          <w:rFonts w:hint="eastAsia" w:ascii="宋体" w:hAnsi="宋体" w:cs="宋体"/>
          <w:sz w:val="24"/>
        </w:rPr>
      </w:pPr>
      <w:r>
        <w:rPr>
          <w:rFonts w:hint="eastAsia" w:ascii="宋体" w:hAnsi="宋体" w:cs="宋体"/>
          <w:sz w:val="24"/>
        </w:rPr>
        <w:t>L、投标报价与市场价格偏离较大、低于成本、形成不正当竞争的；</w:t>
      </w:r>
    </w:p>
    <w:p w14:paraId="00E04585">
      <w:pPr>
        <w:topLinePunct/>
        <w:spacing w:line="360" w:lineRule="auto"/>
        <w:ind w:firstLine="600" w:firstLineChars="250"/>
        <w:rPr>
          <w:rFonts w:hint="eastAsia" w:ascii="宋体" w:hAnsi="宋体" w:cs="宋体"/>
          <w:sz w:val="24"/>
        </w:rPr>
      </w:pPr>
      <w:r>
        <w:rPr>
          <w:rFonts w:hint="eastAsia" w:ascii="宋体" w:hAnsi="宋体" w:cs="宋体"/>
          <w:sz w:val="24"/>
        </w:rPr>
        <w:t>M、投标报价子目出现漏项或报价数量与要求不符的；</w:t>
      </w:r>
    </w:p>
    <w:p w14:paraId="36D7A18F">
      <w:pPr>
        <w:topLinePunct/>
        <w:spacing w:line="360" w:lineRule="auto"/>
        <w:ind w:firstLine="600" w:firstLineChars="250"/>
        <w:rPr>
          <w:rFonts w:hint="eastAsia" w:ascii="宋体" w:hAnsi="宋体" w:cs="宋体"/>
          <w:sz w:val="24"/>
        </w:rPr>
      </w:pPr>
      <w:r>
        <w:rPr>
          <w:rFonts w:hint="eastAsia" w:ascii="宋体" w:hAnsi="宋体" w:cs="宋体"/>
          <w:sz w:val="24"/>
        </w:rPr>
        <w:t>N、投标产品的技术参数、性能指标与招标文件要求出现重大负偏差的；</w:t>
      </w:r>
    </w:p>
    <w:p w14:paraId="095DC52B">
      <w:pPr>
        <w:spacing w:line="360" w:lineRule="auto"/>
        <w:ind w:firstLine="600" w:firstLineChars="250"/>
        <w:rPr>
          <w:rFonts w:hint="eastAsia" w:ascii="宋体" w:hAnsi="宋体" w:cs="宋体"/>
          <w:sz w:val="24"/>
        </w:rPr>
      </w:pPr>
      <w:r>
        <w:rPr>
          <w:rFonts w:hint="eastAsia" w:ascii="宋体" w:hAnsi="宋体" w:cs="宋体"/>
          <w:sz w:val="24"/>
        </w:rPr>
        <w:t>O、投标文件未实质性响应招标文件要求的；</w:t>
      </w:r>
    </w:p>
    <w:p w14:paraId="6D61B5DF">
      <w:pPr>
        <w:spacing w:line="360" w:lineRule="auto"/>
        <w:ind w:firstLine="600" w:firstLineChars="250"/>
        <w:rPr>
          <w:rFonts w:hint="eastAsia" w:ascii="宋体" w:hAnsi="宋体" w:cs="宋体"/>
          <w:sz w:val="24"/>
        </w:rPr>
      </w:pPr>
      <w:r>
        <w:rPr>
          <w:rFonts w:hint="eastAsia" w:ascii="宋体" w:hAnsi="宋体" w:cs="宋体"/>
          <w:sz w:val="24"/>
        </w:rPr>
        <w:t>P、提供虚假技术性能指标的。</w:t>
      </w:r>
    </w:p>
    <w:p w14:paraId="588B0F24">
      <w:pPr>
        <w:overflowPunct w:val="0"/>
        <w:adjustRightInd w:val="0"/>
        <w:snapToGrid w:val="0"/>
        <w:spacing w:line="500" w:lineRule="exact"/>
        <w:ind w:firstLine="480" w:firstLineChars="200"/>
        <w:rPr>
          <w:rFonts w:hint="eastAsia" w:ascii="宋体" w:hAnsi="宋体" w:cs="宋体"/>
          <w:kern w:val="0"/>
          <w:sz w:val="24"/>
        </w:rPr>
      </w:pPr>
      <w:r>
        <w:rPr>
          <w:rFonts w:hint="eastAsia" w:ascii="宋体" w:hAnsi="宋体" w:cs="宋体"/>
          <w:kern w:val="0"/>
          <w:sz w:val="24"/>
        </w:rPr>
        <w:t>3.4 如出现对招标文件作出实质性响应的投标人或者合格投标人不足三家的情况，不得评标。</w:t>
      </w:r>
    </w:p>
    <w:p w14:paraId="69D0BDE7">
      <w:pPr>
        <w:overflowPunct w:val="0"/>
        <w:adjustRightInd w:val="0"/>
        <w:snapToGrid w:val="0"/>
        <w:spacing w:line="500" w:lineRule="exact"/>
        <w:ind w:firstLine="480" w:firstLineChars="200"/>
        <w:rPr>
          <w:rFonts w:hint="eastAsia" w:ascii="宋体" w:hAnsi="宋体" w:cs="宋体"/>
          <w:kern w:val="0"/>
          <w:sz w:val="24"/>
        </w:rPr>
      </w:pPr>
      <w:r>
        <w:rPr>
          <w:rFonts w:hint="eastAsia" w:ascii="宋体" w:hAnsi="宋体" w:cs="宋体"/>
          <w:kern w:val="0"/>
          <w:sz w:val="24"/>
        </w:rPr>
        <w:t>3.5根据《政府采购货物和服务招标投标管理办法》相关规定，单一产品采购项目提供相同品牌产品或非单一产品采购项目多家投标单位提供的核心产品品牌相同的且通过资格审查、符合性审查的不同投标单位参加同一合同项下投标的，按一家投标单位计算，评审后得分最高的同品牌投标单位获得中标投标单位推荐资格；评审得分相同的，由采购人或者采购人委托评标委员会按照报价得分最高的方式确定一个投标单位获得中标投标单位推荐资格。</w:t>
      </w:r>
    </w:p>
    <w:p w14:paraId="0812415B">
      <w:pPr>
        <w:spacing w:line="360" w:lineRule="auto"/>
        <w:ind w:firstLine="360" w:firstLineChars="150"/>
        <w:rPr>
          <w:rFonts w:hint="eastAsia" w:ascii="宋体" w:hAnsi="宋体" w:cs="宋体"/>
          <w:sz w:val="24"/>
        </w:rPr>
      </w:pPr>
      <w:r>
        <w:rPr>
          <w:rFonts w:hint="eastAsia" w:ascii="宋体" w:hAnsi="宋体" w:cs="宋体"/>
          <w:sz w:val="24"/>
        </w:rPr>
        <w:t>3.6开标时，投标文件中出现下列情况，修正原则为：</w:t>
      </w:r>
    </w:p>
    <w:p w14:paraId="3F61EBE4">
      <w:pPr>
        <w:spacing w:line="360" w:lineRule="auto"/>
        <w:ind w:firstLine="600" w:firstLineChars="250"/>
        <w:rPr>
          <w:rFonts w:hint="eastAsia" w:ascii="宋体" w:hAnsi="宋体" w:cs="宋体"/>
          <w:sz w:val="24"/>
        </w:rPr>
      </w:pPr>
      <w:r>
        <w:rPr>
          <w:rFonts w:hint="eastAsia" w:ascii="宋体" w:hAnsi="宋体" w:cs="宋体"/>
          <w:sz w:val="24"/>
        </w:rPr>
        <w:t>A、投标文件中开标一览表（报价表）内容与投标文件中相应内容不一致的，以开标一览表（报价表）为准；</w:t>
      </w:r>
    </w:p>
    <w:p w14:paraId="2AA36DA2">
      <w:pPr>
        <w:spacing w:line="360" w:lineRule="auto"/>
        <w:ind w:firstLine="600" w:firstLineChars="250"/>
        <w:rPr>
          <w:rFonts w:hint="eastAsia" w:ascii="宋体" w:hAnsi="宋体" w:cs="宋体"/>
          <w:sz w:val="24"/>
        </w:rPr>
      </w:pPr>
      <w:r>
        <w:rPr>
          <w:rFonts w:hint="eastAsia" w:ascii="宋体" w:hAnsi="宋体" w:cs="宋体"/>
          <w:sz w:val="24"/>
        </w:rPr>
        <w:t>B、大写金额和小写金额不一致的，以大写金额为准；</w:t>
      </w:r>
    </w:p>
    <w:p w14:paraId="5AB1B797">
      <w:pPr>
        <w:spacing w:line="360" w:lineRule="auto"/>
        <w:ind w:firstLine="600" w:firstLineChars="250"/>
        <w:rPr>
          <w:rFonts w:hint="eastAsia" w:ascii="宋体" w:hAnsi="宋体" w:cs="宋体"/>
          <w:sz w:val="24"/>
        </w:rPr>
      </w:pPr>
      <w:r>
        <w:rPr>
          <w:rFonts w:hint="eastAsia" w:ascii="宋体" w:hAnsi="宋体" w:cs="宋体"/>
          <w:sz w:val="24"/>
        </w:rPr>
        <w:t>C、单价金额小数点或者百分比有明显错位的，以开标一览表的总价为准，并修改单价；</w:t>
      </w:r>
    </w:p>
    <w:p w14:paraId="6EDD1097">
      <w:pPr>
        <w:spacing w:line="360" w:lineRule="auto"/>
        <w:ind w:firstLine="600" w:firstLineChars="250"/>
        <w:rPr>
          <w:rFonts w:hint="eastAsia" w:ascii="宋体" w:hAnsi="宋体" w:cs="宋体"/>
          <w:sz w:val="24"/>
        </w:rPr>
      </w:pPr>
      <w:r>
        <w:rPr>
          <w:rFonts w:hint="eastAsia" w:ascii="宋体" w:hAnsi="宋体" w:cs="宋体"/>
          <w:sz w:val="24"/>
        </w:rPr>
        <w:t>D、总价金额与按单价汇总金额不一致的，以单价金额计算结果为准；</w:t>
      </w:r>
    </w:p>
    <w:p w14:paraId="31D270E9">
      <w:pPr>
        <w:spacing w:line="360" w:lineRule="auto"/>
        <w:ind w:firstLine="600" w:firstLineChars="250"/>
        <w:rPr>
          <w:rFonts w:hint="eastAsia" w:ascii="宋体" w:hAnsi="宋体" w:cs="宋体"/>
          <w:sz w:val="24"/>
        </w:rPr>
      </w:pPr>
      <w:r>
        <w:rPr>
          <w:rFonts w:hint="eastAsia" w:ascii="宋体" w:hAnsi="宋体" w:cs="宋体"/>
          <w:sz w:val="24"/>
        </w:rPr>
        <w:t>E、投标文件正本与副本不一致的，以正本为准；</w:t>
      </w:r>
    </w:p>
    <w:p w14:paraId="71425E74">
      <w:pPr>
        <w:spacing w:line="360" w:lineRule="auto"/>
        <w:ind w:firstLine="600" w:firstLineChars="250"/>
        <w:rPr>
          <w:rFonts w:hint="eastAsia" w:ascii="宋体" w:hAnsi="宋体" w:cs="宋体"/>
          <w:sz w:val="24"/>
        </w:rPr>
      </w:pPr>
      <w:r>
        <w:rPr>
          <w:rFonts w:hint="eastAsia" w:ascii="宋体" w:hAnsi="宋体" w:cs="宋体"/>
          <w:sz w:val="24"/>
        </w:rPr>
        <w:t>F、多处内容交叉不符的，以评标委员会评审结果为准；</w:t>
      </w:r>
    </w:p>
    <w:p w14:paraId="1A2E70BE">
      <w:pPr>
        <w:spacing w:line="360" w:lineRule="auto"/>
        <w:ind w:firstLine="600" w:firstLineChars="250"/>
        <w:rPr>
          <w:rFonts w:hint="eastAsia" w:ascii="宋体" w:hAnsi="宋体" w:cs="宋体"/>
          <w:sz w:val="24"/>
        </w:rPr>
      </w:pPr>
      <w:r>
        <w:rPr>
          <w:rFonts w:hint="eastAsia" w:ascii="宋体" w:hAnsi="宋体" w:cs="宋体"/>
          <w:sz w:val="24"/>
        </w:rPr>
        <w:t>G、文字与图表不符的，以文字为准。</w:t>
      </w:r>
    </w:p>
    <w:p w14:paraId="02A7F262">
      <w:pPr>
        <w:spacing w:line="360" w:lineRule="auto"/>
        <w:ind w:firstLine="480" w:firstLineChars="200"/>
        <w:rPr>
          <w:rFonts w:hint="eastAsia" w:ascii="宋体" w:hAnsi="宋体" w:cs="宋体"/>
          <w:sz w:val="24"/>
        </w:rPr>
      </w:pPr>
      <w:r>
        <w:rPr>
          <w:rFonts w:hint="eastAsia" w:ascii="宋体" w:hAnsi="宋体" w:cs="宋体"/>
          <w:sz w:val="24"/>
        </w:rPr>
        <w:t>同时出现两种以上不一致的，按照前款规定的顺序修正。按上述修正错误的原则及方法调整或修正投标文件的报价和内容，投标人同意后，调整后的报价和内容对投标人起约束作用。如果投标人不接受修正后的报价和内容，则其投标无效。</w:t>
      </w:r>
    </w:p>
    <w:p w14:paraId="000A466A">
      <w:pPr>
        <w:spacing w:line="360" w:lineRule="auto"/>
        <w:ind w:firstLine="360" w:firstLineChars="150"/>
        <w:rPr>
          <w:rFonts w:hint="eastAsia" w:ascii="宋体" w:hAnsi="宋体" w:cs="宋体"/>
          <w:sz w:val="24"/>
        </w:rPr>
      </w:pPr>
      <w:r>
        <w:rPr>
          <w:rFonts w:hint="eastAsia" w:ascii="宋体" w:hAnsi="宋体" w:cs="宋体"/>
          <w:sz w:val="24"/>
        </w:rPr>
        <w:t>3.7公开开标后，直到向中标的投标人授予合同为止，凡审查、澄清、评价和比较投标的有关资料及被授标意见等内容，评标委员会成员均不得向投标人及与评标无关的其他人透露。</w:t>
      </w:r>
    </w:p>
    <w:p w14:paraId="253BF574">
      <w:pPr>
        <w:spacing w:line="360" w:lineRule="auto"/>
        <w:ind w:firstLine="482" w:firstLineChars="200"/>
        <w:rPr>
          <w:rFonts w:hint="eastAsia" w:ascii="宋体" w:hAnsi="宋体" w:cs="宋体"/>
          <w:b/>
          <w:sz w:val="24"/>
        </w:rPr>
      </w:pPr>
      <w:r>
        <w:rPr>
          <w:rFonts w:hint="eastAsia" w:ascii="宋体" w:hAnsi="宋体" w:cs="宋体"/>
          <w:b/>
          <w:sz w:val="24"/>
        </w:rPr>
        <w:t>4.有下列情形之一的，视为投标单位串通投标，评标委员会应当认定其投标文件无效：</w:t>
      </w:r>
    </w:p>
    <w:p w14:paraId="08441C4F">
      <w:pPr>
        <w:topLinePunct/>
        <w:spacing w:line="360" w:lineRule="auto"/>
        <w:ind w:firstLine="600" w:firstLineChars="250"/>
        <w:rPr>
          <w:rFonts w:hint="eastAsia" w:ascii="宋体" w:hAnsi="宋体" w:cs="宋体"/>
          <w:sz w:val="24"/>
        </w:rPr>
      </w:pPr>
      <w:r>
        <w:rPr>
          <w:rFonts w:hint="eastAsia" w:ascii="宋体" w:hAnsi="宋体" w:cs="宋体"/>
          <w:sz w:val="24"/>
        </w:rPr>
        <w:t>A、不同投标人的投标文件由同一单位或者个人编制；</w:t>
      </w:r>
    </w:p>
    <w:p w14:paraId="37FEBBE8">
      <w:pPr>
        <w:topLinePunct/>
        <w:spacing w:line="360" w:lineRule="auto"/>
        <w:rPr>
          <w:rFonts w:hint="eastAsia" w:ascii="宋体" w:hAnsi="宋体" w:cs="宋体"/>
          <w:sz w:val="24"/>
        </w:rPr>
      </w:pPr>
      <w:r>
        <w:rPr>
          <w:rFonts w:hint="eastAsia" w:ascii="宋体" w:hAnsi="宋体" w:cs="宋体"/>
          <w:sz w:val="24"/>
        </w:rPr>
        <w:t>　　 B、不同投标人委托同一单位或者个人办理投标事宜；</w:t>
      </w:r>
    </w:p>
    <w:p w14:paraId="427B9420">
      <w:pPr>
        <w:topLinePunct/>
        <w:spacing w:line="360" w:lineRule="auto"/>
        <w:rPr>
          <w:rFonts w:hint="eastAsia" w:ascii="宋体" w:hAnsi="宋体" w:cs="宋体"/>
          <w:sz w:val="24"/>
        </w:rPr>
      </w:pPr>
      <w:r>
        <w:rPr>
          <w:rFonts w:hint="eastAsia" w:ascii="宋体" w:hAnsi="宋体" w:cs="宋体"/>
          <w:sz w:val="24"/>
        </w:rPr>
        <w:t>　　 C、不同投标人的投标文件载明的项目管理成员或者联系人员为同一人；</w:t>
      </w:r>
    </w:p>
    <w:p w14:paraId="19EE73E2">
      <w:pPr>
        <w:topLinePunct/>
        <w:spacing w:line="360" w:lineRule="auto"/>
        <w:rPr>
          <w:rFonts w:hint="eastAsia" w:ascii="宋体" w:hAnsi="宋体" w:cs="宋体"/>
          <w:sz w:val="24"/>
        </w:rPr>
      </w:pPr>
      <w:r>
        <w:rPr>
          <w:rFonts w:hint="eastAsia" w:ascii="宋体" w:hAnsi="宋体" w:cs="宋体"/>
          <w:sz w:val="24"/>
        </w:rPr>
        <w:t>　　 D、不同投标人的投标文件异常一致或者投标报价呈规律性差异；</w:t>
      </w:r>
    </w:p>
    <w:p w14:paraId="6BE059EC">
      <w:pPr>
        <w:topLinePunct/>
        <w:spacing w:line="360" w:lineRule="auto"/>
        <w:rPr>
          <w:rFonts w:hint="eastAsia" w:ascii="宋体" w:hAnsi="宋体" w:cs="宋体"/>
          <w:sz w:val="24"/>
        </w:rPr>
      </w:pPr>
      <w:r>
        <w:rPr>
          <w:rFonts w:hint="eastAsia" w:ascii="宋体" w:hAnsi="宋体" w:cs="宋体"/>
          <w:sz w:val="24"/>
        </w:rPr>
        <w:t>　　 E、不同投标人的投标文件相互混装；</w:t>
      </w:r>
    </w:p>
    <w:p w14:paraId="18E6B51D">
      <w:pPr>
        <w:spacing w:line="440" w:lineRule="exact"/>
        <w:ind w:firstLine="420"/>
        <w:rPr>
          <w:rFonts w:hint="eastAsia" w:ascii="宋体" w:hAnsi="宋体" w:cs="宋体"/>
          <w:b/>
          <w:sz w:val="24"/>
        </w:rPr>
      </w:pPr>
      <w:r>
        <w:rPr>
          <w:rFonts w:hint="eastAsia" w:ascii="宋体" w:hAnsi="宋体" w:cs="宋体"/>
          <w:b/>
          <w:sz w:val="24"/>
        </w:rPr>
        <w:t>5.询标</w:t>
      </w:r>
    </w:p>
    <w:p w14:paraId="65BECF1B">
      <w:pPr>
        <w:spacing w:line="520" w:lineRule="exact"/>
        <w:ind w:firstLine="480" w:firstLineChars="200"/>
        <w:rPr>
          <w:rFonts w:hint="eastAsia" w:ascii="宋体" w:hAnsi="宋体" w:cs="宋体"/>
          <w:bCs/>
          <w:sz w:val="24"/>
        </w:rPr>
      </w:pPr>
      <w:r>
        <w:rPr>
          <w:rFonts w:hint="eastAsia" w:ascii="宋体" w:hAnsi="宋体" w:cs="宋体"/>
          <w:bCs/>
          <w:sz w:val="24"/>
        </w:rPr>
        <w:t>（1）评标委员会在对投标文件的有效性、完整性和响应程度进行审查时，可以要求投标人对投标文件中含义不明确、同类问题表述不一致或者有明显文字和计算错误的内容等作出必要的澄清、说明或者更正，投标人应随时关注不见面开标系统中的澄清提问，投标人的澄清、说明或者更正不得超出投标文件的范围或者改变投标文件的实质性内容。如澄清、说明或者更正的内容与投标文件内容有重大相悖或矛盾，将被认定为无效投标文件。</w:t>
      </w:r>
    </w:p>
    <w:p w14:paraId="641C3A24">
      <w:pPr>
        <w:spacing w:line="520" w:lineRule="exact"/>
        <w:ind w:firstLine="420"/>
        <w:rPr>
          <w:rFonts w:hint="eastAsia" w:ascii="宋体" w:hAnsi="宋体" w:cs="宋体"/>
          <w:b/>
          <w:sz w:val="24"/>
        </w:rPr>
      </w:pPr>
      <w:r>
        <w:rPr>
          <w:rFonts w:hint="eastAsia" w:ascii="宋体" w:hAnsi="宋体" w:cs="宋体"/>
          <w:b/>
          <w:sz w:val="24"/>
        </w:rPr>
        <w:t xml:space="preserve">6.评审方法及内容 </w:t>
      </w:r>
    </w:p>
    <w:p w14:paraId="29EF502B">
      <w:pPr>
        <w:spacing w:line="360" w:lineRule="auto"/>
        <w:ind w:firstLine="480" w:firstLineChars="200"/>
        <w:rPr>
          <w:rFonts w:hint="eastAsia" w:ascii="宋体" w:hAnsi="宋体" w:cs="宋体"/>
          <w:sz w:val="24"/>
        </w:rPr>
      </w:pPr>
      <w:r>
        <w:rPr>
          <w:rFonts w:hint="eastAsia" w:ascii="宋体" w:hAnsi="宋体" w:cs="宋体"/>
          <w:sz w:val="24"/>
        </w:rPr>
        <w:t>（1）</w:t>
      </w:r>
      <w:r>
        <w:rPr>
          <w:rFonts w:hint="eastAsia" w:ascii="宋体" w:hAnsi="宋体" w:cs="宋体"/>
          <w:kern w:val="0"/>
          <w:sz w:val="24"/>
        </w:rPr>
        <w:t xml:space="preserve">采用综合评分法：评标结果按评审后得分由高到低顺序排列。得分相同的，按投标报价由低到高顺序排列。得分且投标报价相同的，按投标文件满足招标文件全部实质性要求，且按照评审因素的量化指标评审得分最高的投标人为排名第一的中标候选人。 </w:t>
      </w:r>
    </w:p>
    <w:p w14:paraId="5CE35A56">
      <w:pPr>
        <w:widowControl/>
        <w:spacing w:line="360" w:lineRule="auto"/>
        <w:ind w:firstLine="480" w:firstLineChars="200"/>
        <w:jc w:val="left"/>
        <w:rPr>
          <w:rFonts w:hint="eastAsia" w:ascii="宋体" w:hAnsi="宋体" w:cs="宋体"/>
          <w:sz w:val="24"/>
        </w:rPr>
      </w:pPr>
      <w:r>
        <w:rPr>
          <w:rFonts w:hint="eastAsia" w:ascii="宋体" w:hAnsi="宋体" w:cs="宋体"/>
          <w:sz w:val="24"/>
        </w:rPr>
        <w:t>（2）单一产品采购项目中，提供相同品牌产品且通过资格审查、符合性审查的不同投标人参加同一合同项下投标的，按一家投标人计算，评审后得分最高的同品牌投标人获得中标人推荐资格；评审得分相同的，由评标委员会按照投标报价最低的方式确定一个投标人获得中标人推荐资格，其他同品牌投标人不作为中标候选人。</w:t>
      </w:r>
    </w:p>
    <w:p w14:paraId="190D717B">
      <w:pPr>
        <w:widowControl/>
        <w:spacing w:line="360" w:lineRule="auto"/>
        <w:ind w:firstLine="480" w:firstLineChars="200"/>
        <w:jc w:val="left"/>
        <w:rPr>
          <w:rFonts w:hint="eastAsia" w:ascii="宋体" w:hAnsi="宋体" w:cs="宋体"/>
          <w:sz w:val="24"/>
        </w:rPr>
      </w:pPr>
      <w:r>
        <w:rPr>
          <w:rFonts w:hint="eastAsia" w:ascii="宋体" w:hAnsi="宋体" w:cs="宋体"/>
          <w:sz w:val="24"/>
        </w:rPr>
        <w:t>非单一产品采购项目中，多家投标人提供的核心产品品牌相同的，且通过资格审查、符合性审查的不同投标人参加同一合同项下投标的，按一家投标人计算。遵照前款规定处理。　　</w:t>
      </w:r>
    </w:p>
    <w:p w14:paraId="33C7462A">
      <w:pPr>
        <w:spacing w:line="360" w:lineRule="auto"/>
        <w:ind w:firstLine="480" w:firstLineChars="200"/>
        <w:rPr>
          <w:rFonts w:hint="eastAsia" w:ascii="宋体" w:hAnsi="宋体" w:cs="宋体"/>
          <w:sz w:val="24"/>
        </w:rPr>
      </w:pPr>
      <w:r>
        <w:rPr>
          <w:rFonts w:hint="eastAsia" w:ascii="宋体" w:hAnsi="宋体" w:cs="宋体"/>
          <w:sz w:val="24"/>
        </w:rPr>
        <w:t>评标委员会根据以下内容进行综合比较，独立评审、自主打分，按最后得分由高到低汇总排序，推荐一至三名中标候选人；评标委员会根据评标结果写出评标报告。评标委员会成员对需要共同认定的事项存在争议的，应当按照少数服从多数的原则作出结论。持不同意见的评标委员会成员应当在评标报告上签署不同意见及理由，否则视为同意评标报告。</w:t>
      </w:r>
    </w:p>
    <w:p w14:paraId="7EDB81DC">
      <w:pPr>
        <w:numPr>
          <w:ilvl w:val="0"/>
          <w:numId w:val="3"/>
        </w:numPr>
        <w:spacing w:line="360" w:lineRule="auto"/>
        <w:ind w:firstLine="480" w:firstLineChars="200"/>
        <w:rPr>
          <w:rFonts w:hint="eastAsia" w:ascii="宋体" w:hAnsi="宋体" w:cs="宋体"/>
          <w:sz w:val="24"/>
        </w:rPr>
      </w:pPr>
      <w:r>
        <w:rPr>
          <w:rFonts w:hint="eastAsia" w:ascii="宋体" w:hAnsi="宋体" w:cs="宋体"/>
          <w:sz w:val="24"/>
        </w:rPr>
        <w:t xml:space="preserve">评标委员会成员须对畸高、畸低的重大差异评分进行复核或书面说明理由。 </w:t>
      </w:r>
    </w:p>
    <w:p w14:paraId="4611D580">
      <w:pPr>
        <w:numPr>
          <w:ilvl w:val="0"/>
          <w:numId w:val="3"/>
        </w:numPr>
        <w:spacing w:line="360" w:lineRule="auto"/>
        <w:ind w:firstLine="480" w:firstLineChars="200"/>
        <w:rPr>
          <w:rFonts w:hint="eastAsia" w:ascii="宋体" w:hAnsi="宋体" w:cs="宋体"/>
          <w:sz w:val="24"/>
        </w:rPr>
      </w:pPr>
      <w:r>
        <w:rPr>
          <w:rFonts w:hint="eastAsia" w:ascii="宋体" w:hAnsi="宋体" w:cs="宋体"/>
          <w:sz w:val="24"/>
        </w:rPr>
        <w:t>评审指标分值构成及评审内容（总计100分）</w:t>
      </w:r>
    </w:p>
    <w:p w14:paraId="35385DA7">
      <w:pPr>
        <w:pStyle w:val="6"/>
        <w:ind w:firstLine="420"/>
        <w:rPr>
          <w:rFonts w:hint="eastAsia" w:ascii="宋体" w:hAnsi="宋体" w:cs="宋体"/>
          <w:b/>
          <w:color w:val="auto"/>
          <w:kern w:val="0"/>
        </w:rPr>
      </w:pPr>
      <w:r>
        <w:rPr>
          <w:rFonts w:hint="eastAsia" w:ascii="宋体" w:hAnsi="宋体" w:cs="宋体"/>
          <w:b/>
          <w:bCs/>
          <w:color w:val="auto"/>
        </w:rPr>
        <w:t>总分100分，每个投标人每项评分因</w:t>
      </w:r>
      <w:r>
        <w:rPr>
          <w:rFonts w:hint="eastAsia" w:ascii="宋体" w:hAnsi="宋体" w:cs="宋体"/>
          <w:b/>
          <w:color w:val="auto"/>
          <w:kern w:val="0"/>
        </w:rPr>
        <w:t xml:space="preserve">素得分汇总即为最后得分，各项评分因素具体内容及打分标准如下： </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73"/>
        <w:gridCol w:w="1041"/>
        <w:gridCol w:w="11"/>
        <w:gridCol w:w="7111"/>
        <w:gridCol w:w="25"/>
      </w:tblGrid>
      <w:tr w14:paraId="3A211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73" w:type="pct"/>
          </w:tcPr>
          <w:p w14:paraId="4E6D9474">
            <w:pPr>
              <w:spacing w:line="360" w:lineRule="auto"/>
              <w:jc w:val="center"/>
              <w:rPr>
                <w:rFonts w:hint="eastAsia" w:ascii="宋体" w:hAnsi="宋体" w:cs="宋体"/>
                <w:b/>
                <w:bCs/>
                <w:sz w:val="24"/>
              </w:rPr>
            </w:pPr>
            <w:r>
              <w:rPr>
                <w:rFonts w:hint="eastAsia" w:ascii="宋体" w:hAnsi="宋体" w:cs="宋体"/>
                <w:b/>
                <w:bCs/>
                <w:sz w:val="24"/>
              </w:rPr>
              <w:t>评审因素</w:t>
            </w:r>
          </w:p>
        </w:tc>
        <w:tc>
          <w:tcPr>
            <w:tcW w:w="554" w:type="pct"/>
            <w:gridSpan w:val="2"/>
          </w:tcPr>
          <w:p w14:paraId="5CE4F63D">
            <w:pPr>
              <w:spacing w:line="360" w:lineRule="auto"/>
              <w:jc w:val="center"/>
              <w:rPr>
                <w:rFonts w:hint="eastAsia" w:ascii="宋体" w:hAnsi="宋体" w:cs="宋体"/>
                <w:b/>
                <w:bCs/>
                <w:sz w:val="24"/>
              </w:rPr>
            </w:pPr>
            <w:r>
              <w:rPr>
                <w:rFonts w:hint="eastAsia" w:ascii="宋体" w:hAnsi="宋体" w:cs="宋体"/>
                <w:b/>
                <w:bCs/>
                <w:sz w:val="24"/>
              </w:rPr>
              <w:t>分值</w:t>
            </w:r>
          </w:p>
        </w:tc>
        <w:tc>
          <w:tcPr>
            <w:tcW w:w="3771" w:type="pct"/>
            <w:gridSpan w:val="2"/>
          </w:tcPr>
          <w:p w14:paraId="56C762AB">
            <w:pPr>
              <w:spacing w:line="360" w:lineRule="auto"/>
              <w:jc w:val="center"/>
              <w:rPr>
                <w:rFonts w:hint="eastAsia" w:ascii="宋体" w:hAnsi="宋体" w:cs="宋体"/>
                <w:b/>
                <w:bCs/>
                <w:sz w:val="24"/>
              </w:rPr>
            </w:pPr>
            <w:r>
              <w:rPr>
                <w:rFonts w:hint="eastAsia" w:ascii="宋体" w:hAnsi="宋体" w:cs="宋体"/>
                <w:b/>
                <w:bCs/>
                <w:sz w:val="24"/>
              </w:rPr>
              <w:t>评分标准说明</w:t>
            </w:r>
          </w:p>
        </w:tc>
      </w:tr>
      <w:tr w14:paraId="69CCE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73" w:type="pct"/>
            <w:vAlign w:val="center"/>
          </w:tcPr>
          <w:p w14:paraId="21C29925">
            <w:pPr>
              <w:spacing w:line="360" w:lineRule="auto"/>
              <w:jc w:val="center"/>
              <w:rPr>
                <w:rFonts w:hint="eastAsia" w:ascii="宋体" w:hAnsi="宋体" w:cs="宋体"/>
                <w:sz w:val="24"/>
              </w:rPr>
            </w:pPr>
            <w:r>
              <w:rPr>
                <w:rFonts w:hint="eastAsia" w:ascii="宋体" w:hAnsi="宋体" w:cs="宋体"/>
                <w:sz w:val="24"/>
              </w:rPr>
              <w:t>投标报价</w:t>
            </w:r>
          </w:p>
        </w:tc>
        <w:tc>
          <w:tcPr>
            <w:tcW w:w="554" w:type="pct"/>
            <w:gridSpan w:val="2"/>
            <w:vAlign w:val="center"/>
          </w:tcPr>
          <w:p w14:paraId="4179E9A6">
            <w:pPr>
              <w:spacing w:line="360" w:lineRule="auto"/>
              <w:jc w:val="center"/>
              <w:rPr>
                <w:rFonts w:hint="eastAsia" w:ascii="宋体" w:hAnsi="宋体" w:cs="宋体"/>
                <w:sz w:val="24"/>
              </w:rPr>
            </w:pPr>
            <w:r>
              <w:rPr>
                <w:rFonts w:hint="eastAsia" w:ascii="宋体" w:hAnsi="宋体" w:cs="宋体"/>
                <w:sz w:val="24"/>
              </w:rPr>
              <w:t>30分</w:t>
            </w:r>
          </w:p>
        </w:tc>
        <w:tc>
          <w:tcPr>
            <w:tcW w:w="3771" w:type="pct"/>
            <w:gridSpan w:val="2"/>
          </w:tcPr>
          <w:p w14:paraId="7D054A89">
            <w:pPr>
              <w:spacing w:line="360" w:lineRule="auto"/>
              <w:ind w:firstLine="480" w:firstLineChars="200"/>
              <w:rPr>
                <w:rFonts w:hint="eastAsia" w:ascii="宋体" w:hAnsi="宋体" w:cs="宋体"/>
                <w:sz w:val="24"/>
              </w:rPr>
            </w:pPr>
            <w:r>
              <w:rPr>
                <w:rFonts w:hint="eastAsia" w:ascii="宋体" w:hAnsi="宋体" w:cs="宋体"/>
                <w:sz w:val="24"/>
              </w:rPr>
              <w:t xml:space="preserve">价格分统一采用低价优先法计算，即满足投标文件要求且投标价格最低的投标报价为投标基准价，其价格分为满分。其他投标人的价格分统一按照下列公式计算： </w:t>
            </w:r>
          </w:p>
          <w:p w14:paraId="4F0963AD">
            <w:pPr>
              <w:spacing w:line="360" w:lineRule="auto"/>
              <w:ind w:firstLine="480" w:firstLineChars="200"/>
              <w:rPr>
                <w:rFonts w:hint="eastAsia" w:ascii="宋体" w:hAnsi="宋体" w:cs="宋体"/>
                <w:sz w:val="24"/>
              </w:rPr>
            </w:pPr>
            <w:r>
              <w:rPr>
                <w:rFonts w:hint="eastAsia" w:ascii="宋体" w:hAnsi="宋体" w:cs="宋体"/>
                <w:sz w:val="24"/>
              </w:rPr>
              <w:t>投标报价得分=(投标基准价／投标报价)×价格权值×100计算分数时四舍五入取小数点后两位</w:t>
            </w:r>
          </w:p>
          <w:p w14:paraId="3641D211">
            <w:pPr>
              <w:spacing w:line="360" w:lineRule="auto"/>
              <w:rPr>
                <w:rFonts w:hint="eastAsia" w:ascii="宋体" w:hAnsi="宋体" w:cs="宋体"/>
                <w:sz w:val="24"/>
              </w:rPr>
            </w:pPr>
            <w:r>
              <w:rPr>
                <w:rFonts w:hint="eastAsia" w:ascii="宋体" w:hAnsi="宋体" w:cs="宋体"/>
                <w:sz w:val="24"/>
              </w:rPr>
              <w:t>注：（1）根据《政府采购促进中小企业发展管理办法》的相关规定，对小型和微型企业的价格给予10%的扣除，用扣除后的价格参与评审。</w:t>
            </w:r>
          </w:p>
          <w:p w14:paraId="1624B770">
            <w:pPr>
              <w:spacing w:line="360" w:lineRule="auto"/>
              <w:rPr>
                <w:rFonts w:hint="eastAsia" w:ascii="宋体" w:hAnsi="宋体" w:cs="宋体"/>
                <w:sz w:val="24"/>
              </w:rPr>
            </w:pPr>
            <w:r>
              <w:rPr>
                <w:rFonts w:hint="eastAsia" w:ascii="宋体" w:hAnsi="宋体" w:cs="宋体"/>
                <w:sz w:val="24"/>
              </w:rPr>
              <w:t>（2）根据《财政部民政部中国残疾人联合会关于促进残疾人就业政府采购政策的通知》（财库〔2017〕141号）的规定，对符合条件的残疾人福利性单位产品的价格给予10%的扣除，用扣除后的价格参与评审。</w:t>
            </w:r>
          </w:p>
          <w:p w14:paraId="199DEE53">
            <w:pPr>
              <w:spacing w:line="360" w:lineRule="auto"/>
              <w:rPr>
                <w:rFonts w:hint="eastAsia" w:ascii="宋体" w:hAnsi="宋体" w:cs="宋体"/>
                <w:sz w:val="24"/>
              </w:rPr>
            </w:pPr>
            <w:r>
              <w:rPr>
                <w:rFonts w:hint="eastAsia" w:ascii="宋体" w:hAnsi="宋体" w:cs="宋体"/>
                <w:sz w:val="24"/>
              </w:rPr>
              <w:t>小型、微型企业和监狱企业级符合财政部、民政部、中国残疾人联合会关于促进残疾人就业政府采购政策的通知，以上政策同时具备的仅对其进行一次10%的价格扣除，不重复扣除。</w:t>
            </w:r>
          </w:p>
          <w:p w14:paraId="5ACCA730">
            <w:pPr>
              <w:spacing w:line="360" w:lineRule="auto"/>
              <w:jc w:val="left"/>
              <w:rPr>
                <w:rFonts w:hint="eastAsia" w:ascii="宋体" w:hAnsi="宋体" w:cs="宋体"/>
                <w:sz w:val="24"/>
                <w:lang w:bidi="ar"/>
              </w:rPr>
            </w:pPr>
            <w:r>
              <w:rPr>
                <w:rFonts w:hint="eastAsia" w:ascii="宋体" w:hAnsi="宋体" w:cs="宋体"/>
                <w:sz w:val="24"/>
                <w:lang w:bidi="ar"/>
              </w:rPr>
              <w:t>（3）根据《国务院办公厅关于在政府采购中实施本国产品标准及相关政策的通知》（国办发〔2025〕34号）的规定，对符合条件的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836CFC0">
            <w:pPr>
              <w:spacing w:line="360" w:lineRule="auto"/>
              <w:rPr>
                <w:rFonts w:hint="eastAsia" w:ascii="宋体" w:hAnsi="宋体" w:cs="宋体"/>
                <w:sz w:val="24"/>
              </w:rPr>
            </w:pPr>
            <w:r>
              <w:rPr>
                <w:rFonts w:hint="eastAsia" w:ascii="宋体" w:hAnsi="宋体" w:cs="宋体"/>
                <w:sz w:val="24"/>
                <w:lang w:bidi="ar"/>
              </w:rPr>
              <w:t>（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tc>
      </w:tr>
      <w:tr w14:paraId="4FA34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671" w:type="pct"/>
            <w:vAlign w:val="center"/>
          </w:tcPr>
          <w:p w14:paraId="74D9B898">
            <w:pPr>
              <w:spacing w:line="360" w:lineRule="auto"/>
              <w:jc w:val="center"/>
              <w:rPr>
                <w:rFonts w:hint="eastAsia" w:ascii="宋体" w:hAnsi="宋体" w:cs="宋体"/>
                <w:sz w:val="24"/>
              </w:rPr>
            </w:pPr>
            <w:r>
              <w:rPr>
                <w:rFonts w:hint="eastAsia" w:ascii="宋体" w:hAnsi="宋体" w:cs="宋体"/>
                <w:sz w:val="24"/>
              </w:rPr>
              <w:t>技术方案</w:t>
            </w:r>
          </w:p>
        </w:tc>
        <w:tc>
          <w:tcPr>
            <w:tcW w:w="550" w:type="pct"/>
            <w:vAlign w:val="center"/>
          </w:tcPr>
          <w:p w14:paraId="5F8B87AB">
            <w:pPr>
              <w:spacing w:line="360" w:lineRule="auto"/>
              <w:jc w:val="center"/>
              <w:rPr>
                <w:rFonts w:hint="eastAsia" w:ascii="宋体" w:hAnsi="宋体" w:cs="宋体"/>
                <w:sz w:val="24"/>
              </w:rPr>
            </w:pPr>
            <w:r>
              <w:rPr>
                <w:rFonts w:hint="eastAsia" w:ascii="宋体" w:hAnsi="宋体" w:cs="宋体"/>
                <w:sz w:val="24"/>
              </w:rPr>
              <w:t>15分</w:t>
            </w:r>
          </w:p>
        </w:tc>
        <w:tc>
          <w:tcPr>
            <w:tcW w:w="3762" w:type="pct"/>
            <w:gridSpan w:val="2"/>
          </w:tcPr>
          <w:p w14:paraId="06E08D0E">
            <w:pPr>
              <w:spacing w:line="360" w:lineRule="auto"/>
              <w:ind w:firstLine="480" w:firstLineChars="200"/>
              <w:rPr>
                <w:rFonts w:hint="eastAsia" w:ascii="宋体" w:hAnsi="宋体" w:cs="宋体"/>
                <w:sz w:val="24"/>
              </w:rPr>
            </w:pPr>
            <w:r>
              <w:rPr>
                <w:rFonts w:hint="eastAsia" w:ascii="宋体" w:hAnsi="宋体" w:cs="宋体"/>
                <w:sz w:val="24"/>
              </w:rPr>
              <w:t>投标人对项目建设背景、平台建设目标理解充分，符合本项目建设总体要求，满足项目建设的要求，各部分内容完全贴合用户需求，满足日常使用需求。</w:t>
            </w:r>
          </w:p>
          <w:p w14:paraId="6F901512">
            <w:pPr>
              <w:spacing w:line="360" w:lineRule="auto"/>
              <w:rPr>
                <w:rFonts w:hint="eastAsia" w:ascii="宋体" w:hAnsi="宋体" w:cs="宋体"/>
                <w:sz w:val="24"/>
              </w:rPr>
            </w:pPr>
            <w:r>
              <w:rPr>
                <w:rFonts w:hint="eastAsia" w:ascii="宋体" w:hAnsi="宋体" w:cs="宋体"/>
                <w:sz w:val="24"/>
              </w:rPr>
              <w:t>1.方案设计科学有效、合理先进、安全可靠、经济实用，完全满足用户需求计15分 ；</w:t>
            </w:r>
          </w:p>
          <w:p w14:paraId="05853C38">
            <w:pPr>
              <w:spacing w:line="360" w:lineRule="auto"/>
              <w:rPr>
                <w:rFonts w:hint="eastAsia" w:ascii="宋体" w:hAnsi="宋体" w:cs="宋体"/>
                <w:sz w:val="24"/>
              </w:rPr>
            </w:pPr>
            <w:r>
              <w:rPr>
                <w:rFonts w:hint="eastAsia" w:ascii="宋体" w:hAnsi="宋体" w:cs="宋体"/>
                <w:sz w:val="24"/>
              </w:rPr>
              <w:t>2.方案设计科学有效、架构基本完整、层次分级基本明确，满足招标文件要求，得10分 ；</w:t>
            </w:r>
          </w:p>
          <w:p w14:paraId="6363DA60">
            <w:pPr>
              <w:spacing w:line="360" w:lineRule="auto"/>
              <w:rPr>
                <w:rFonts w:hint="eastAsia" w:ascii="宋体" w:hAnsi="宋体" w:cs="宋体"/>
                <w:sz w:val="24"/>
              </w:rPr>
            </w:pPr>
            <w:r>
              <w:rPr>
                <w:rFonts w:hint="eastAsia" w:ascii="宋体" w:hAnsi="宋体" w:cs="宋体"/>
                <w:sz w:val="24"/>
              </w:rPr>
              <w:t>3.方案设计比较合理，架构比较完整，层次分级比较明确，基本满足招标文件要求，得8分；</w:t>
            </w:r>
          </w:p>
          <w:p w14:paraId="08BD9142">
            <w:pPr>
              <w:spacing w:line="360" w:lineRule="auto"/>
              <w:rPr>
                <w:rFonts w:hint="eastAsia" w:ascii="宋体" w:hAnsi="宋体" w:cs="宋体"/>
                <w:sz w:val="24"/>
              </w:rPr>
            </w:pPr>
            <w:r>
              <w:rPr>
                <w:rFonts w:hint="eastAsia" w:ascii="宋体" w:hAnsi="宋体" w:cs="宋体"/>
                <w:sz w:val="24"/>
              </w:rPr>
              <w:t>4.方案设计基本合理，架构不完整，层次分级不明确，得5分；</w:t>
            </w:r>
          </w:p>
          <w:p w14:paraId="6B7A5888">
            <w:pPr>
              <w:spacing w:line="360" w:lineRule="auto"/>
              <w:rPr>
                <w:rFonts w:hint="eastAsia" w:ascii="宋体" w:hAnsi="宋体" w:cs="宋体"/>
                <w:sz w:val="24"/>
              </w:rPr>
            </w:pPr>
            <w:r>
              <w:rPr>
                <w:rFonts w:hint="eastAsia" w:ascii="宋体" w:hAnsi="宋体" w:cs="宋体"/>
                <w:sz w:val="24"/>
              </w:rPr>
              <w:t>5.方案设计不完整，经济适用性不合理，内容有部分缺项，得2分； 未提供得0分。</w:t>
            </w:r>
          </w:p>
        </w:tc>
      </w:tr>
      <w:tr w14:paraId="74512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671" w:type="pct"/>
            <w:vAlign w:val="center"/>
          </w:tcPr>
          <w:p w14:paraId="45A0CACD">
            <w:pPr>
              <w:spacing w:line="360" w:lineRule="auto"/>
              <w:jc w:val="center"/>
              <w:rPr>
                <w:rFonts w:hint="eastAsia" w:ascii="宋体" w:hAnsi="宋体" w:cs="宋体"/>
                <w:sz w:val="24"/>
              </w:rPr>
            </w:pPr>
            <w:r>
              <w:rPr>
                <w:rFonts w:hint="eastAsia" w:ascii="宋体" w:hAnsi="宋体" w:cs="宋体"/>
                <w:sz w:val="24"/>
              </w:rPr>
              <w:t>技术参数</w:t>
            </w:r>
          </w:p>
        </w:tc>
        <w:tc>
          <w:tcPr>
            <w:tcW w:w="550" w:type="pct"/>
            <w:vAlign w:val="center"/>
          </w:tcPr>
          <w:p w14:paraId="4490E7F3">
            <w:pPr>
              <w:spacing w:line="360" w:lineRule="auto"/>
              <w:jc w:val="center"/>
              <w:rPr>
                <w:rFonts w:hint="eastAsia" w:ascii="宋体" w:hAnsi="宋体" w:cs="宋体"/>
                <w:sz w:val="24"/>
              </w:rPr>
            </w:pPr>
            <w:r>
              <w:rPr>
                <w:rFonts w:hint="eastAsia" w:ascii="宋体" w:hAnsi="宋体" w:cs="宋体"/>
                <w:sz w:val="24"/>
              </w:rPr>
              <w:t>30分</w:t>
            </w:r>
          </w:p>
        </w:tc>
        <w:tc>
          <w:tcPr>
            <w:tcW w:w="3762" w:type="pct"/>
            <w:gridSpan w:val="2"/>
          </w:tcPr>
          <w:p w14:paraId="061F2814">
            <w:pPr>
              <w:spacing w:line="360" w:lineRule="auto"/>
              <w:rPr>
                <w:rFonts w:hint="eastAsia" w:ascii="宋体" w:hAnsi="宋体" w:cs="宋体"/>
                <w:sz w:val="24"/>
              </w:rPr>
            </w:pPr>
            <w:r>
              <w:rPr>
                <w:rFonts w:hint="eastAsia" w:ascii="宋体" w:hAnsi="宋体" w:cs="宋体"/>
                <w:sz w:val="24"/>
              </w:rPr>
              <w:t>投标产品技术参数、规格型号、品牌、性能等有详细说明，无缺漏项，选型合理，配置齐全，完全满足招标文件要求得25分。其中带“▲”项技术参数要求每负偏离一项扣1分，其他技术参数要求每负偏离一项扣0.5分，扣完为止。技术参数每优于一项加0.5分，最多5分，并对优于项做出详细说明，同时提供证明材料进行佐证，不限于产品彩页、产品说明书、官网功能截图等任一技术支持性文件（资料）等。</w:t>
            </w:r>
          </w:p>
        </w:tc>
      </w:tr>
      <w:tr w14:paraId="446EA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671" w:type="pct"/>
            <w:vAlign w:val="center"/>
          </w:tcPr>
          <w:p w14:paraId="69A0CFB4">
            <w:pPr>
              <w:spacing w:line="360" w:lineRule="auto"/>
              <w:jc w:val="center"/>
              <w:rPr>
                <w:rFonts w:hint="eastAsia" w:ascii="宋体" w:hAnsi="宋体" w:cs="宋体"/>
                <w:sz w:val="24"/>
              </w:rPr>
            </w:pPr>
            <w:r>
              <w:rPr>
                <w:rFonts w:hint="eastAsia" w:ascii="宋体" w:hAnsi="宋体" w:cs="宋体"/>
                <w:sz w:val="24"/>
              </w:rPr>
              <w:t>实施方案</w:t>
            </w:r>
          </w:p>
        </w:tc>
        <w:tc>
          <w:tcPr>
            <w:tcW w:w="550" w:type="pct"/>
            <w:vAlign w:val="center"/>
          </w:tcPr>
          <w:p w14:paraId="594D2433">
            <w:pPr>
              <w:spacing w:line="360" w:lineRule="auto"/>
              <w:jc w:val="center"/>
              <w:rPr>
                <w:rFonts w:hint="eastAsia" w:ascii="宋体" w:hAnsi="宋体" w:cs="宋体"/>
                <w:sz w:val="24"/>
              </w:rPr>
            </w:pPr>
            <w:r>
              <w:rPr>
                <w:rFonts w:hint="eastAsia" w:ascii="宋体" w:hAnsi="宋体" w:cs="宋体"/>
                <w:sz w:val="24"/>
              </w:rPr>
              <w:t>5分</w:t>
            </w:r>
          </w:p>
        </w:tc>
        <w:tc>
          <w:tcPr>
            <w:tcW w:w="3762" w:type="pct"/>
            <w:gridSpan w:val="2"/>
          </w:tcPr>
          <w:p w14:paraId="7F72A35F">
            <w:pPr>
              <w:spacing w:line="360" w:lineRule="auto"/>
              <w:ind w:firstLine="480" w:firstLineChars="200"/>
              <w:rPr>
                <w:rFonts w:hint="eastAsia" w:ascii="宋体" w:hAnsi="宋体" w:cs="宋体"/>
                <w:sz w:val="24"/>
              </w:rPr>
            </w:pPr>
            <w:r>
              <w:rPr>
                <w:rFonts w:hint="eastAsia" w:ascii="宋体" w:hAnsi="宋体" w:cs="宋体"/>
                <w:sz w:val="24"/>
              </w:rPr>
              <w:t>项目实施方案完整可行，人力物力财力保障措施可靠，能够保证按期供货，具有明确的实施方案，提供备货、供货进度及保证措施、责任制度、产品安装、检测、 调试等方面方案实施措施。</w:t>
            </w:r>
          </w:p>
          <w:p w14:paraId="6BF27476">
            <w:pPr>
              <w:spacing w:line="360" w:lineRule="auto"/>
              <w:rPr>
                <w:rFonts w:hint="eastAsia" w:ascii="宋体" w:hAnsi="宋体" w:cs="宋体"/>
                <w:sz w:val="24"/>
              </w:rPr>
            </w:pPr>
            <w:r>
              <w:rPr>
                <w:rFonts w:hint="eastAsia" w:ascii="宋体" w:hAnsi="宋体" w:cs="宋体"/>
                <w:sz w:val="24"/>
              </w:rPr>
              <w:t>1.实施方案全面、具体、可行、科学合理，得5分；</w:t>
            </w:r>
          </w:p>
          <w:p w14:paraId="4F6AC3EF">
            <w:pPr>
              <w:spacing w:line="360" w:lineRule="auto"/>
              <w:rPr>
                <w:rFonts w:hint="eastAsia" w:ascii="宋体" w:hAnsi="宋体" w:cs="宋体"/>
                <w:sz w:val="24"/>
              </w:rPr>
            </w:pPr>
            <w:r>
              <w:rPr>
                <w:rFonts w:hint="eastAsia" w:ascii="宋体" w:hAnsi="宋体" w:cs="宋体"/>
                <w:sz w:val="24"/>
              </w:rPr>
              <w:t>2.实施方案比较全面、具体、可行、科学合理，得4分；</w:t>
            </w:r>
          </w:p>
          <w:p w14:paraId="4DEB8569">
            <w:pPr>
              <w:spacing w:line="360" w:lineRule="auto"/>
              <w:rPr>
                <w:rFonts w:hint="eastAsia" w:ascii="宋体" w:hAnsi="宋体" w:cs="宋体"/>
                <w:sz w:val="24"/>
              </w:rPr>
            </w:pPr>
            <w:r>
              <w:rPr>
                <w:rFonts w:hint="eastAsia" w:ascii="宋体" w:hAnsi="宋体" w:cs="宋体"/>
                <w:sz w:val="24"/>
              </w:rPr>
              <w:t xml:space="preserve">3.实施方案相对全面、具体合理，得3分； </w:t>
            </w:r>
          </w:p>
          <w:p w14:paraId="5F69E1F6">
            <w:pPr>
              <w:spacing w:line="360" w:lineRule="auto"/>
              <w:rPr>
                <w:rFonts w:hint="eastAsia" w:ascii="宋体" w:hAnsi="宋体" w:cs="宋体"/>
                <w:sz w:val="24"/>
              </w:rPr>
            </w:pPr>
            <w:r>
              <w:rPr>
                <w:rFonts w:hint="eastAsia" w:ascii="宋体" w:hAnsi="宋体" w:cs="宋体"/>
                <w:sz w:val="24"/>
              </w:rPr>
              <w:t>4.实施方案基本全面、合理，得2分；</w:t>
            </w:r>
          </w:p>
          <w:p w14:paraId="7C0E8BE1">
            <w:pPr>
              <w:spacing w:line="360" w:lineRule="auto"/>
              <w:rPr>
                <w:rFonts w:hint="eastAsia" w:ascii="宋体" w:hAnsi="宋体" w:cs="宋体"/>
                <w:sz w:val="24"/>
              </w:rPr>
            </w:pPr>
            <w:r>
              <w:rPr>
                <w:rFonts w:hint="eastAsia" w:ascii="宋体" w:hAnsi="宋体" w:cs="宋体"/>
                <w:sz w:val="24"/>
              </w:rPr>
              <w:t xml:space="preserve">5.实施方案简单，有一定的合理性得1分； </w:t>
            </w:r>
          </w:p>
          <w:p w14:paraId="55193E0F">
            <w:pPr>
              <w:spacing w:line="360" w:lineRule="auto"/>
              <w:rPr>
                <w:rFonts w:hint="eastAsia" w:ascii="宋体" w:hAnsi="宋体" w:cs="宋体"/>
                <w:sz w:val="24"/>
              </w:rPr>
            </w:pPr>
            <w:r>
              <w:rPr>
                <w:rFonts w:hint="eastAsia" w:ascii="宋体" w:hAnsi="宋体" w:cs="宋体"/>
                <w:sz w:val="24"/>
              </w:rPr>
              <w:t>6.不满足项目要求不计分。</w:t>
            </w:r>
          </w:p>
        </w:tc>
      </w:tr>
      <w:tr w14:paraId="6CFF3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pct"/>
          <w:trHeight w:val="23" w:hRule="atLeast"/>
          <w:jc w:val="center"/>
        </w:trPr>
        <w:tc>
          <w:tcPr>
            <w:tcW w:w="671" w:type="pct"/>
            <w:vAlign w:val="center"/>
          </w:tcPr>
          <w:p w14:paraId="6326A873">
            <w:pPr>
              <w:spacing w:line="360" w:lineRule="auto"/>
              <w:jc w:val="center"/>
              <w:rPr>
                <w:rFonts w:hint="eastAsia" w:ascii="宋体" w:hAnsi="宋体" w:cs="宋体"/>
                <w:sz w:val="24"/>
              </w:rPr>
            </w:pPr>
            <w:r>
              <w:rPr>
                <w:rFonts w:hint="eastAsia" w:ascii="宋体" w:hAnsi="宋体" w:cs="宋体"/>
                <w:sz w:val="24"/>
              </w:rPr>
              <w:t>实施团队</w:t>
            </w:r>
          </w:p>
        </w:tc>
        <w:tc>
          <w:tcPr>
            <w:tcW w:w="556" w:type="pct"/>
            <w:gridSpan w:val="2"/>
            <w:vAlign w:val="center"/>
          </w:tcPr>
          <w:p w14:paraId="5D192D5A">
            <w:pPr>
              <w:spacing w:line="360" w:lineRule="auto"/>
              <w:jc w:val="center"/>
              <w:rPr>
                <w:rFonts w:hint="eastAsia" w:ascii="宋体" w:hAnsi="宋体" w:cs="宋体"/>
                <w:sz w:val="24"/>
              </w:rPr>
            </w:pPr>
            <w:r>
              <w:rPr>
                <w:rFonts w:hint="eastAsia" w:ascii="宋体" w:hAnsi="宋体" w:cs="宋体"/>
                <w:sz w:val="24"/>
              </w:rPr>
              <w:t>5分</w:t>
            </w:r>
          </w:p>
        </w:tc>
        <w:tc>
          <w:tcPr>
            <w:tcW w:w="3758" w:type="pct"/>
          </w:tcPr>
          <w:p w14:paraId="29EDACEA">
            <w:pPr>
              <w:spacing w:line="360" w:lineRule="auto"/>
              <w:jc w:val="left"/>
              <w:rPr>
                <w:rFonts w:hint="eastAsia" w:ascii="宋体" w:hAnsi="宋体" w:cs="宋体"/>
                <w:sz w:val="24"/>
              </w:rPr>
            </w:pPr>
            <w:r>
              <w:rPr>
                <w:rFonts w:hint="eastAsia" w:ascii="宋体" w:hAnsi="宋体" w:cs="宋体"/>
                <w:sz w:val="24"/>
              </w:rPr>
              <w:t>包括但不限于人员信息、技术人员配备及岗位职责划分等。</w:t>
            </w:r>
          </w:p>
          <w:p w14:paraId="1E0F50F8">
            <w:pPr>
              <w:spacing w:line="360" w:lineRule="auto"/>
              <w:ind w:left="120"/>
              <w:jc w:val="left"/>
              <w:rPr>
                <w:rFonts w:hint="eastAsia" w:ascii="宋体" w:hAnsi="宋体" w:cs="宋体"/>
                <w:sz w:val="24"/>
              </w:rPr>
            </w:pPr>
            <w:r>
              <w:rPr>
                <w:rFonts w:hint="eastAsia" w:ascii="宋体" w:hAnsi="宋体" w:cs="宋体"/>
                <w:sz w:val="24"/>
              </w:rPr>
              <w:t>1、技术人员信息明确、人员配备全面合理职责划分清晰得5分；</w:t>
            </w:r>
          </w:p>
          <w:p w14:paraId="4CA20A44">
            <w:pPr>
              <w:spacing w:line="360" w:lineRule="auto"/>
              <w:ind w:left="120"/>
              <w:jc w:val="left"/>
              <w:rPr>
                <w:rFonts w:hint="eastAsia" w:ascii="宋体" w:hAnsi="宋体" w:cs="宋体"/>
                <w:sz w:val="24"/>
              </w:rPr>
            </w:pPr>
            <w:r>
              <w:rPr>
                <w:rFonts w:hint="eastAsia" w:ascii="宋体" w:hAnsi="宋体" w:cs="宋体"/>
                <w:sz w:val="24"/>
              </w:rPr>
              <w:t>2、 技术人员信息较明确、人员配备较全面合理职责划分较清晰得3分；</w:t>
            </w:r>
          </w:p>
          <w:p w14:paraId="7F70BA2D">
            <w:pPr>
              <w:spacing w:line="360" w:lineRule="auto"/>
              <w:ind w:left="120"/>
              <w:jc w:val="left"/>
              <w:rPr>
                <w:rFonts w:hint="eastAsia" w:ascii="宋体" w:hAnsi="宋体" w:cs="宋体"/>
                <w:sz w:val="24"/>
              </w:rPr>
            </w:pPr>
            <w:r>
              <w:rPr>
                <w:rFonts w:hint="eastAsia" w:ascii="宋体" w:hAnsi="宋体" w:cs="宋体"/>
                <w:sz w:val="24"/>
              </w:rPr>
              <w:t xml:space="preserve">3、技术人员信息不明确、人员配备不全面合理职责划分不清晰得2分； </w:t>
            </w:r>
          </w:p>
          <w:p w14:paraId="22A34AA2">
            <w:pPr>
              <w:spacing w:line="360" w:lineRule="auto"/>
              <w:ind w:left="120"/>
              <w:jc w:val="left"/>
              <w:rPr>
                <w:rFonts w:hint="eastAsia" w:ascii="宋体" w:hAnsi="宋体" w:cs="宋体"/>
                <w:sz w:val="24"/>
              </w:rPr>
            </w:pPr>
            <w:r>
              <w:rPr>
                <w:rFonts w:hint="eastAsia" w:ascii="宋体" w:hAnsi="宋体" w:cs="宋体"/>
                <w:sz w:val="24"/>
              </w:rPr>
              <w:t>4、未提供人员配备方案不得分。</w:t>
            </w:r>
          </w:p>
          <w:p w14:paraId="6D72ED1C">
            <w:pPr>
              <w:spacing w:line="360" w:lineRule="auto"/>
              <w:rPr>
                <w:rFonts w:hint="eastAsia" w:ascii="宋体" w:hAnsi="宋体" w:cs="宋体"/>
                <w:sz w:val="24"/>
              </w:rPr>
            </w:pPr>
            <w:r>
              <w:rPr>
                <w:rFonts w:hint="eastAsia" w:ascii="宋体" w:hAnsi="宋体" w:cs="宋体"/>
                <w:sz w:val="24"/>
              </w:rPr>
              <w:t>注：以上人员需为本单位在职人员，需提供劳动合同等证明资料。未提供不得分。</w:t>
            </w:r>
          </w:p>
        </w:tc>
      </w:tr>
      <w:tr w14:paraId="70845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pct"/>
          <w:trHeight w:val="23" w:hRule="atLeast"/>
          <w:jc w:val="center"/>
        </w:trPr>
        <w:tc>
          <w:tcPr>
            <w:tcW w:w="671" w:type="pct"/>
            <w:vAlign w:val="center"/>
          </w:tcPr>
          <w:p w14:paraId="15F6367D">
            <w:pPr>
              <w:spacing w:line="360" w:lineRule="auto"/>
              <w:jc w:val="center"/>
              <w:rPr>
                <w:rFonts w:hint="eastAsia" w:ascii="宋体" w:hAnsi="宋体" w:cs="宋体"/>
                <w:sz w:val="24"/>
              </w:rPr>
            </w:pPr>
            <w:r>
              <w:rPr>
                <w:rFonts w:hint="eastAsia" w:ascii="宋体" w:hAnsi="宋体" w:cs="宋体"/>
                <w:sz w:val="24"/>
              </w:rPr>
              <w:t>安全保密措施</w:t>
            </w:r>
          </w:p>
        </w:tc>
        <w:tc>
          <w:tcPr>
            <w:tcW w:w="556" w:type="pct"/>
            <w:gridSpan w:val="2"/>
            <w:vAlign w:val="center"/>
          </w:tcPr>
          <w:p w14:paraId="2195167B">
            <w:pPr>
              <w:spacing w:line="360" w:lineRule="auto"/>
              <w:jc w:val="center"/>
              <w:rPr>
                <w:rFonts w:hint="eastAsia" w:ascii="宋体" w:hAnsi="宋体" w:cs="宋体"/>
                <w:sz w:val="24"/>
              </w:rPr>
            </w:pPr>
            <w:r>
              <w:rPr>
                <w:rFonts w:hint="eastAsia" w:ascii="宋体" w:hAnsi="宋体" w:cs="宋体"/>
                <w:sz w:val="24"/>
              </w:rPr>
              <w:t>5分</w:t>
            </w:r>
          </w:p>
        </w:tc>
        <w:tc>
          <w:tcPr>
            <w:tcW w:w="3758" w:type="pct"/>
          </w:tcPr>
          <w:p w14:paraId="6F8C2195">
            <w:pPr>
              <w:spacing w:line="360" w:lineRule="auto"/>
              <w:rPr>
                <w:rFonts w:hint="eastAsia" w:ascii="宋体" w:hAnsi="宋体" w:cs="宋体"/>
                <w:sz w:val="24"/>
              </w:rPr>
            </w:pPr>
            <w:r>
              <w:rPr>
                <w:rFonts w:hint="eastAsia" w:ascii="宋体" w:hAnsi="宋体" w:cs="宋体"/>
                <w:sz w:val="24"/>
              </w:rPr>
              <w:t>针对本项目的需求结合实际情况制定相关安全保密管理措施。</w:t>
            </w:r>
          </w:p>
          <w:p w14:paraId="6DF1341B">
            <w:pPr>
              <w:spacing w:line="360" w:lineRule="auto"/>
              <w:rPr>
                <w:rFonts w:hint="eastAsia" w:ascii="宋体" w:hAnsi="宋体" w:cs="宋体"/>
                <w:sz w:val="24"/>
              </w:rPr>
            </w:pPr>
            <w:r>
              <w:rPr>
                <w:rFonts w:hint="eastAsia" w:ascii="宋体" w:hAnsi="宋体" w:cs="宋体"/>
                <w:sz w:val="24"/>
              </w:rPr>
              <w:t>保密管理措施全面、具体、合理，得5分；</w:t>
            </w:r>
          </w:p>
          <w:p w14:paraId="5968EE10">
            <w:pPr>
              <w:spacing w:line="360" w:lineRule="auto"/>
              <w:rPr>
                <w:rFonts w:hint="eastAsia" w:ascii="宋体" w:hAnsi="宋体" w:cs="宋体"/>
                <w:sz w:val="24"/>
              </w:rPr>
            </w:pPr>
            <w:r>
              <w:rPr>
                <w:rFonts w:hint="eastAsia" w:ascii="宋体" w:hAnsi="宋体" w:cs="宋体"/>
                <w:sz w:val="24"/>
              </w:rPr>
              <w:t>保密管理措施相对全面、合理，得3分；</w:t>
            </w:r>
          </w:p>
          <w:p w14:paraId="2981B833">
            <w:pPr>
              <w:spacing w:line="360" w:lineRule="auto"/>
              <w:rPr>
                <w:rFonts w:hint="eastAsia" w:ascii="宋体" w:hAnsi="宋体" w:cs="宋体"/>
                <w:sz w:val="24"/>
              </w:rPr>
            </w:pPr>
            <w:r>
              <w:rPr>
                <w:rFonts w:hint="eastAsia" w:ascii="宋体" w:hAnsi="宋体" w:cs="宋体"/>
                <w:sz w:val="24"/>
              </w:rPr>
              <w:t>保密管理措施简单，有一定的合理性得1分； 未提供得0分。</w:t>
            </w:r>
          </w:p>
        </w:tc>
      </w:tr>
      <w:tr w14:paraId="58D37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pct"/>
          <w:trHeight w:val="23" w:hRule="atLeast"/>
          <w:jc w:val="center"/>
        </w:trPr>
        <w:tc>
          <w:tcPr>
            <w:tcW w:w="671" w:type="pct"/>
            <w:vAlign w:val="center"/>
          </w:tcPr>
          <w:p w14:paraId="1FBB8848">
            <w:pPr>
              <w:spacing w:line="360" w:lineRule="auto"/>
              <w:jc w:val="center"/>
              <w:rPr>
                <w:rFonts w:hint="eastAsia" w:ascii="宋体" w:hAnsi="宋体" w:cs="宋体"/>
                <w:sz w:val="24"/>
              </w:rPr>
            </w:pPr>
            <w:r>
              <w:rPr>
                <w:rFonts w:hint="eastAsia" w:ascii="宋体" w:hAnsi="宋体" w:cs="宋体"/>
                <w:sz w:val="24"/>
              </w:rPr>
              <w:t>项目质量保障措施</w:t>
            </w:r>
          </w:p>
        </w:tc>
        <w:tc>
          <w:tcPr>
            <w:tcW w:w="556" w:type="pct"/>
            <w:gridSpan w:val="2"/>
            <w:vAlign w:val="center"/>
          </w:tcPr>
          <w:p w14:paraId="7867E6D4">
            <w:pPr>
              <w:spacing w:line="360" w:lineRule="auto"/>
              <w:jc w:val="center"/>
              <w:rPr>
                <w:rFonts w:hint="eastAsia" w:ascii="宋体" w:hAnsi="宋体" w:cs="宋体"/>
                <w:sz w:val="24"/>
              </w:rPr>
            </w:pPr>
            <w:r>
              <w:rPr>
                <w:rFonts w:hint="eastAsia" w:ascii="宋体" w:hAnsi="宋体" w:cs="宋体"/>
                <w:sz w:val="24"/>
              </w:rPr>
              <w:t>5分</w:t>
            </w:r>
          </w:p>
        </w:tc>
        <w:tc>
          <w:tcPr>
            <w:tcW w:w="3758" w:type="pct"/>
          </w:tcPr>
          <w:p w14:paraId="450F4774">
            <w:pPr>
              <w:spacing w:line="360" w:lineRule="auto"/>
              <w:rPr>
                <w:rFonts w:hint="eastAsia" w:ascii="宋体" w:hAnsi="宋体" w:cs="宋体"/>
                <w:sz w:val="24"/>
              </w:rPr>
            </w:pPr>
            <w:r>
              <w:rPr>
                <w:rFonts w:hint="eastAsia" w:ascii="宋体" w:hAnsi="宋体" w:cs="宋体"/>
                <w:sz w:val="24"/>
              </w:rPr>
              <w:t>针对本项目提供切实可行的质量保障措施，确保本项目建成后满足公安大数据安全要求与规范。</w:t>
            </w:r>
          </w:p>
          <w:p w14:paraId="76351177">
            <w:pPr>
              <w:spacing w:line="360" w:lineRule="auto"/>
              <w:rPr>
                <w:rFonts w:hint="eastAsia" w:ascii="宋体" w:hAnsi="宋体" w:cs="宋体"/>
                <w:sz w:val="24"/>
              </w:rPr>
            </w:pPr>
            <w:r>
              <w:rPr>
                <w:rFonts w:hint="eastAsia" w:ascii="宋体" w:hAnsi="宋体" w:cs="宋体"/>
                <w:sz w:val="24"/>
              </w:rPr>
              <w:t>措施全面、具体、可行、科学合理，得5分；</w:t>
            </w:r>
          </w:p>
          <w:p w14:paraId="6CEC0ABF">
            <w:pPr>
              <w:spacing w:line="360" w:lineRule="auto"/>
              <w:rPr>
                <w:rFonts w:hint="eastAsia" w:ascii="宋体" w:hAnsi="宋体" w:cs="宋体"/>
                <w:sz w:val="24"/>
              </w:rPr>
            </w:pPr>
            <w:r>
              <w:rPr>
                <w:rFonts w:hint="eastAsia" w:ascii="宋体" w:hAnsi="宋体" w:cs="宋体"/>
                <w:sz w:val="24"/>
              </w:rPr>
              <w:t>措施比较全面、具体、可行、科学合理，得4分； 措施相对全面、具体、合理，得3分；</w:t>
            </w:r>
          </w:p>
          <w:p w14:paraId="36653FCB">
            <w:pPr>
              <w:spacing w:line="360" w:lineRule="auto"/>
              <w:rPr>
                <w:rFonts w:hint="eastAsia" w:ascii="宋体" w:hAnsi="宋体" w:cs="宋体"/>
                <w:sz w:val="24"/>
              </w:rPr>
            </w:pPr>
            <w:r>
              <w:rPr>
                <w:rFonts w:hint="eastAsia" w:ascii="宋体" w:hAnsi="宋体" w:cs="宋体"/>
                <w:sz w:val="24"/>
              </w:rPr>
              <w:t>措施基本全面、合理，得2分；</w:t>
            </w:r>
          </w:p>
          <w:p w14:paraId="654D12B4">
            <w:pPr>
              <w:spacing w:line="360" w:lineRule="auto"/>
              <w:rPr>
                <w:rFonts w:hint="eastAsia" w:ascii="宋体" w:hAnsi="宋体" w:cs="宋体"/>
                <w:sz w:val="24"/>
              </w:rPr>
            </w:pPr>
            <w:r>
              <w:rPr>
                <w:rFonts w:hint="eastAsia" w:ascii="宋体" w:hAnsi="宋体" w:cs="宋体"/>
                <w:sz w:val="24"/>
              </w:rPr>
              <w:t>措施简单，有一定的合理性得1分； 未提供得0分。</w:t>
            </w:r>
          </w:p>
        </w:tc>
      </w:tr>
      <w:tr w14:paraId="7B98B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pct"/>
          <w:trHeight w:val="23" w:hRule="atLeast"/>
          <w:jc w:val="center"/>
        </w:trPr>
        <w:tc>
          <w:tcPr>
            <w:tcW w:w="671" w:type="pct"/>
            <w:vAlign w:val="center"/>
          </w:tcPr>
          <w:p w14:paraId="43F96093">
            <w:pPr>
              <w:spacing w:line="360" w:lineRule="auto"/>
              <w:jc w:val="center"/>
              <w:rPr>
                <w:rFonts w:hint="eastAsia" w:ascii="宋体" w:hAnsi="宋体" w:cs="宋体"/>
                <w:sz w:val="24"/>
              </w:rPr>
            </w:pPr>
            <w:r>
              <w:rPr>
                <w:rFonts w:hint="eastAsia" w:ascii="宋体" w:hAnsi="宋体" w:cs="宋体"/>
                <w:sz w:val="24"/>
              </w:rPr>
              <w:t>业绩证明</w:t>
            </w:r>
          </w:p>
        </w:tc>
        <w:tc>
          <w:tcPr>
            <w:tcW w:w="556" w:type="pct"/>
            <w:gridSpan w:val="2"/>
            <w:vAlign w:val="center"/>
          </w:tcPr>
          <w:p w14:paraId="50FABB52">
            <w:pPr>
              <w:spacing w:line="360" w:lineRule="auto"/>
              <w:jc w:val="center"/>
              <w:rPr>
                <w:rFonts w:hint="eastAsia" w:ascii="宋体" w:hAnsi="宋体" w:cs="宋体"/>
                <w:sz w:val="24"/>
              </w:rPr>
            </w:pPr>
            <w:r>
              <w:rPr>
                <w:rFonts w:hint="eastAsia" w:ascii="宋体" w:hAnsi="宋体" w:cs="宋体"/>
                <w:sz w:val="24"/>
              </w:rPr>
              <w:t>3分</w:t>
            </w:r>
          </w:p>
        </w:tc>
        <w:tc>
          <w:tcPr>
            <w:tcW w:w="3758" w:type="pct"/>
          </w:tcPr>
          <w:p w14:paraId="3DF1236A">
            <w:pPr>
              <w:spacing w:line="360" w:lineRule="auto"/>
              <w:rPr>
                <w:rFonts w:hint="eastAsia" w:ascii="宋体" w:hAnsi="宋体" w:cs="宋体"/>
                <w:sz w:val="24"/>
              </w:rPr>
            </w:pPr>
            <w:r>
              <w:rPr>
                <w:rFonts w:hint="eastAsia" w:ascii="宋体" w:hAnsi="宋体" w:cs="宋体"/>
                <w:sz w:val="24"/>
              </w:rPr>
              <w:t>投标人需提供2021年1月1日至今同类项目业绩证明材料，须提供合同，合同须包含首页、盖章页、清单页等。每个项目得1分，最多得3分。未提供相关证明资料或提供资料不齐的不得分。</w:t>
            </w:r>
          </w:p>
          <w:p w14:paraId="66E85F30">
            <w:pPr>
              <w:spacing w:line="360" w:lineRule="auto"/>
              <w:rPr>
                <w:rFonts w:hint="eastAsia" w:ascii="宋体" w:hAnsi="宋体" w:cs="宋体"/>
                <w:sz w:val="24"/>
              </w:rPr>
            </w:pPr>
            <w:r>
              <w:rPr>
                <w:rFonts w:hint="eastAsia" w:ascii="宋体" w:hAnsi="宋体" w:cs="宋体"/>
                <w:sz w:val="24"/>
              </w:rPr>
              <w:t>注：提供加盖投标人公章的合同复印件，时间以合同签订时间为准。</w:t>
            </w:r>
          </w:p>
        </w:tc>
      </w:tr>
      <w:tr w14:paraId="0EE1E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pct"/>
          <w:trHeight w:val="23" w:hRule="atLeast"/>
          <w:jc w:val="center"/>
        </w:trPr>
        <w:tc>
          <w:tcPr>
            <w:tcW w:w="671" w:type="pct"/>
            <w:vAlign w:val="center"/>
          </w:tcPr>
          <w:p w14:paraId="2BE98E2A">
            <w:pPr>
              <w:spacing w:line="360" w:lineRule="auto"/>
              <w:jc w:val="center"/>
              <w:rPr>
                <w:rFonts w:hint="eastAsia" w:ascii="宋体" w:hAnsi="宋体" w:cs="宋体"/>
                <w:sz w:val="24"/>
              </w:rPr>
            </w:pPr>
            <w:r>
              <w:rPr>
                <w:rFonts w:hint="eastAsia" w:ascii="宋体" w:hAnsi="宋体" w:cs="宋体"/>
                <w:sz w:val="24"/>
              </w:rPr>
              <w:t>售后服务及培训计划</w:t>
            </w:r>
          </w:p>
        </w:tc>
        <w:tc>
          <w:tcPr>
            <w:tcW w:w="556" w:type="pct"/>
            <w:gridSpan w:val="2"/>
            <w:vAlign w:val="center"/>
          </w:tcPr>
          <w:p w14:paraId="39FFBDCC">
            <w:pPr>
              <w:spacing w:line="360" w:lineRule="auto"/>
              <w:jc w:val="center"/>
              <w:rPr>
                <w:rFonts w:hint="eastAsia" w:ascii="宋体" w:hAnsi="宋体" w:cs="宋体"/>
                <w:sz w:val="24"/>
              </w:rPr>
            </w:pPr>
            <w:r>
              <w:rPr>
                <w:rFonts w:hint="eastAsia" w:ascii="宋体" w:hAnsi="宋体" w:cs="宋体"/>
                <w:sz w:val="24"/>
              </w:rPr>
              <w:t>2分</w:t>
            </w:r>
          </w:p>
        </w:tc>
        <w:tc>
          <w:tcPr>
            <w:tcW w:w="3758" w:type="pct"/>
          </w:tcPr>
          <w:p w14:paraId="2320FB1A">
            <w:pPr>
              <w:spacing w:line="360" w:lineRule="auto"/>
              <w:ind w:firstLine="480" w:firstLineChars="200"/>
              <w:rPr>
                <w:rFonts w:hint="eastAsia" w:ascii="宋体" w:hAnsi="宋体" w:cs="宋体"/>
                <w:sz w:val="24"/>
              </w:rPr>
            </w:pPr>
            <w:r>
              <w:rPr>
                <w:rFonts w:hint="eastAsia" w:ascii="宋体" w:hAnsi="宋体" w:cs="宋体"/>
                <w:sz w:val="24"/>
              </w:rPr>
              <w:t>投标人提供详尽的培训方案及培训计划，并列出培训的具体内容及方式，确保使用人员能够独立操作，并进行简单故障排查处理(包括但不限于培训人数、培训时间、培训内容等),方案详细、完善。</w:t>
            </w:r>
          </w:p>
          <w:p w14:paraId="434DCC91">
            <w:pPr>
              <w:numPr>
                <w:ilvl w:val="0"/>
                <w:numId w:val="4"/>
              </w:numPr>
              <w:spacing w:line="360" w:lineRule="auto"/>
              <w:rPr>
                <w:rFonts w:hint="eastAsia" w:ascii="宋体" w:hAnsi="宋体" w:cs="宋体"/>
                <w:sz w:val="24"/>
              </w:rPr>
            </w:pPr>
            <w:r>
              <w:rPr>
                <w:rFonts w:hint="eastAsia" w:ascii="宋体" w:hAnsi="宋体" w:cs="宋体"/>
                <w:sz w:val="24"/>
              </w:rPr>
              <w:t>售后服务方案及培训计划完善，措施科学、合理得2分；</w:t>
            </w:r>
            <w:r>
              <w:rPr>
                <w:rFonts w:ascii="宋体" w:hAnsi="宋体" w:cs="宋体"/>
                <w:sz w:val="24"/>
              </w:rPr>
              <w:t xml:space="preserve"> </w:t>
            </w:r>
          </w:p>
          <w:p w14:paraId="1AADB264">
            <w:pPr>
              <w:spacing w:line="360" w:lineRule="auto"/>
              <w:rPr>
                <w:rFonts w:hint="eastAsia" w:ascii="宋体" w:hAnsi="宋体" w:cs="宋体"/>
                <w:sz w:val="24"/>
              </w:rPr>
            </w:pPr>
            <w:r>
              <w:rPr>
                <w:rFonts w:hint="eastAsia" w:ascii="宋体" w:hAnsi="宋体" w:cs="宋体"/>
                <w:sz w:val="24"/>
              </w:rPr>
              <w:t>2.售后服务方案及培训计划比较完善，措施可行性一般得1分；</w:t>
            </w:r>
          </w:p>
          <w:p w14:paraId="14A16665">
            <w:pPr>
              <w:spacing w:line="360" w:lineRule="auto"/>
              <w:rPr>
                <w:rFonts w:hint="eastAsia" w:ascii="宋体" w:hAnsi="宋体" w:cs="宋体"/>
                <w:sz w:val="24"/>
              </w:rPr>
            </w:pPr>
            <w:r>
              <w:rPr>
                <w:rFonts w:hint="eastAsia" w:ascii="宋体" w:hAnsi="宋体" w:cs="宋体"/>
                <w:sz w:val="24"/>
              </w:rPr>
              <w:t>3.不提供不得分</w:t>
            </w:r>
          </w:p>
        </w:tc>
      </w:tr>
    </w:tbl>
    <w:p w14:paraId="0CB8A340">
      <w:pPr>
        <w:rPr>
          <w:rFonts w:hint="eastAsia" w:ascii="宋体" w:hAnsi="宋体" w:cs="宋体"/>
        </w:rPr>
      </w:pPr>
    </w:p>
    <w:p w14:paraId="225B8EB1">
      <w:pPr>
        <w:spacing w:line="520" w:lineRule="exact"/>
        <w:ind w:firstLine="420"/>
        <w:rPr>
          <w:rFonts w:hint="eastAsia" w:ascii="宋体" w:hAnsi="宋体" w:cs="宋体"/>
          <w:b/>
          <w:sz w:val="24"/>
        </w:rPr>
      </w:pPr>
      <w:r>
        <w:rPr>
          <w:rFonts w:hint="eastAsia" w:ascii="宋体" w:hAnsi="宋体" w:cs="宋体"/>
          <w:b/>
          <w:sz w:val="24"/>
        </w:rPr>
        <w:t xml:space="preserve">7.定标 </w:t>
      </w:r>
    </w:p>
    <w:p w14:paraId="2D7DD7DF">
      <w:pPr>
        <w:spacing w:line="360" w:lineRule="auto"/>
        <w:ind w:firstLine="480" w:firstLineChars="200"/>
        <w:rPr>
          <w:rFonts w:hint="eastAsia" w:ascii="宋体" w:hAnsi="宋体" w:cs="宋体"/>
          <w:sz w:val="24"/>
        </w:rPr>
      </w:pPr>
      <w:r>
        <w:rPr>
          <w:rFonts w:hint="eastAsia" w:ascii="宋体" w:hAnsi="宋体" w:cs="宋体"/>
          <w:sz w:val="24"/>
        </w:rPr>
        <w:t>（1）采购代理机构在评标结束后2个工作日内将评标结果报告送达采购人，采购人在收到评标结果报告后5个工作日内，按照评标结果报告中推荐的中标候选人顺序确定中标人，同时书面复函采购代理机构；</w:t>
      </w:r>
    </w:p>
    <w:p w14:paraId="4FCF48FF">
      <w:pPr>
        <w:spacing w:line="360" w:lineRule="auto"/>
        <w:ind w:firstLine="480" w:firstLineChars="200"/>
        <w:rPr>
          <w:rFonts w:hint="eastAsia" w:ascii="宋体" w:hAnsi="宋体" w:cs="宋体"/>
          <w:sz w:val="24"/>
        </w:rPr>
      </w:pPr>
      <w:r>
        <w:rPr>
          <w:rFonts w:hint="eastAsia" w:ascii="宋体" w:hAnsi="宋体" w:cs="宋体"/>
          <w:sz w:val="24"/>
        </w:rPr>
        <w:t xml:space="preserve">（2）采购代理机构收到采购人“中标复函”后，在财政部门指定的政府采购信息媒体上发布公告，公示期满无异议，向中标人发出“中标通知书”。 </w:t>
      </w:r>
    </w:p>
    <w:p w14:paraId="5E30474F">
      <w:pPr>
        <w:spacing w:line="480" w:lineRule="auto"/>
        <w:jc w:val="center"/>
        <w:rPr>
          <w:rFonts w:hint="eastAsia" w:ascii="宋体" w:hAnsi="宋体" w:cs="宋体"/>
          <w:b/>
          <w:sz w:val="30"/>
          <w:szCs w:val="30"/>
        </w:rPr>
      </w:pPr>
      <w:r>
        <w:rPr>
          <w:rFonts w:hint="eastAsia" w:ascii="宋体" w:hAnsi="宋体" w:cs="宋体"/>
          <w:b/>
          <w:sz w:val="30"/>
          <w:szCs w:val="30"/>
        </w:rPr>
        <w:t>七、签订合同</w:t>
      </w:r>
    </w:p>
    <w:p w14:paraId="7D2C9862">
      <w:pPr>
        <w:spacing w:line="520" w:lineRule="exact"/>
        <w:ind w:firstLine="480" w:firstLineChars="200"/>
        <w:rPr>
          <w:rFonts w:hint="eastAsia" w:ascii="宋体" w:hAnsi="宋体" w:cs="宋体"/>
          <w:sz w:val="24"/>
        </w:rPr>
      </w:pPr>
      <w:r>
        <w:rPr>
          <w:rFonts w:hint="eastAsia" w:ascii="宋体" w:hAnsi="宋体" w:cs="宋体"/>
          <w:sz w:val="24"/>
        </w:rPr>
        <w:t>1.定标后，中标人在收到中标通知书后十五（15）个日历日内，应按招标文件的要求与采购人洽谈合同条款，并签订供货合同，同时送监督机构备案，招标文件及中标人投标文件均作为合同的组成部分；</w:t>
      </w:r>
    </w:p>
    <w:p w14:paraId="32DEDD04">
      <w:pPr>
        <w:spacing w:line="360" w:lineRule="auto"/>
        <w:ind w:firstLine="480" w:firstLineChars="200"/>
        <w:rPr>
          <w:rFonts w:hint="eastAsia" w:ascii="宋体" w:hAnsi="宋体" w:cs="宋体"/>
          <w:sz w:val="24"/>
        </w:rPr>
      </w:pPr>
      <w:r>
        <w:rPr>
          <w:rFonts w:hint="eastAsia" w:ascii="宋体" w:hAnsi="宋体" w:cs="宋体"/>
          <w:sz w:val="24"/>
        </w:rPr>
        <w:t>2.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2AD1AE35">
      <w:pPr>
        <w:spacing w:line="360" w:lineRule="auto"/>
        <w:ind w:firstLine="480" w:firstLineChars="200"/>
        <w:rPr>
          <w:rFonts w:hint="eastAsia" w:ascii="宋体" w:hAnsi="宋体" w:cs="宋体"/>
          <w:sz w:val="24"/>
        </w:rPr>
      </w:pPr>
      <w:r>
        <w:rPr>
          <w:rFonts w:hint="eastAsia" w:ascii="宋体" w:hAnsi="宋体" w:cs="宋体"/>
          <w:sz w:val="24"/>
        </w:rPr>
        <w:t>3.根据需要，采购代理机构可会同采购人负责监督、协调和处理履约过程中出现的问题；</w:t>
      </w:r>
    </w:p>
    <w:p w14:paraId="4914F33B">
      <w:pPr>
        <w:spacing w:line="360" w:lineRule="auto"/>
        <w:ind w:firstLine="480" w:firstLineChars="200"/>
        <w:rPr>
          <w:rFonts w:hint="eastAsia" w:ascii="宋体" w:hAnsi="宋体" w:cs="宋体"/>
          <w:b/>
          <w:sz w:val="30"/>
          <w:szCs w:val="30"/>
        </w:rPr>
      </w:pPr>
      <w:r>
        <w:rPr>
          <w:rFonts w:hint="eastAsia" w:ascii="宋体" w:hAnsi="宋体" w:cs="宋体"/>
          <w:sz w:val="24"/>
        </w:rPr>
        <w:t>4.政府采购管理部门在合同履行期间以及履行期后，可以随时检查项目的执行情况，对采购标准、采购内容进行调查核实，并对发现的问题进行处理。</w:t>
      </w:r>
    </w:p>
    <w:p w14:paraId="43C3FF51">
      <w:pPr>
        <w:spacing w:line="480" w:lineRule="auto"/>
        <w:jc w:val="center"/>
        <w:rPr>
          <w:rFonts w:hint="eastAsia" w:ascii="宋体" w:hAnsi="宋体" w:cs="宋体"/>
          <w:b/>
          <w:sz w:val="30"/>
          <w:szCs w:val="30"/>
        </w:rPr>
      </w:pPr>
      <w:r>
        <w:rPr>
          <w:rFonts w:hint="eastAsia" w:ascii="宋体" w:hAnsi="宋体" w:cs="宋体"/>
          <w:b/>
          <w:sz w:val="30"/>
          <w:szCs w:val="30"/>
        </w:rPr>
        <w:t>八、中标服务费</w:t>
      </w:r>
    </w:p>
    <w:p w14:paraId="51269AF2">
      <w:pPr>
        <w:spacing w:line="360" w:lineRule="auto"/>
        <w:ind w:firstLine="480" w:firstLineChars="200"/>
        <w:rPr>
          <w:rFonts w:hint="eastAsia" w:ascii="宋体" w:hAnsi="宋体" w:cs="宋体"/>
          <w:sz w:val="24"/>
        </w:rPr>
      </w:pPr>
      <w:r>
        <w:rPr>
          <w:rFonts w:hint="eastAsia" w:ascii="宋体" w:hAnsi="宋体" w:cs="宋体"/>
          <w:sz w:val="24"/>
        </w:rPr>
        <w:t>1.中标服务费按约定由中标人支付。</w:t>
      </w:r>
    </w:p>
    <w:p w14:paraId="51130B8E">
      <w:pPr>
        <w:spacing w:line="360" w:lineRule="auto"/>
        <w:ind w:firstLine="480" w:firstLineChars="200"/>
        <w:rPr>
          <w:rFonts w:hint="eastAsia" w:ascii="宋体" w:hAnsi="宋体" w:cs="宋体"/>
          <w:sz w:val="24"/>
        </w:rPr>
      </w:pPr>
      <w:r>
        <w:rPr>
          <w:rFonts w:hint="eastAsia" w:ascii="宋体" w:hAnsi="宋体" w:cs="宋体"/>
          <w:sz w:val="24"/>
        </w:rPr>
        <w:t>2.中标单位应依据中标金额向采购代理机构交纳中标服务费，交费金额依据《国家发展改革委关于进一步放开建设项目专业服务价格的通知》发改价格〔2015〕299号参照原国家计委颁布的《招标代理服务收费管理暂行办法》（计价格[2002]1980号）及发改办价格[2003]857号文件的规定标准收取。</w:t>
      </w:r>
    </w:p>
    <w:p w14:paraId="62AF3807">
      <w:pPr>
        <w:spacing w:line="360" w:lineRule="auto"/>
        <w:ind w:firstLine="480" w:firstLineChars="200"/>
        <w:rPr>
          <w:rFonts w:hint="eastAsia" w:ascii="宋体" w:hAnsi="宋体" w:cs="宋体"/>
          <w:sz w:val="24"/>
        </w:rPr>
      </w:pPr>
      <w:r>
        <w:rPr>
          <w:rFonts w:hint="eastAsia" w:ascii="宋体" w:hAnsi="宋体" w:cs="宋体"/>
          <w:sz w:val="24"/>
        </w:rPr>
        <w:t>3.本项目代理服务费按货物计取。</w:t>
      </w:r>
    </w:p>
    <w:tbl>
      <w:tblPr>
        <w:tblStyle w:val="18"/>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8"/>
        <w:gridCol w:w="1831"/>
        <w:gridCol w:w="2090"/>
        <w:gridCol w:w="2090"/>
      </w:tblGrid>
      <w:tr w14:paraId="22375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77053E87">
            <w:pPr>
              <w:pStyle w:val="14"/>
              <w:spacing w:before="0" w:beforeAutospacing="0" w:after="0" w:afterAutospacing="0" w:line="480" w:lineRule="exact"/>
              <w:ind w:firstLine="422"/>
              <w:jc w:val="center"/>
              <w:rPr>
                <w:rFonts w:hint="eastAsia" w:ascii="宋体" w:hAnsi="宋体" w:cs="宋体"/>
              </w:rPr>
            </w:pPr>
            <w:r>
              <w:rPr>
                <w:rFonts w:hint="eastAsia" w:ascii="宋体" w:hAnsi="宋体" w:cs="宋体"/>
                <w:b/>
              </w:rPr>
              <w:t>中标金额（万元）</w:t>
            </w:r>
          </w:p>
        </w:tc>
        <w:tc>
          <w:tcPr>
            <w:tcW w:w="1831" w:type="dxa"/>
            <w:tcBorders>
              <w:top w:val="single" w:color="auto" w:sz="4" w:space="0"/>
              <w:left w:val="single" w:color="auto" w:sz="4" w:space="0"/>
              <w:bottom w:val="single" w:color="auto" w:sz="4" w:space="0"/>
              <w:right w:val="single" w:color="auto" w:sz="4" w:space="0"/>
            </w:tcBorders>
            <w:vAlign w:val="center"/>
          </w:tcPr>
          <w:p w14:paraId="1F3CC704">
            <w:pPr>
              <w:pStyle w:val="14"/>
              <w:spacing w:before="0" w:beforeAutospacing="0" w:after="0" w:afterAutospacing="0" w:line="480" w:lineRule="exact"/>
              <w:ind w:firstLine="422"/>
              <w:jc w:val="center"/>
              <w:rPr>
                <w:rFonts w:hint="eastAsia" w:ascii="宋体" w:hAnsi="宋体" w:cs="宋体"/>
              </w:rPr>
            </w:pPr>
            <w:r>
              <w:rPr>
                <w:rFonts w:hint="eastAsia" w:ascii="宋体" w:hAnsi="宋体" w:cs="宋体"/>
                <w:b/>
              </w:rPr>
              <w:t>货物招标</w:t>
            </w:r>
          </w:p>
        </w:tc>
        <w:tc>
          <w:tcPr>
            <w:tcW w:w="2090" w:type="dxa"/>
            <w:tcBorders>
              <w:top w:val="single" w:color="auto" w:sz="4" w:space="0"/>
              <w:left w:val="single" w:color="auto" w:sz="4" w:space="0"/>
              <w:bottom w:val="single" w:color="auto" w:sz="4" w:space="0"/>
              <w:right w:val="single" w:color="auto" w:sz="4" w:space="0"/>
            </w:tcBorders>
            <w:vAlign w:val="center"/>
          </w:tcPr>
          <w:p w14:paraId="79ABB599">
            <w:pPr>
              <w:pStyle w:val="14"/>
              <w:spacing w:before="0" w:beforeAutospacing="0" w:after="0" w:afterAutospacing="0" w:line="480" w:lineRule="exact"/>
              <w:ind w:firstLine="422"/>
              <w:jc w:val="center"/>
              <w:rPr>
                <w:rFonts w:hint="eastAsia" w:ascii="宋体" w:hAnsi="宋体" w:cs="宋体"/>
              </w:rPr>
            </w:pPr>
            <w:r>
              <w:rPr>
                <w:rFonts w:hint="eastAsia" w:ascii="宋体" w:hAnsi="宋体" w:cs="宋体"/>
                <w:b/>
              </w:rPr>
              <w:t>服务招标</w:t>
            </w:r>
          </w:p>
        </w:tc>
        <w:tc>
          <w:tcPr>
            <w:tcW w:w="2090" w:type="dxa"/>
            <w:tcBorders>
              <w:top w:val="single" w:color="auto" w:sz="4" w:space="0"/>
              <w:left w:val="single" w:color="auto" w:sz="4" w:space="0"/>
              <w:bottom w:val="single" w:color="auto" w:sz="4" w:space="0"/>
              <w:right w:val="single" w:color="auto" w:sz="4" w:space="0"/>
            </w:tcBorders>
            <w:vAlign w:val="center"/>
          </w:tcPr>
          <w:p w14:paraId="4B62A3EB">
            <w:pPr>
              <w:pStyle w:val="14"/>
              <w:spacing w:before="0" w:beforeAutospacing="0" w:after="0" w:afterAutospacing="0" w:line="480" w:lineRule="exact"/>
              <w:ind w:firstLine="422"/>
              <w:jc w:val="center"/>
              <w:rPr>
                <w:rFonts w:hint="eastAsia" w:ascii="宋体" w:hAnsi="宋体" w:cs="宋体"/>
              </w:rPr>
            </w:pPr>
            <w:r>
              <w:rPr>
                <w:rFonts w:hint="eastAsia" w:ascii="宋体" w:hAnsi="宋体" w:cs="宋体"/>
                <w:b/>
              </w:rPr>
              <w:t>工程招标</w:t>
            </w:r>
          </w:p>
        </w:tc>
      </w:tr>
      <w:tr w14:paraId="0AF21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4074F349">
            <w:pPr>
              <w:pStyle w:val="14"/>
              <w:spacing w:before="0" w:beforeAutospacing="0" w:after="0" w:afterAutospacing="0" w:line="480" w:lineRule="exact"/>
              <w:jc w:val="both"/>
              <w:rPr>
                <w:rFonts w:hint="eastAsia" w:ascii="宋体" w:hAnsi="宋体" w:cs="宋体"/>
              </w:rPr>
            </w:pPr>
            <w:r>
              <w:rPr>
                <w:rFonts w:hint="eastAsia" w:ascii="宋体" w:hAnsi="宋体" w:cs="宋体"/>
              </w:rPr>
              <w:t>100以下</w:t>
            </w:r>
          </w:p>
        </w:tc>
        <w:tc>
          <w:tcPr>
            <w:tcW w:w="1831" w:type="dxa"/>
            <w:tcBorders>
              <w:top w:val="single" w:color="auto" w:sz="4" w:space="0"/>
              <w:left w:val="single" w:color="auto" w:sz="4" w:space="0"/>
              <w:bottom w:val="single" w:color="auto" w:sz="4" w:space="0"/>
              <w:right w:val="single" w:color="auto" w:sz="4" w:space="0"/>
            </w:tcBorders>
            <w:vAlign w:val="center"/>
          </w:tcPr>
          <w:p w14:paraId="61A613E8">
            <w:pPr>
              <w:pStyle w:val="14"/>
              <w:spacing w:before="0" w:beforeAutospacing="0" w:after="0" w:afterAutospacing="0" w:line="480" w:lineRule="exact"/>
              <w:jc w:val="center"/>
              <w:rPr>
                <w:rFonts w:hint="eastAsia" w:ascii="宋体" w:hAnsi="宋体" w:cs="宋体"/>
              </w:rPr>
            </w:pPr>
            <w:r>
              <w:rPr>
                <w:rFonts w:hint="eastAsia" w:ascii="宋体" w:hAnsi="宋体" w:cs="宋体"/>
              </w:rPr>
              <w:t>1.5%</w:t>
            </w:r>
          </w:p>
        </w:tc>
        <w:tc>
          <w:tcPr>
            <w:tcW w:w="2090" w:type="dxa"/>
            <w:tcBorders>
              <w:top w:val="single" w:color="auto" w:sz="4" w:space="0"/>
              <w:left w:val="single" w:color="auto" w:sz="4" w:space="0"/>
              <w:bottom w:val="single" w:color="auto" w:sz="4" w:space="0"/>
              <w:right w:val="single" w:color="auto" w:sz="4" w:space="0"/>
            </w:tcBorders>
            <w:vAlign w:val="center"/>
          </w:tcPr>
          <w:p w14:paraId="3B5683B2">
            <w:pPr>
              <w:pStyle w:val="14"/>
              <w:spacing w:before="0" w:beforeAutospacing="0" w:after="0" w:afterAutospacing="0" w:line="480" w:lineRule="exact"/>
              <w:jc w:val="center"/>
              <w:rPr>
                <w:rFonts w:hint="eastAsia" w:ascii="宋体" w:hAnsi="宋体" w:cs="宋体"/>
              </w:rPr>
            </w:pPr>
            <w:r>
              <w:rPr>
                <w:rFonts w:hint="eastAsia" w:ascii="宋体" w:hAnsi="宋体" w:cs="宋体"/>
              </w:rPr>
              <w:t>1.5%</w:t>
            </w:r>
          </w:p>
        </w:tc>
        <w:tc>
          <w:tcPr>
            <w:tcW w:w="2090" w:type="dxa"/>
            <w:tcBorders>
              <w:top w:val="single" w:color="auto" w:sz="4" w:space="0"/>
              <w:left w:val="single" w:color="auto" w:sz="4" w:space="0"/>
              <w:bottom w:val="single" w:color="auto" w:sz="4" w:space="0"/>
              <w:right w:val="single" w:color="auto" w:sz="4" w:space="0"/>
            </w:tcBorders>
            <w:vAlign w:val="center"/>
          </w:tcPr>
          <w:p w14:paraId="01072A65">
            <w:pPr>
              <w:pStyle w:val="14"/>
              <w:spacing w:before="0" w:beforeAutospacing="0" w:after="0" w:afterAutospacing="0" w:line="480" w:lineRule="exact"/>
              <w:jc w:val="center"/>
              <w:rPr>
                <w:rFonts w:hint="eastAsia" w:ascii="宋体" w:hAnsi="宋体" w:cs="宋体"/>
              </w:rPr>
            </w:pPr>
            <w:r>
              <w:rPr>
                <w:rFonts w:hint="eastAsia" w:ascii="宋体" w:hAnsi="宋体" w:cs="宋体"/>
              </w:rPr>
              <w:t>1.0%</w:t>
            </w:r>
          </w:p>
        </w:tc>
      </w:tr>
      <w:tr w14:paraId="19BA3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04C1195C">
            <w:pPr>
              <w:spacing w:line="480" w:lineRule="exact"/>
              <w:rPr>
                <w:rFonts w:hint="eastAsia" w:ascii="宋体" w:hAnsi="宋体" w:cs="宋体"/>
                <w:b/>
                <w:sz w:val="24"/>
              </w:rPr>
            </w:pPr>
            <w:r>
              <w:rPr>
                <w:rFonts w:hint="eastAsia" w:ascii="宋体" w:hAnsi="宋体" w:cs="宋体"/>
                <w:sz w:val="24"/>
              </w:rPr>
              <w:t>100-500</w:t>
            </w:r>
          </w:p>
        </w:tc>
        <w:tc>
          <w:tcPr>
            <w:tcW w:w="1831" w:type="dxa"/>
            <w:tcBorders>
              <w:top w:val="single" w:color="auto" w:sz="4" w:space="0"/>
              <w:left w:val="single" w:color="auto" w:sz="4" w:space="0"/>
              <w:bottom w:val="single" w:color="auto" w:sz="4" w:space="0"/>
              <w:right w:val="single" w:color="auto" w:sz="4" w:space="0"/>
            </w:tcBorders>
            <w:vAlign w:val="center"/>
          </w:tcPr>
          <w:p w14:paraId="7EF6857E">
            <w:pPr>
              <w:spacing w:line="480" w:lineRule="exact"/>
              <w:jc w:val="center"/>
              <w:rPr>
                <w:rFonts w:hint="eastAsia" w:ascii="宋体" w:hAnsi="宋体" w:cs="宋体"/>
                <w:b/>
                <w:sz w:val="24"/>
              </w:rPr>
            </w:pPr>
            <w:r>
              <w:rPr>
                <w:rFonts w:hint="eastAsia" w:ascii="宋体" w:hAnsi="宋体" w:cs="宋体"/>
                <w:sz w:val="24"/>
              </w:rPr>
              <w:t>1.1%</w:t>
            </w:r>
          </w:p>
        </w:tc>
        <w:tc>
          <w:tcPr>
            <w:tcW w:w="2090" w:type="dxa"/>
            <w:tcBorders>
              <w:top w:val="single" w:color="auto" w:sz="4" w:space="0"/>
              <w:left w:val="single" w:color="auto" w:sz="4" w:space="0"/>
              <w:bottom w:val="single" w:color="auto" w:sz="4" w:space="0"/>
              <w:right w:val="single" w:color="auto" w:sz="4" w:space="0"/>
            </w:tcBorders>
            <w:vAlign w:val="center"/>
          </w:tcPr>
          <w:p w14:paraId="526C3BA1">
            <w:pPr>
              <w:spacing w:line="480" w:lineRule="exact"/>
              <w:jc w:val="center"/>
              <w:rPr>
                <w:rFonts w:hint="eastAsia" w:ascii="宋体" w:hAnsi="宋体" w:cs="宋体"/>
                <w:b/>
                <w:sz w:val="24"/>
              </w:rPr>
            </w:pPr>
            <w:r>
              <w:rPr>
                <w:rFonts w:hint="eastAsia" w:ascii="宋体" w:hAnsi="宋体" w:cs="宋体"/>
                <w:sz w:val="24"/>
              </w:rPr>
              <w:t>0.8%</w:t>
            </w:r>
          </w:p>
        </w:tc>
        <w:tc>
          <w:tcPr>
            <w:tcW w:w="2090" w:type="dxa"/>
            <w:tcBorders>
              <w:top w:val="single" w:color="auto" w:sz="4" w:space="0"/>
              <w:left w:val="single" w:color="auto" w:sz="4" w:space="0"/>
              <w:bottom w:val="single" w:color="auto" w:sz="4" w:space="0"/>
              <w:right w:val="single" w:color="auto" w:sz="4" w:space="0"/>
            </w:tcBorders>
            <w:vAlign w:val="center"/>
          </w:tcPr>
          <w:p w14:paraId="1D3873AB">
            <w:pPr>
              <w:pStyle w:val="14"/>
              <w:spacing w:before="0" w:beforeAutospacing="0" w:after="0" w:afterAutospacing="0" w:line="480" w:lineRule="exact"/>
              <w:jc w:val="center"/>
              <w:rPr>
                <w:rFonts w:hint="eastAsia" w:ascii="宋体" w:hAnsi="宋体" w:cs="宋体"/>
              </w:rPr>
            </w:pPr>
            <w:r>
              <w:rPr>
                <w:rFonts w:hint="eastAsia" w:ascii="宋体" w:hAnsi="宋体" w:cs="宋体"/>
              </w:rPr>
              <w:t>0.7%</w:t>
            </w:r>
          </w:p>
        </w:tc>
      </w:tr>
      <w:tr w14:paraId="5DB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188358BE">
            <w:pPr>
              <w:spacing w:line="480" w:lineRule="exact"/>
              <w:rPr>
                <w:rFonts w:hint="eastAsia" w:ascii="宋体" w:hAnsi="宋体" w:cs="宋体"/>
                <w:b/>
                <w:sz w:val="24"/>
              </w:rPr>
            </w:pPr>
            <w:r>
              <w:rPr>
                <w:rFonts w:hint="eastAsia" w:ascii="宋体" w:hAnsi="宋体" w:cs="宋体"/>
                <w:sz w:val="24"/>
              </w:rPr>
              <w:t>500-1000</w:t>
            </w:r>
          </w:p>
        </w:tc>
        <w:tc>
          <w:tcPr>
            <w:tcW w:w="1831" w:type="dxa"/>
            <w:tcBorders>
              <w:top w:val="single" w:color="auto" w:sz="4" w:space="0"/>
              <w:left w:val="single" w:color="auto" w:sz="4" w:space="0"/>
              <w:bottom w:val="single" w:color="auto" w:sz="4" w:space="0"/>
              <w:right w:val="single" w:color="auto" w:sz="4" w:space="0"/>
            </w:tcBorders>
            <w:vAlign w:val="center"/>
          </w:tcPr>
          <w:p w14:paraId="01F0263A">
            <w:pPr>
              <w:spacing w:line="480" w:lineRule="exact"/>
              <w:jc w:val="center"/>
              <w:rPr>
                <w:rFonts w:hint="eastAsia" w:ascii="宋体" w:hAnsi="宋体" w:cs="宋体"/>
                <w:b/>
                <w:sz w:val="24"/>
              </w:rPr>
            </w:pPr>
            <w:r>
              <w:rPr>
                <w:rFonts w:hint="eastAsia" w:ascii="宋体" w:hAnsi="宋体" w:cs="宋体"/>
                <w:sz w:val="24"/>
              </w:rPr>
              <w:t>0.8%</w:t>
            </w:r>
          </w:p>
        </w:tc>
        <w:tc>
          <w:tcPr>
            <w:tcW w:w="2090" w:type="dxa"/>
            <w:tcBorders>
              <w:top w:val="single" w:color="auto" w:sz="4" w:space="0"/>
              <w:left w:val="single" w:color="auto" w:sz="4" w:space="0"/>
              <w:bottom w:val="single" w:color="auto" w:sz="4" w:space="0"/>
              <w:right w:val="single" w:color="auto" w:sz="4" w:space="0"/>
            </w:tcBorders>
            <w:vAlign w:val="center"/>
          </w:tcPr>
          <w:p w14:paraId="74F73132">
            <w:pPr>
              <w:spacing w:line="480" w:lineRule="exact"/>
              <w:jc w:val="center"/>
              <w:rPr>
                <w:rFonts w:hint="eastAsia" w:ascii="宋体" w:hAnsi="宋体" w:cs="宋体"/>
                <w:b/>
                <w:sz w:val="24"/>
              </w:rPr>
            </w:pPr>
            <w:r>
              <w:rPr>
                <w:rFonts w:hint="eastAsia" w:ascii="宋体" w:hAnsi="宋体" w:cs="宋体"/>
                <w:sz w:val="24"/>
              </w:rPr>
              <w:t>0.45%</w:t>
            </w:r>
          </w:p>
        </w:tc>
        <w:tc>
          <w:tcPr>
            <w:tcW w:w="2090" w:type="dxa"/>
            <w:tcBorders>
              <w:top w:val="single" w:color="auto" w:sz="4" w:space="0"/>
              <w:left w:val="single" w:color="auto" w:sz="4" w:space="0"/>
              <w:bottom w:val="single" w:color="auto" w:sz="4" w:space="0"/>
              <w:right w:val="single" w:color="auto" w:sz="4" w:space="0"/>
            </w:tcBorders>
            <w:vAlign w:val="center"/>
          </w:tcPr>
          <w:p w14:paraId="4A2738DC">
            <w:pPr>
              <w:spacing w:line="480" w:lineRule="exact"/>
              <w:jc w:val="center"/>
              <w:rPr>
                <w:rFonts w:hint="eastAsia" w:ascii="宋体" w:hAnsi="宋体" w:cs="宋体"/>
                <w:b/>
                <w:sz w:val="24"/>
              </w:rPr>
            </w:pPr>
            <w:r>
              <w:rPr>
                <w:rFonts w:hint="eastAsia" w:ascii="宋体" w:hAnsi="宋体" w:cs="宋体"/>
                <w:sz w:val="24"/>
              </w:rPr>
              <w:t>0.55%</w:t>
            </w:r>
          </w:p>
        </w:tc>
      </w:tr>
      <w:tr w14:paraId="40BEE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3FFA4CDA">
            <w:pPr>
              <w:spacing w:line="480" w:lineRule="exact"/>
              <w:rPr>
                <w:rFonts w:hint="eastAsia" w:ascii="宋体" w:hAnsi="宋体" w:cs="宋体"/>
                <w:b/>
                <w:sz w:val="24"/>
              </w:rPr>
            </w:pPr>
            <w:r>
              <w:rPr>
                <w:rFonts w:hint="eastAsia" w:ascii="宋体" w:hAnsi="宋体" w:cs="宋体"/>
                <w:sz w:val="24"/>
              </w:rPr>
              <w:t>1000-5000</w:t>
            </w:r>
          </w:p>
        </w:tc>
        <w:tc>
          <w:tcPr>
            <w:tcW w:w="1831" w:type="dxa"/>
            <w:tcBorders>
              <w:top w:val="single" w:color="auto" w:sz="4" w:space="0"/>
              <w:left w:val="single" w:color="auto" w:sz="4" w:space="0"/>
              <w:bottom w:val="single" w:color="auto" w:sz="4" w:space="0"/>
              <w:right w:val="single" w:color="auto" w:sz="4" w:space="0"/>
            </w:tcBorders>
            <w:vAlign w:val="center"/>
          </w:tcPr>
          <w:p w14:paraId="006328AE">
            <w:pPr>
              <w:spacing w:line="480" w:lineRule="exact"/>
              <w:jc w:val="center"/>
              <w:rPr>
                <w:rFonts w:hint="eastAsia" w:ascii="宋体" w:hAnsi="宋体" w:cs="宋体"/>
                <w:b/>
                <w:sz w:val="24"/>
              </w:rPr>
            </w:pPr>
            <w:r>
              <w:rPr>
                <w:rFonts w:hint="eastAsia" w:ascii="宋体" w:hAnsi="宋体" w:cs="宋体"/>
                <w:sz w:val="24"/>
              </w:rPr>
              <w:t>0.5%</w:t>
            </w:r>
          </w:p>
        </w:tc>
        <w:tc>
          <w:tcPr>
            <w:tcW w:w="2090" w:type="dxa"/>
            <w:tcBorders>
              <w:top w:val="single" w:color="auto" w:sz="4" w:space="0"/>
              <w:left w:val="single" w:color="auto" w:sz="4" w:space="0"/>
              <w:bottom w:val="single" w:color="auto" w:sz="4" w:space="0"/>
              <w:right w:val="single" w:color="auto" w:sz="4" w:space="0"/>
            </w:tcBorders>
            <w:vAlign w:val="center"/>
          </w:tcPr>
          <w:p w14:paraId="771C5ABF">
            <w:pPr>
              <w:spacing w:line="480" w:lineRule="exact"/>
              <w:jc w:val="center"/>
              <w:rPr>
                <w:rFonts w:hint="eastAsia" w:ascii="宋体" w:hAnsi="宋体" w:cs="宋体"/>
                <w:b/>
                <w:sz w:val="24"/>
              </w:rPr>
            </w:pPr>
            <w:r>
              <w:rPr>
                <w:rFonts w:hint="eastAsia" w:ascii="宋体" w:hAnsi="宋体" w:cs="宋体"/>
                <w:sz w:val="24"/>
              </w:rPr>
              <w:t>0.25%</w:t>
            </w:r>
          </w:p>
        </w:tc>
        <w:tc>
          <w:tcPr>
            <w:tcW w:w="2090" w:type="dxa"/>
            <w:tcBorders>
              <w:top w:val="single" w:color="auto" w:sz="4" w:space="0"/>
              <w:left w:val="single" w:color="auto" w:sz="4" w:space="0"/>
              <w:bottom w:val="single" w:color="auto" w:sz="4" w:space="0"/>
              <w:right w:val="single" w:color="auto" w:sz="4" w:space="0"/>
            </w:tcBorders>
            <w:vAlign w:val="center"/>
          </w:tcPr>
          <w:p w14:paraId="15D252CB">
            <w:pPr>
              <w:pStyle w:val="14"/>
              <w:spacing w:before="0" w:beforeAutospacing="0" w:after="0" w:afterAutospacing="0" w:line="480" w:lineRule="exact"/>
              <w:jc w:val="center"/>
              <w:rPr>
                <w:rFonts w:hint="eastAsia" w:ascii="宋体" w:hAnsi="宋体" w:cs="宋体"/>
              </w:rPr>
            </w:pPr>
            <w:r>
              <w:rPr>
                <w:rFonts w:hint="eastAsia" w:ascii="宋体" w:hAnsi="宋体" w:cs="宋体"/>
              </w:rPr>
              <w:t>0.35%</w:t>
            </w:r>
          </w:p>
        </w:tc>
      </w:tr>
      <w:tr w14:paraId="1BC58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776D7CB8">
            <w:pPr>
              <w:spacing w:line="480" w:lineRule="exact"/>
              <w:rPr>
                <w:rFonts w:hint="eastAsia" w:ascii="宋体" w:hAnsi="宋体" w:cs="宋体"/>
                <w:b/>
                <w:sz w:val="24"/>
              </w:rPr>
            </w:pPr>
            <w:r>
              <w:rPr>
                <w:rFonts w:hint="eastAsia" w:ascii="宋体" w:hAnsi="宋体" w:cs="宋体"/>
                <w:sz w:val="24"/>
              </w:rPr>
              <w:t>5000-10000</w:t>
            </w:r>
          </w:p>
        </w:tc>
        <w:tc>
          <w:tcPr>
            <w:tcW w:w="1831" w:type="dxa"/>
            <w:tcBorders>
              <w:top w:val="single" w:color="auto" w:sz="4" w:space="0"/>
              <w:left w:val="single" w:color="auto" w:sz="4" w:space="0"/>
              <w:bottom w:val="single" w:color="auto" w:sz="4" w:space="0"/>
              <w:right w:val="single" w:color="auto" w:sz="4" w:space="0"/>
            </w:tcBorders>
            <w:vAlign w:val="center"/>
          </w:tcPr>
          <w:p w14:paraId="3E56A3B1">
            <w:pPr>
              <w:spacing w:line="480" w:lineRule="exact"/>
              <w:jc w:val="center"/>
              <w:rPr>
                <w:rFonts w:hint="eastAsia" w:ascii="宋体" w:hAnsi="宋体" w:cs="宋体"/>
                <w:b/>
                <w:sz w:val="24"/>
              </w:rPr>
            </w:pPr>
            <w:r>
              <w:rPr>
                <w:rFonts w:hint="eastAsia" w:ascii="宋体" w:hAnsi="宋体" w:cs="宋体"/>
                <w:sz w:val="24"/>
              </w:rPr>
              <w:t>0.25%</w:t>
            </w:r>
          </w:p>
        </w:tc>
        <w:tc>
          <w:tcPr>
            <w:tcW w:w="2090" w:type="dxa"/>
            <w:tcBorders>
              <w:top w:val="single" w:color="auto" w:sz="4" w:space="0"/>
              <w:left w:val="single" w:color="auto" w:sz="4" w:space="0"/>
              <w:bottom w:val="single" w:color="auto" w:sz="4" w:space="0"/>
              <w:right w:val="single" w:color="auto" w:sz="4" w:space="0"/>
            </w:tcBorders>
            <w:vAlign w:val="center"/>
          </w:tcPr>
          <w:p w14:paraId="1CD29917">
            <w:pPr>
              <w:spacing w:line="480" w:lineRule="exact"/>
              <w:jc w:val="center"/>
              <w:rPr>
                <w:rFonts w:hint="eastAsia" w:ascii="宋体" w:hAnsi="宋体" w:cs="宋体"/>
                <w:b/>
                <w:sz w:val="24"/>
              </w:rPr>
            </w:pPr>
            <w:r>
              <w:rPr>
                <w:rFonts w:hint="eastAsia" w:ascii="宋体" w:hAnsi="宋体" w:cs="宋体"/>
                <w:sz w:val="24"/>
              </w:rPr>
              <w:t>0.1%</w:t>
            </w:r>
          </w:p>
        </w:tc>
        <w:tc>
          <w:tcPr>
            <w:tcW w:w="2090" w:type="dxa"/>
            <w:tcBorders>
              <w:top w:val="single" w:color="auto" w:sz="4" w:space="0"/>
              <w:left w:val="single" w:color="auto" w:sz="4" w:space="0"/>
              <w:bottom w:val="single" w:color="auto" w:sz="4" w:space="0"/>
              <w:right w:val="single" w:color="auto" w:sz="4" w:space="0"/>
            </w:tcBorders>
            <w:vAlign w:val="center"/>
          </w:tcPr>
          <w:p w14:paraId="5647CE63">
            <w:pPr>
              <w:spacing w:line="480" w:lineRule="exact"/>
              <w:jc w:val="center"/>
              <w:rPr>
                <w:rFonts w:hint="eastAsia" w:ascii="宋体" w:hAnsi="宋体" w:cs="宋体"/>
                <w:b/>
                <w:sz w:val="24"/>
              </w:rPr>
            </w:pPr>
            <w:r>
              <w:rPr>
                <w:rFonts w:hint="eastAsia" w:ascii="宋体" w:hAnsi="宋体" w:cs="宋体"/>
                <w:sz w:val="24"/>
              </w:rPr>
              <w:t>0.2%</w:t>
            </w:r>
          </w:p>
        </w:tc>
      </w:tr>
      <w:tr w14:paraId="29723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04CA7494">
            <w:pPr>
              <w:spacing w:line="480" w:lineRule="exact"/>
              <w:rPr>
                <w:rFonts w:hint="eastAsia" w:ascii="宋体" w:hAnsi="宋体" w:cs="宋体"/>
                <w:b/>
                <w:sz w:val="24"/>
              </w:rPr>
            </w:pPr>
            <w:r>
              <w:rPr>
                <w:rFonts w:hint="eastAsia" w:ascii="宋体" w:hAnsi="宋体" w:cs="宋体"/>
                <w:sz w:val="24"/>
              </w:rPr>
              <w:t>10000-100000</w:t>
            </w:r>
          </w:p>
        </w:tc>
        <w:tc>
          <w:tcPr>
            <w:tcW w:w="1831" w:type="dxa"/>
            <w:tcBorders>
              <w:top w:val="single" w:color="auto" w:sz="4" w:space="0"/>
              <w:left w:val="single" w:color="auto" w:sz="4" w:space="0"/>
              <w:bottom w:val="single" w:color="auto" w:sz="4" w:space="0"/>
              <w:right w:val="single" w:color="auto" w:sz="4" w:space="0"/>
            </w:tcBorders>
            <w:vAlign w:val="center"/>
          </w:tcPr>
          <w:p w14:paraId="65E70EAE">
            <w:pPr>
              <w:spacing w:line="480" w:lineRule="exact"/>
              <w:jc w:val="center"/>
              <w:rPr>
                <w:rFonts w:hint="eastAsia" w:ascii="宋体" w:hAnsi="宋体" w:cs="宋体"/>
                <w:b/>
                <w:sz w:val="24"/>
              </w:rPr>
            </w:pPr>
            <w:r>
              <w:rPr>
                <w:rFonts w:hint="eastAsia" w:ascii="宋体" w:hAnsi="宋体" w:cs="宋体"/>
                <w:sz w:val="24"/>
              </w:rPr>
              <w:t>0.05%</w:t>
            </w:r>
          </w:p>
        </w:tc>
        <w:tc>
          <w:tcPr>
            <w:tcW w:w="2090" w:type="dxa"/>
            <w:tcBorders>
              <w:top w:val="single" w:color="auto" w:sz="4" w:space="0"/>
              <w:left w:val="single" w:color="auto" w:sz="4" w:space="0"/>
              <w:bottom w:val="single" w:color="auto" w:sz="4" w:space="0"/>
              <w:right w:val="single" w:color="auto" w:sz="4" w:space="0"/>
            </w:tcBorders>
            <w:vAlign w:val="center"/>
          </w:tcPr>
          <w:p w14:paraId="6C2B1CE6">
            <w:pPr>
              <w:spacing w:line="480" w:lineRule="exact"/>
              <w:jc w:val="center"/>
              <w:rPr>
                <w:rFonts w:hint="eastAsia" w:ascii="宋体" w:hAnsi="宋体" w:cs="宋体"/>
                <w:b/>
                <w:sz w:val="24"/>
              </w:rPr>
            </w:pPr>
            <w:r>
              <w:rPr>
                <w:rFonts w:hint="eastAsia" w:ascii="宋体" w:hAnsi="宋体" w:cs="宋体"/>
                <w:sz w:val="24"/>
              </w:rPr>
              <w:t>0.05%</w:t>
            </w:r>
          </w:p>
        </w:tc>
        <w:tc>
          <w:tcPr>
            <w:tcW w:w="2090" w:type="dxa"/>
            <w:tcBorders>
              <w:top w:val="single" w:color="auto" w:sz="4" w:space="0"/>
              <w:left w:val="single" w:color="auto" w:sz="4" w:space="0"/>
              <w:bottom w:val="single" w:color="auto" w:sz="4" w:space="0"/>
              <w:right w:val="single" w:color="auto" w:sz="4" w:space="0"/>
            </w:tcBorders>
            <w:vAlign w:val="center"/>
          </w:tcPr>
          <w:p w14:paraId="4D008EC7">
            <w:pPr>
              <w:spacing w:line="480" w:lineRule="exact"/>
              <w:jc w:val="center"/>
              <w:rPr>
                <w:rFonts w:hint="eastAsia" w:ascii="宋体" w:hAnsi="宋体" w:cs="宋体"/>
                <w:b/>
                <w:sz w:val="24"/>
              </w:rPr>
            </w:pPr>
            <w:r>
              <w:rPr>
                <w:rFonts w:hint="eastAsia" w:ascii="宋体" w:hAnsi="宋体" w:cs="宋体"/>
                <w:sz w:val="24"/>
              </w:rPr>
              <w:t>0.05%</w:t>
            </w:r>
          </w:p>
        </w:tc>
      </w:tr>
      <w:tr w14:paraId="0B6EB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1EF868AE">
            <w:pPr>
              <w:spacing w:line="480" w:lineRule="exact"/>
              <w:rPr>
                <w:rFonts w:hint="eastAsia" w:ascii="宋体" w:hAnsi="宋体" w:cs="宋体"/>
                <w:b/>
                <w:sz w:val="24"/>
              </w:rPr>
            </w:pPr>
            <w:r>
              <w:rPr>
                <w:rFonts w:hint="eastAsia" w:ascii="宋体" w:hAnsi="宋体" w:cs="宋体"/>
                <w:sz w:val="24"/>
              </w:rPr>
              <w:t>100000以上</w:t>
            </w:r>
          </w:p>
        </w:tc>
        <w:tc>
          <w:tcPr>
            <w:tcW w:w="1831" w:type="dxa"/>
            <w:tcBorders>
              <w:top w:val="single" w:color="auto" w:sz="4" w:space="0"/>
              <w:left w:val="single" w:color="auto" w:sz="4" w:space="0"/>
              <w:bottom w:val="single" w:color="auto" w:sz="4" w:space="0"/>
              <w:right w:val="single" w:color="auto" w:sz="4" w:space="0"/>
            </w:tcBorders>
            <w:vAlign w:val="center"/>
          </w:tcPr>
          <w:p w14:paraId="3AD4AF82">
            <w:pPr>
              <w:spacing w:line="480" w:lineRule="exact"/>
              <w:jc w:val="center"/>
              <w:rPr>
                <w:rFonts w:hint="eastAsia" w:ascii="宋体" w:hAnsi="宋体" w:cs="宋体"/>
                <w:b/>
                <w:sz w:val="24"/>
              </w:rPr>
            </w:pPr>
            <w:r>
              <w:rPr>
                <w:rFonts w:hint="eastAsia" w:ascii="宋体" w:hAnsi="宋体" w:cs="宋体"/>
                <w:sz w:val="24"/>
              </w:rPr>
              <w:t>0.01%</w:t>
            </w:r>
          </w:p>
        </w:tc>
        <w:tc>
          <w:tcPr>
            <w:tcW w:w="2090" w:type="dxa"/>
            <w:tcBorders>
              <w:top w:val="single" w:color="auto" w:sz="4" w:space="0"/>
              <w:left w:val="single" w:color="auto" w:sz="4" w:space="0"/>
              <w:bottom w:val="single" w:color="auto" w:sz="4" w:space="0"/>
              <w:right w:val="single" w:color="auto" w:sz="4" w:space="0"/>
            </w:tcBorders>
            <w:vAlign w:val="center"/>
          </w:tcPr>
          <w:p w14:paraId="0C5DCEF8">
            <w:pPr>
              <w:spacing w:line="480" w:lineRule="exact"/>
              <w:jc w:val="center"/>
              <w:rPr>
                <w:rFonts w:hint="eastAsia" w:ascii="宋体" w:hAnsi="宋体" w:cs="宋体"/>
                <w:b/>
                <w:sz w:val="24"/>
              </w:rPr>
            </w:pPr>
            <w:r>
              <w:rPr>
                <w:rFonts w:hint="eastAsia" w:ascii="宋体" w:hAnsi="宋体" w:cs="宋体"/>
                <w:sz w:val="24"/>
              </w:rPr>
              <w:t>0.01%</w:t>
            </w:r>
          </w:p>
        </w:tc>
        <w:tc>
          <w:tcPr>
            <w:tcW w:w="2090" w:type="dxa"/>
            <w:tcBorders>
              <w:top w:val="single" w:color="auto" w:sz="4" w:space="0"/>
              <w:left w:val="single" w:color="auto" w:sz="4" w:space="0"/>
              <w:bottom w:val="single" w:color="auto" w:sz="4" w:space="0"/>
              <w:right w:val="single" w:color="auto" w:sz="4" w:space="0"/>
            </w:tcBorders>
            <w:vAlign w:val="center"/>
          </w:tcPr>
          <w:p w14:paraId="05D9B12D">
            <w:pPr>
              <w:pStyle w:val="14"/>
              <w:spacing w:before="0" w:beforeAutospacing="0" w:after="0" w:afterAutospacing="0" w:line="480" w:lineRule="exact"/>
              <w:jc w:val="center"/>
              <w:rPr>
                <w:rFonts w:hint="eastAsia" w:ascii="宋体" w:hAnsi="宋体" w:cs="宋体"/>
              </w:rPr>
            </w:pPr>
            <w:r>
              <w:rPr>
                <w:rFonts w:hint="eastAsia" w:ascii="宋体" w:hAnsi="宋体" w:cs="宋体"/>
              </w:rPr>
              <w:t>0.015%</w:t>
            </w:r>
          </w:p>
        </w:tc>
      </w:tr>
    </w:tbl>
    <w:p w14:paraId="32761802">
      <w:pPr>
        <w:spacing w:line="360" w:lineRule="auto"/>
        <w:ind w:firstLine="360" w:firstLineChars="150"/>
        <w:rPr>
          <w:rFonts w:hint="eastAsia" w:ascii="宋体" w:hAnsi="宋体" w:cs="宋体"/>
          <w:kern w:val="0"/>
          <w:sz w:val="24"/>
        </w:rPr>
      </w:pPr>
      <w:r>
        <w:rPr>
          <w:rFonts w:hint="eastAsia" w:ascii="宋体" w:hAnsi="宋体" w:cs="宋体"/>
          <w:kern w:val="0"/>
          <w:sz w:val="24"/>
        </w:rPr>
        <w:t>注：招标代理服务收费按差额定率累进法计算。</w:t>
      </w:r>
    </w:p>
    <w:p w14:paraId="7783C6F6">
      <w:pPr>
        <w:spacing w:line="360" w:lineRule="auto"/>
        <w:ind w:firstLine="360" w:firstLineChars="150"/>
        <w:rPr>
          <w:rFonts w:hint="eastAsia" w:ascii="宋体" w:hAnsi="宋体" w:cs="宋体"/>
          <w:sz w:val="24"/>
        </w:rPr>
      </w:pPr>
      <w:r>
        <w:rPr>
          <w:rFonts w:hint="eastAsia" w:ascii="宋体" w:hAnsi="宋体" w:cs="宋体"/>
          <w:kern w:val="0"/>
          <w:sz w:val="24"/>
        </w:rPr>
        <w:t>以货物项目为例：中标金额为1200万元，计算招标代理服务收费额如下：</w:t>
      </w:r>
    </w:p>
    <w:p w14:paraId="1574BB17">
      <w:pPr>
        <w:spacing w:line="360" w:lineRule="auto"/>
        <w:ind w:firstLine="360" w:firstLineChars="150"/>
        <w:rPr>
          <w:rFonts w:hint="eastAsia" w:ascii="宋体" w:hAnsi="宋体" w:cs="宋体"/>
          <w:kern w:val="0"/>
          <w:sz w:val="24"/>
        </w:rPr>
      </w:pPr>
      <w:r>
        <w:rPr>
          <w:rFonts w:hint="eastAsia" w:ascii="宋体" w:hAnsi="宋体" w:cs="宋体"/>
          <w:kern w:val="0"/>
          <w:sz w:val="24"/>
        </w:rPr>
        <w:t>100万元×1.5%=1.5万元</w:t>
      </w:r>
    </w:p>
    <w:p w14:paraId="3A3A0E3D">
      <w:pPr>
        <w:spacing w:line="360" w:lineRule="auto"/>
        <w:ind w:firstLine="240" w:firstLineChars="100"/>
        <w:rPr>
          <w:rFonts w:hint="eastAsia" w:ascii="宋体" w:hAnsi="宋体" w:cs="宋体"/>
          <w:kern w:val="0"/>
          <w:sz w:val="24"/>
        </w:rPr>
      </w:pPr>
      <w:r>
        <w:rPr>
          <w:rFonts w:hint="eastAsia" w:ascii="宋体" w:hAnsi="宋体" w:cs="宋体"/>
          <w:kern w:val="0"/>
          <w:sz w:val="24"/>
        </w:rPr>
        <w:t xml:space="preserve">（500-100）万元×1.1%=4.4万元 </w:t>
      </w:r>
    </w:p>
    <w:p w14:paraId="60410C6E">
      <w:pPr>
        <w:spacing w:line="360" w:lineRule="auto"/>
        <w:ind w:firstLine="240" w:firstLineChars="100"/>
        <w:rPr>
          <w:rFonts w:hint="eastAsia" w:ascii="宋体" w:hAnsi="宋体" w:cs="宋体"/>
          <w:kern w:val="0"/>
          <w:sz w:val="24"/>
        </w:rPr>
      </w:pPr>
      <w:r>
        <w:rPr>
          <w:rFonts w:hint="eastAsia" w:ascii="宋体" w:hAnsi="宋体" w:cs="宋体"/>
          <w:kern w:val="0"/>
          <w:sz w:val="24"/>
        </w:rPr>
        <w:t xml:space="preserve">（1000-500）万元×0.8%=4万元 </w:t>
      </w:r>
    </w:p>
    <w:p w14:paraId="3A86C2BC">
      <w:pPr>
        <w:spacing w:line="360" w:lineRule="auto"/>
        <w:ind w:firstLine="240" w:firstLineChars="100"/>
        <w:rPr>
          <w:rFonts w:hint="eastAsia" w:ascii="宋体" w:hAnsi="宋体" w:cs="宋体"/>
          <w:kern w:val="0"/>
          <w:sz w:val="24"/>
        </w:rPr>
      </w:pPr>
      <w:r>
        <w:rPr>
          <w:rFonts w:hint="eastAsia" w:ascii="宋体" w:hAnsi="宋体" w:cs="宋体"/>
          <w:kern w:val="0"/>
          <w:sz w:val="24"/>
        </w:rPr>
        <w:t>（1200-1000）万元×0.5%=1万元</w:t>
      </w:r>
    </w:p>
    <w:p w14:paraId="5EE979EA">
      <w:pPr>
        <w:spacing w:line="360" w:lineRule="auto"/>
        <w:ind w:firstLine="360" w:firstLineChars="150"/>
        <w:rPr>
          <w:rFonts w:hint="eastAsia" w:ascii="宋体" w:hAnsi="宋体" w:cs="宋体"/>
          <w:kern w:val="0"/>
          <w:sz w:val="24"/>
        </w:rPr>
      </w:pPr>
      <w:r>
        <w:rPr>
          <w:rFonts w:hint="eastAsia" w:ascii="宋体" w:hAnsi="宋体" w:cs="宋体"/>
          <w:kern w:val="0"/>
          <w:sz w:val="24"/>
        </w:rPr>
        <w:t>合计收费=1.5+4.4+4+1=10.9万元</w:t>
      </w:r>
    </w:p>
    <w:p w14:paraId="3DF6FB1F">
      <w:pPr>
        <w:spacing w:line="360" w:lineRule="auto"/>
        <w:jc w:val="center"/>
        <w:rPr>
          <w:rFonts w:hint="eastAsia" w:ascii="宋体" w:hAnsi="宋体" w:cs="宋体"/>
          <w:sz w:val="24"/>
        </w:rPr>
      </w:pPr>
      <w:r>
        <w:rPr>
          <w:rFonts w:hint="eastAsia" w:ascii="宋体" w:hAnsi="宋体" w:cs="宋体"/>
          <w:b/>
          <w:sz w:val="30"/>
          <w:szCs w:val="30"/>
        </w:rPr>
        <w:t>九．其它事项</w:t>
      </w:r>
    </w:p>
    <w:p w14:paraId="470CAA6E">
      <w:pPr>
        <w:spacing w:line="360" w:lineRule="auto"/>
        <w:ind w:firstLine="420"/>
        <w:rPr>
          <w:rFonts w:hint="eastAsia" w:ascii="宋体" w:hAnsi="宋体" w:cs="宋体"/>
          <w:b/>
          <w:bCs/>
          <w:sz w:val="24"/>
        </w:rPr>
      </w:pPr>
      <w:r>
        <w:rPr>
          <w:rFonts w:hint="eastAsia" w:ascii="宋体" w:hAnsi="宋体" w:cs="宋体"/>
          <w:b/>
          <w:bCs/>
          <w:sz w:val="24"/>
        </w:rPr>
        <w:t>1.落实政府采购政策文件具体如下：</w:t>
      </w:r>
    </w:p>
    <w:p w14:paraId="4BF31374">
      <w:pPr>
        <w:spacing w:line="360" w:lineRule="auto"/>
        <w:ind w:firstLine="420"/>
        <w:rPr>
          <w:rFonts w:hint="eastAsia" w:ascii="宋体" w:hAnsi="宋体" w:cs="宋体"/>
          <w:sz w:val="24"/>
        </w:rPr>
      </w:pPr>
      <w:r>
        <w:rPr>
          <w:rFonts w:hint="eastAsia" w:ascii="宋体" w:hAnsi="宋体" w:cs="宋体"/>
          <w:sz w:val="24"/>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473E2CA5">
      <w:pPr>
        <w:spacing w:line="360" w:lineRule="auto"/>
        <w:ind w:firstLine="480" w:firstLineChars="200"/>
        <w:rPr>
          <w:rFonts w:hint="eastAsia" w:ascii="宋体" w:hAnsi="宋体" w:cs="宋体"/>
          <w:sz w:val="24"/>
        </w:rPr>
      </w:pPr>
      <w:r>
        <w:rPr>
          <w:rFonts w:hint="eastAsia" w:ascii="宋体" w:hAnsi="宋体" w:cs="宋体"/>
          <w:sz w:val="24"/>
        </w:rPr>
        <w:t>在货物采购项目中，投标人提供的货物既有中小企业制造货物，也有大型企业制造货物的，不享受政府采购价格扣除优惠政策。</w:t>
      </w:r>
    </w:p>
    <w:p w14:paraId="3743982C">
      <w:pPr>
        <w:spacing w:line="360" w:lineRule="auto"/>
        <w:ind w:firstLine="480" w:firstLineChars="200"/>
        <w:rPr>
          <w:rFonts w:hint="eastAsia" w:ascii="宋体" w:hAnsi="宋体" w:cs="宋体"/>
          <w:sz w:val="24"/>
        </w:rPr>
      </w:pPr>
      <w:r>
        <w:rPr>
          <w:rFonts w:hint="eastAsia" w:ascii="宋体" w:hAnsi="宋体" w:cs="宋体"/>
          <w:sz w:val="24"/>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3731AED8">
      <w:pPr>
        <w:spacing w:line="360" w:lineRule="auto"/>
        <w:ind w:firstLine="480" w:firstLineChars="200"/>
        <w:rPr>
          <w:rFonts w:hint="eastAsia" w:ascii="宋体" w:hAnsi="宋体" w:cs="宋体"/>
          <w:sz w:val="24"/>
        </w:rPr>
      </w:pPr>
      <w:r>
        <w:rPr>
          <w:rFonts w:hint="eastAsia" w:ascii="宋体" w:hAnsi="宋体" w:cs="宋体"/>
          <w:sz w:val="24"/>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080D6CAA">
      <w:pPr>
        <w:spacing w:line="360" w:lineRule="auto"/>
        <w:ind w:firstLine="480" w:firstLineChars="200"/>
        <w:rPr>
          <w:rFonts w:hint="eastAsia" w:ascii="宋体" w:hAnsi="宋体" w:cs="宋体"/>
          <w:sz w:val="24"/>
        </w:rPr>
      </w:pPr>
      <w:r>
        <w:rPr>
          <w:rFonts w:hint="eastAsia" w:ascii="宋体" w:hAnsi="宋体" w:cs="宋体"/>
          <w:sz w:val="24"/>
        </w:rPr>
        <w:t>参加政府采购活动的中小微企业应提供《中小企业声明函》原件。未提供上述声明函原件的，则投标文件无效。</w:t>
      </w:r>
    </w:p>
    <w:p w14:paraId="060E6138">
      <w:pPr>
        <w:spacing w:line="360" w:lineRule="auto"/>
        <w:ind w:firstLine="420"/>
        <w:rPr>
          <w:rFonts w:hint="eastAsia" w:ascii="宋体" w:hAnsi="宋体" w:cs="宋体"/>
          <w:b/>
          <w:bCs/>
          <w:sz w:val="24"/>
        </w:rPr>
      </w:pPr>
      <w:r>
        <w:rPr>
          <w:rFonts w:hint="eastAsia" w:ascii="宋体" w:hAnsi="宋体" w:cs="宋体"/>
          <w:b/>
          <w:bCs/>
          <w:sz w:val="24"/>
        </w:rPr>
        <w:t>备注：中小企业划分标准参照《中小企业划型标准规定》（工信部联企业〔2011〕300号）执行；本项目标的物所属行业：</w:t>
      </w:r>
      <w:r>
        <w:rPr>
          <w:rFonts w:hint="eastAsia" w:ascii="宋体" w:hAnsi="宋体" w:cs="宋体"/>
          <w:b/>
          <w:bCs/>
          <w:sz w:val="24"/>
          <w:u w:val="single"/>
        </w:rPr>
        <w:t xml:space="preserve"> 工业 。</w:t>
      </w:r>
    </w:p>
    <w:p w14:paraId="70B4624E">
      <w:pPr>
        <w:spacing w:line="360" w:lineRule="auto"/>
        <w:ind w:firstLine="420"/>
        <w:rPr>
          <w:rFonts w:hint="eastAsia" w:ascii="宋体" w:hAnsi="宋体" w:cs="宋体"/>
          <w:sz w:val="24"/>
        </w:rPr>
      </w:pPr>
      <w:r>
        <w:rPr>
          <w:rFonts w:hint="eastAsia" w:ascii="宋体" w:hAnsi="宋体" w:cs="宋体"/>
          <w:sz w:val="24"/>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532C36AE">
      <w:pPr>
        <w:spacing w:line="360" w:lineRule="auto"/>
        <w:ind w:firstLine="420"/>
        <w:rPr>
          <w:rFonts w:hint="eastAsia" w:ascii="宋体" w:hAnsi="宋体" w:cs="宋体"/>
          <w:sz w:val="24"/>
        </w:rPr>
      </w:pPr>
      <w:r>
        <w:rPr>
          <w:rFonts w:hint="eastAsia" w:ascii="宋体" w:hAnsi="宋体" w:cs="宋体"/>
          <w:sz w:val="24"/>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623AA439">
      <w:pPr>
        <w:spacing w:line="360" w:lineRule="auto"/>
        <w:rPr>
          <w:rFonts w:hint="eastAsia" w:ascii="宋体" w:hAnsi="宋体" w:cs="宋体"/>
          <w:sz w:val="24"/>
        </w:rPr>
      </w:pPr>
      <w:r>
        <w:rPr>
          <w:rFonts w:hint="eastAsia" w:ascii="宋体" w:hAnsi="宋体" w:cs="宋体"/>
          <w:sz w:val="24"/>
        </w:rPr>
        <w:t>参加政府采购活动的残疾人単位应提供《残疾人福利性单位声明函》原件。未提供上述声明函原件的，则投标文件无效。</w:t>
      </w:r>
    </w:p>
    <w:p w14:paraId="7EBB17F0">
      <w:pPr>
        <w:spacing w:line="360" w:lineRule="auto"/>
        <w:ind w:firstLine="420"/>
        <w:rPr>
          <w:rFonts w:hint="eastAsia" w:ascii="宋体" w:hAnsi="宋体" w:cs="宋体"/>
          <w:sz w:val="24"/>
        </w:rPr>
      </w:pPr>
      <w:r>
        <w:rPr>
          <w:rFonts w:hint="eastAsia" w:ascii="宋体" w:hAnsi="宋体" w:cs="宋体"/>
          <w:sz w:val="24"/>
        </w:rPr>
        <w:t>（4）根据财政部、国家发展改革委《关于印发（节能产品政府采购实施意见》的通知》（财库〔2004〕185号）规定“政府采购属于节能产品品目清单的，在技术、服务等指标同等条件下，应当优先采购节能品目清单的节能产品。”</w:t>
      </w:r>
    </w:p>
    <w:p w14:paraId="6A924E57">
      <w:pPr>
        <w:spacing w:line="360" w:lineRule="auto"/>
        <w:ind w:firstLine="420"/>
        <w:rPr>
          <w:rFonts w:hint="eastAsia" w:ascii="宋体" w:hAnsi="宋体" w:cs="宋体"/>
          <w:sz w:val="24"/>
        </w:rPr>
      </w:pPr>
      <w:r>
        <w:rPr>
          <w:rFonts w:hint="eastAsia" w:ascii="宋体" w:hAnsi="宋体" w:cs="宋体"/>
          <w:sz w:val="24"/>
        </w:rPr>
        <w:t>（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09D45F10">
      <w:pPr>
        <w:spacing w:line="360" w:lineRule="auto"/>
        <w:ind w:firstLine="420"/>
        <w:rPr>
          <w:rFonts w:hint="eastAsia" w:ascii="宋体" w:hAnsi="宋体" w:cs="宋体"/>
          <w:sz w:val="24"/>
        </w:rPr>
      </w:pPr>
      <w:r>
        <w:rPr>
          <w:rFonts w:hint="eastAsia" w:ascii="宋体" w:hAnsi="宋体" w:cs="宋体"/>
          <w:sz w:val="24"/>
        </w:rPr>
        <w:t>（6）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334F9B2A">
      <w:pPr>
        <w:spacing w:line="360" w:lineRule="auto"/>
        <w:ind w:firstLine="420"/>
        <w:rPr>
          <w:rFonts w:hint="eastAsia" w:ascii="宋体" w:hAnsi="宋体" w:cs="宋体"/>
          <w:sz w:val="24"/>
        </w:rPr>
      </w:pPr>
      <w:r>
        <w:rPr>
          <w:rFonts w:hint="eastAsia" w:ascii="宋体" w:hAnsi="宋体" w:cs="宋体"/>
          <w:sz w:val="24"/>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1000767F">
      <w:pPr>
        <w:spacing w:line="360" w:lineRule="auto"/>
        <w:ind w:firstLine="420"/>
        <w:rPr>
          <w:rFonts w:hint="eastAsia" w:ascii="宋体" w:hAnsi="宋体" w:cs="宋体"/>
          <w:sz w:val="24"/>
        </w:rPr>
      </w:pPr>
      <w:r>
        <w:rPr>
          <w:rFonts w:hint="eastAsia" w:ascii="宋体" w:hAnsi="宋体" w:cs="宋体"/>
          <w:sz w:val="24"/>
        </w:rPr>
        <w:t>（8）节能产品政府采购品目清单详见财政部、发展改革委《关于印发节能产品政府采购品目清单的通知》（财库〔2019〕19号）。</w:t>
      </w:r>
    </w:p>
    <w:p w14:paraId="7CCEB09D">
      <w:pPr>
        <w:spacing w:line="360" w:lineRule="auto"/>
        <w:ind w:firstLine="420"/>
        <w:rPr>
          <w:rFonts w:hint="eastAsia" w:ascii="宋体" w:hAnsi="宋体" w:cs="宋体"/>
          <w:sz w:val="24"/>
        </w:rPr>
      </w:pPr>
      <w:r>
        <w:rPr>
          <w:rFonts w:hint="eastAsia" w:ascii="宋体" w:hAnsi="宋体" w:cs="宋体"/>
          <w:sz w:val="24"/>
        </w:rPr>
        <w:t>（9）环境标志产品政府采购品目清单详见财政部、生态环境部《关于印发环境标志产品政府采购品目清单的通知》（财库〔2019〕18号）。</w:t>
      </w:r>
    </w:p>
    <w:p w14:paraId="205A6602">
      <w:pPr>
        <w:spacing w:line="360" w:lineRule="auto"/>
        <w:ind w:firstLine="420"/>
        <w:rPr>
          <w:rFonts w:hint="eastAsia" w:ascii="宋体" w:hAnsi="宋体" w:cs="宋体"/>
          <w:sz w:val="24"/>
        </w:rPr>
      </w:pPr>
      <w:r>
        <w:rPr>
          <w:rFonts w:hint="eastAsia" w:ascii="宋体" w:hAnsi="宋体" w:cs="宋体"/>
          <w:sz w:val="24"/>
        </w:rPr>
        <w:t>（10）国家确定的节能产品、环境标志产品认证机构详见市场监管总局《关于发布参与实施政府采购节能产品、环境标志产品认证机构名录的公告》(2019年第16号）。</w:t>
      </w:r>
    </w:p>
    <w:p w14:paraId="47080EA7">
      <w:pPr>
        <w:spacing w:line="360" w:lineRule="auto"/>
        <w:ind w:firstLine="420"/>
        <w:rPr>
          <w:rFonts w:hint="eastAsia" w:ascii="宋体" w:hAnsi="宋体" w:cs="宋体"/>
          <w:sz w:val="24"/>
        </w:rPr>
      </w:pPr>
      <w:r>
        <w:rPr>
          <w:rFonts w:hint="eastAsia" w:ascii="宋体" w:hAnsi="宋体" w:cs="宋体"/>
          <w:sz w:val="24"/>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1B26F1CA">
      <w:pPr>
        <w:spacing w:line="360" w:lineRule="auto"/>
        <w:ind w:firstLine="420"/>
        <w:rPr>
          <w:rFonts w:hint="eastAsia" w:ascii="宋体" w:hAnsi="宋体" w:cs="宋体"/>
          <w:sz w:val="24"/>
        </w:rPr>
      </w:pPr>
      <w:r>
        <w:rPr>
          <w:rFonts w:hint="eastAsia" w:ascii="宋体" w:hAnsi="宋体" w:cs="宋体"/>
          <w:sz w:val="24"/>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4016930C">
      <w:pPr>
        <w:spacing w:line="360" w:lineRule="auto"/>
        <w:ind w:firstLine="420"/>
        <w:rPr>
          <w:rFonts w:hint="eastAsia" w:ascii="宋体" w:hAnsi="宋体" w:cs="宋体"/>
          <w:sz w:val="24"/>
        </w:rPr>
      </w:pPr>
      <w:r>
        <w:rPr>
          <w:rFonts w:hint="eastAsia" w:ascii="宋体" w:hAnsi="宋体" w:cs="宋体"/>
          <w:sz w:val="24"/>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3D1403D5">
      <w:pPr>
        <w:spacing w:line="360" w:lineRule="auto"/>
        <w:ind w:firstLine="420"/>
        <w:rPr>
          <w:rFonts w:hint="eastAsia" w:ascii="宋体" w:hAnsi="宋体" w:cs="宋体"/>
          <w:sz w:val="24"/>
        </w:rPr>
      </w:pPr>
      <w:r>
        <w:rPr>
          <w:rFonts w:hint="eastAsia" w:ascii="宋体" w:hAnsi="宋体" w:cs="宋体"/>
          <w:sz w:val="24"/>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43E3DF5D">
      <w:pPr>
        <w:spacing w:line="360" w:lineRule="auto"/>
        <w:ind w:firstLine="600" w:firstLineChars="250"/>
        <w:rPr>
          <w:rFonts w:hint="eastAsia" w:ascii="宋体" w:hAnsi="宋体" w:cs="宋体"/>
          <w:sz w:val="24"/>
        </w:rPr>
        <w:sectPr>
          <w:footerReference r:id="rId13" w:type="default"/>
          <w:pgSz w:w="11906" w:h="16838"/>
          <w:pgMar w:top="1559" w:right="1134" w:bottom="1020" w:left="1321" w:header="851" w:footer="397" w:gutter="0"/>
          <w:cols w:space="720" w:num="1"/>
          <w:docGrid w:type="lines" w:linePitch="315" w:charSpace="0"/>
        </w:sectPr>
      </w:pPr>
      <w:r>
        <w:rPr>
          <w:rFonts w:hint="eastAsia" w:ascii="宋体" w:hAnsi="宋体" w:cs="宋体"/>
          <w:sz w:val="24"/>
        </w:rPr>
        <w:t>2.中标供应商确定后，中标供应商无正当理由拖延或拒签合同的，采购人有权取消其中标资格，并按评审顺序重新确定中标单位或重新组织招标。同时报请监督机构予以通报，禁止其进入政府采购市场。</w:t>
      </w:r>
    </w:p>
    <w:p w14:paraId="17FCDC96">
      <w:pPr>
        <w:tabs>
          <w:tab w:val="left" w:pos="2100"/>
        </w:tabs>
        <w:jc w:val="center"/>
        <w:rPr>
          <w:rFonts w:hint="eastAsia" w:ascii="宋体" w:hAnsi="宋体" w:cs="宋体"/>
          <w:sz w:val="24"/>
        </w:rPr>
      </w:pPr>
      <w:r>
        <w:rPr>
          <w:rFonts w:hint="eastAsia" w:ascii="宋体" w:hAnsi="宋体" w:cs="宋体"/>
          <w:b/>
          <w:sz w:val="32"/>
          <w:szCs w:val="32"/>
        </w:rPr>
        <w:t>第三部分   招标内容及参数要求</w:t>
      </w:r>
    </w:p>
    <w:p w14:paraId="5AA72C40">
      <w:pPr>
        <w:widowControl/>
        <w:spacing w:line="520" w:lineRule="exact"/>
        <w:ind w:firstLine="420"/>
        <w:jc w:val="left"/>
        <w:textAlignment w:val="center"/>
        <w:rPr>
          <w:rFonts w:hint="eastAsia" w:ascii="宋体" w:hAnsi="宋体" w:cs="宋体"/>
          <w:sz w:val="24"/>
        </w:rPr>
      </w:pPr>
      <w:r>
        <w:rPr>
          <w:rFonts w:hint="eastAsia" w:ascii="宋体" w:hAnsi="宋体" w:cs="宋体"/>
          <w:sz w:val="24"/>
        </w:rPr>
        <w:t>一、项目名称：</w:t>
      </w:r>
      <w:r>
        <w:rPr>
          <w:rFonts w:hint="eastAsia" w:ascii="宋体" w:hAnsi="宋体" w:cs="宋体"/>
          <w:color w:val="333333"/>
          <w:kern w:val="0"/>
          <w:sz w:val="24"/>
          <w:shd w:val="clear" w:color="auto" w:fill="FFFFFF"/>
          <w:lang w:bidi="ar"/>
        </w:rPr>
        <w:t>延安市公安局侦查中心建设</w:t>
      </w:r>
    </w:p>
    <w:p w14:paraId="5A597135">
      <w:pPr>
        <w:pStyle w:val="16"/>
        <w:rPr>
          <w:rFonts w:hint="eastAsia" w:ascii="宋体" w:hAnsi="宋体" w:eastAsia="宋体" w:cs="宋体"/>
          <w:color w:val="auto"/>
        </w:rPr>
      </w:pPr>
      <w:r>
        <w:rPr>
          <w:rFonts w:hint="eastAsia" w:ascii="宋体" w:hAnsi="宋体" w:eastAsia="宋体" w:cs="宋体"/>
          <w:color w:val="auto"/>
        </w:rPr>
        <w:t>二、交付期：合同签订后60日历天</w:t>
      </w:r>
    </w:p>
    <w:p w14:paraId="3458F5EA">
      <w:pPr>
        <w:pStyle w:val="16"/>
        <w:rPr>
          <w:rFonts w:hint="eastAsia" w:ascii="宋体" w:hAnsi="宋体" w:eastAsia="宋体" w:cs="宋体"/>
          <w:color w:val="auto"/>
        </w:rPr>
      </w:pPr>
      <w:r>
        <w:rPr>
          <w:rFonts w:hint="eastAsia" w:ascii="宋体" w:hAnsi="宋体" w:eastAsia="宋体" w:cs="宋体"/>
          <w:color w:val="auto"/>
        </w:rPr>
        <w:t>三、质保期：1年</w:t>
      </w:r>
    </w:p>
    <w:p w14:paraId="53DEEEEB">
      <w:pPr>
        <w:pStyle w:val="16"/>
        <w:rPr>
          <w:rFonts w:hint="eastAsia" w:ascii="宋体" w:hAnsi="宋体" w:eastAsia="宋体" w:cs="宋体"/>
          <w:color w:val="auto"/>
        </w:rPr>
      </w:pPr>
      <w:r>
        <w:rPr>
          <w:rFonts w:hint="eastAsia" w:ascii="宋体" w:hAnsi="宋体" w:eastAsia="宋体" w:cs="宋体"/>
          <w:color w:val="auto"/>
        </w:rPr>
        <w:t>五、采购内容：</w:t>
      </w:r>
    </w:p>
    <w:tbl>
      <w:tblPr>
        <w:tblStyle w:val="18"/>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4"/>
        <w:gridCol w:w="14"/>
        <w:gridCol w:w="1006"/>
        <w:gridCol w:w="52"/>
        <w:gridCol w:w="978"/>
        <w:gridCol w:w="668"/>
        <w:gridCol w:w="8523"/>
        <w:gridCol w:w="1059"/>
        <w:gridCol w:w="1116"/>
        <w:gridCol w:w="12"/>
        <w:gridCol w:w="9"/>
      </w:tblGrid>
      <w:tr w14:paraId="2128E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90" w:hRule="atLeast"/>
        </w:trPr>
        <w:tc>
          <w:tcPr>
            <w:tcW w:w="4993" w:type="pct"/>
            <w:gridSpan w:val="9"/>
            <w:vAlign w:val="center"/>
          </w:tcPr>
          <w:p w14:paraId="2A809034">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sz w:val="28"/>
                <w:szCs w:val="28"/>
              </w:rPr>
              <w:t>延安市公安局侦查中心建设服务内容清单</w:t>
            </w:r>
          </w:p>
        </w:tc>
      </w:tr>
      <w:tr w14:paraId="1999A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4993" w:type="pct"/>
            <w:gridSpan w:val="9"/>
            <w:vAlign w:val="center"/>
          </w:tcPr>
          <w:p w14:paraId="38DD3727">
            <w:pPr>
              <w:widowControl/>
              <w:spacing w:line="360" w:lineRule="auto"/>
              <w:textAlignment w:val="center"/>
              <w:rPr>
                <w:rFonts w:hint="eastAsia" w:ascii="宋体" w:hAnsi="宋体" w:cs="宋体"/>
                <w:b/>
                <w:bCs/>
                <w:color w:val="000000"/>
                <w:szCs w:val="21"/>
              </w:rPr>
            </w:pPr>
            <w:r>
              <w:rPr>
                <w:rFonts w:hint="eastAsia" w:ascii="宋体" w:hAnsi="宋体" w:cs="宋体"/>
                <w:b/>
                <w:bCs/>
                <w:color w:val="000000"/>
                <w:szCs w:val="21"/>
              </w:rPr>
              <w:t>一、软件服务</w:t>
            </w:r>
          </w:p>
        </w:tc>
      </w:tr>
      <w:tr w14:paraId="23528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651" w:hRule="atLeast"/>
        </w:trPr>
        <w:tc>
          <w:tcPr>
            <w:tcW w:w="359" w:type="pct"/>
            <w:gridSpan w:val="2"/>
            <w:vAlign w:val="center"/>
          </w:tcPr>
          <w:p w14:paraId="36CE6010">
            <w:pPr>
              <w:widowControl/>
              <w:spacing w:line="360" w:lineRule="auto"/>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序号</w:t>
            </w:r>
          </w:p>
        </w:tc>
        <w:tc>
          <w:tcPr>
            <w:tcW w:w="366" w:type="pct"/>
            <w:gridSpan w:val="2"/>
            <w:vAlign w:val="center"/>
          </w:tcPr>
          <w:p w14:paraId="264826C6">
            <w:pPr>
              <w:widowControl/>
              <w:spacing w:line="360" w:lineRule="auto"/>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系统</w:t>
            </w:r>
          </w:p>
          <w:p w14:paraId="39042F0E">
            <w:pPr>
              <w:widowControl/>
              <w:spacing w:line="360" w:lineRule="auto"/>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名称</w:t>
            </w:r>
          </w:p>
        </w:tc>
        <w:tc>
          <w:tcPr>
            <w:tcW w:w="569" w:type="pct"/>
            <w:gridSpan w:val="2"/>
            <w:vAlign w:val="center"/>
          </w:tcPr>
          <w:p w14:paraId="708DFD9B">
            <w:pPr>
              <w:widowControl/>
              <w:spacing w:line="360" w:lineRule="auto"/>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服务模块</w:t>
            </w:r>
          </w:p>
        </w:tc>
        <w:tc>
          <w:tcPr>
            <w:tcW w:w="2945" w:type="pct"/>
            <w:vAlign w:val="center"/>
          </w:tcPr>
          <w:p w14:paraId="12471521">
            <w:pPr>
              <w:widowControl/>
              <w:spacing w:line="360" w:lineRule="auto"/>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技术要求</w:t>
            </w:r>
          </w:p>
        </w:tc>
        <w:tc>
          <w:tcPr>
            <w:tcW w:w="366" w:type="pct"/>
            <w:vAlign w:val="center"/>
          </w:tcPr>
          <w:p w14:paraId="4C02432B">
            <w:pPr>
              <w:widowControl/>
              <w:spacing w:line="360" w:lineRule="auto"/>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数量</w:t>
            </w:r>
          </w:p>
        </w:tc>
        <w:tc>
          <w:tcPr>
            <w:tcW w:w="385" w:type="pct"/>
            <w:vAlign w:val="center"/>
          </w:tcPr>
          <w:p w14:paraId="0DD79A99">
            <w:pPr>
              <w:widowControl/>
              <w:spacing w:line="360" w:lineRule="auto"/>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单位</w:t>
            </w:r>
          </w:p>
        </w:tc>
      </w:tr>
      <w:tr w14:paraId="5AA73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restart"/>
            <w:vAlign w:val="center"/>
          </w:tcPr>
          <w:p w14:paraId="303CCB0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366" w:type="pct"/>
            <w:gridSpan w:val="2"/>
            <w:vMerge w:val="restart"/>
            <w:vAlign w:val="center"/>
          </w:tcPr>
          <w:p w14:paraId="2744B29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警民联防反诈预警小程序服务</w:t>
            </w:r>
          </w:p>
        </w:tc>
        <w:tc>
          <w:tcPr>
            <w:tcW w:w="569" w:type="pct"/>
            <w:gridSpan w:val="2"/>
            <w:vAlign w:val="center"/>
          </w:tcPr>
          <w:p w14:paraId="1185154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居民端小程序</w:t>
            </w:r>
          </w:p>
        </w:tc>
        <w:tc>
          <w:tcPr>
            <w:tcW w:w="2945" w:type="pct"/>
            <w:vAlign w:val="center"/>
          </w:tcPr>
          <w:p w14:paraId="398E9312">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支持守护家人，支持添加10位家人基本信息，家人信息包括姓名、性别、年龄段、与您关系、手机号、QQ、微信；支持对家人进行预警，当家人收到诈骗信息时，添加人可以及时收到预警信息。</w:t>
            </w:r>
          </w:p>
        </w:tc>
        <w:tc>
          <w:tcPr>
            <w:tcW w:w="366" w:type="pct"/>
            <w:vMerge w:val="restart"/>
            <w:vAlign w:val="center"/>
          </w:tcPr>
          <w:p w14:paraId="2DACF58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385" w:type="pct"/>
            <w:vMerge w:val="restart"/>
            <w:vAlign w:val="center"/>
          </w:tcPr>
          <w:p w14:paraId="5F54FE28">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r>
      <w:tr w14:paraId="56303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continue"/>
            <w:vAlign w:val="center"/>
          </w:tcPr>
          <w:p w14:paraId="5D49DA60">
            <w:pPr>
              <w:spacing w:line="360" w:lineRule="auto"/>
              <w:jc w:val="center"/>
              <w:rPr>
                <w:rFonts w:hint="eastAsia" w:ascii="宋体" w:hAnsi="宋体" w:cs="宋体"/>
                <w:color w:val="000000"/>
                <w:szCs w:val="21"/>
              </w:rPr>
            </w:pPr>
          </w:p>
        </w:tc>
        <w:tc>
          <w:tcPr>
            <w:tcW w:w="366" w:type="pct"/>
            <w:gridSpan w:val="2"/>
            <w:vMerge w:val="continue"/>
            <w:vAlign w:val="center"/>
          </w:tcPr>
          <w:p w14:paraId="754B6D96">
            <w:pPr>
              <w:spacing w:line="360" w:lineRule="auto"/>
              <w:jc w:val="center"/>
              <w:rPr>
                <w:rFonts w:hint="eastAsia" w:ascii="宋体" w:hAnsi="宋体" w:cs="宋体"/>
                <w:color w:val="000000"/>
                <w:szCs w:val="21"/>
              </w:rPr>
            </w:pPr>
          </w:p>
        </w:tc>
        <w:tc>
          <w:tcPr>
            <w:tcW w:w="569" w:type="pct"/>
            <w:gridSpan w:val="2"/>
            <w:vAlign w:val="center"/>
          </w:tcPr>
          <w:p w14:paraId="69B8161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警方端小程序</w:t>
            </w:r>
          </w:p>
        </w:tc>
        <w:tc>
          <w:tcPr>
            <w:tcW w:w="2945" w:type="pct"/>
            <w:vAlign w:val="center"/>
          </w:tcPr>
          <w:p w14:paraId="56346145">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支持对预警信息进行处置，根据劝阻的情况填写相关反馈信息，支持对待处理、已处理的任务进行实时统计。支持预警信息列表展示及查询，预警信息包括用户、预警数据。</w:t>
            </w:r>
          </w:p>
        </w:tc>
        <w:tc>
          <w:tcPr>
            <w:tcW w:w="366" w:type="pct"/>
            <w:vMerge w:val="continue"/>
            <w:vAlign w:val="center"/>
          </w:tcPr>
          <w:p w14:paraId="32848A01">
            <w:pPr>
              <w:spacing w:line="360" w:lineRule="auto"/>
              <w:jc w:val="center"/>
              <w:rPr>
                <w:rFonts w:hint="eastAsia" w:ascii="宋体" w:hAnsi="宋体" w:cs="宋体"/>
                <w:color w:val="000000"/>
                <w:szCs w:val="21"/>
              </w:rPr>
            </w:pPr>
          </w:p>
        </w:tc>
        <w:tc>
          <w:tcPr>
            <w:tcW w:w="385" w:type="pct"/>
            <w:vMerge w:val="continue"/>
            <w:vAlign w:val="center"/>
          </w:tcPr>
          <w:p w14:paraId="21AF1E75">
            <w:pPr>
              <w:spacing w:line="360" w:lineRule="auto"/>
              <w:jc w:val="center"/>
              <w:rPr>
                <w:rFonts w:hint="eastAsia" w:ascii="宋体" w:hAnsi="宋体" w:cs="宋体"/>
                <w:color w:val="000000"/>
                <w:szCs w:val="21"/>
              </w:rPr>
            </w:pPr>
          </w:p>
        </w:tc>
      </w:tr>
      <w:tr w14:paraId="4FFD2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675" w:hRule="atLeast"/>
        </w:trPr>
        <w:tc>
          <w:tcPr>
            <w:tcW w:w="359" w:type="pct"/>
            <w:gridSpan w:val="2"/>
            <w:vMerge w:val="continue"/>
            <w:vAlign w:val="center"/>
          </w:tcPr>
          <w:p w14:paraId="13A21D2C">
            <w:pPr>
              <w:spacing w:line="360" w:lineRule="auto"/>
              <w:jc w:val="center"/>
              <w:rPr>
                <w:rFonts w:hint="eastAsia" w:ascii="宋体" w:hAnsi="宋体" w:cs="宋体"/>
                <w:color w:val="000000"/>
                <w:szCs w:val="21"/>
              </w:rPr>
            </w:pPr>
          </w:p>
        </w:tc>
        <w:tc>
          <w:tcPr>
            <w:tcW w:w="366" w:type="pct"/>
            <w:gridSpan w:val="2"/>
            <w:vMerge w:val="continue"/>
            <w:vAlign w:val="center"/>
          </w:tcPr>
          <w:p w14:paraId="4D45DC7A">
            <w:pPr>
              <w:spacing w:line="360" w:lineRule="auto"/>
              <w:jc w:val="center"/>
              <w:rPr>
                <w:rFonts w:hint="eastAsia" w:ascii="宋体" w:hAnsi="宋体" w:cs="宋体"/>
                <w:color w:val="000000"/>
                <w:szCs w:val="21"/>
              </w:rPr>
            </w:pPr>
          </w:p>
        </w:tc>
        <w:tc>
          <w:tcPr>
            <w:tcW w:w="569" w:type="pct"/>
            <w:gridSpan w:val="2"/>
            <w:vAlign w:val="center"/>
          </w:tcPr>
          <w:p w14:paraId="0C2816B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后台管理端</w:t>
            </w:r>
          </w:p>
        </w:tc>
        <w:tc>
          <w:tcPr>
            <w:tcW w:w="2945" w:type="pct"/>
            <w:vAlign w:val="center"/>
          </w:tcPr>
          <w:p w14:paraId="78FBBDD2">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支持守护居民地区分布展示，支持展示守护居民总人数、注册居民总人数、警民联防总数、居民注册趋势、防诈预警统计、诈骗侵害年龄段统计。支持展示所有的守护人信息，守护人信息包括姓名、手机号码、年龄段、职业、注册时间、预警数、家人数、地区、守护民警等；支持查看个人信息及家人详情。</w:t>
            </w:r>
          </w:p>
        </w:tc>
        <w:tc>
          <w:tcPr>
            <w:tcW w:w="366" w:type="pct"/>
            <w:vMerge w:val="continue"/>
            <w:vAlign w:val="center"/>
          </w:tcPr>
          <w:p w14:paraId="6CAE1799">
            <w:pPr>
              <w:spacing w:line="360" w:lineRule="auto"/>
              <w:jc w:val="center"/>
              <w:rPr>
                <w:rFonts w:hint="eastAsia" w:ascii="宋体" w:hAnsi="宋体" w:cs="宋体"/>
                <w:color w:val="000000"/>
                <w:szCs w:val="21"/>
              </w:rPr>
            </w:pPr>
          </w:p>
        </w:tc>
        <w:tc>
          <w:tcPr>
            <w:tcW w:w="385" w:type="pct"/>
            <w:vMerge w:val="continue"/>
            <w:vAlign w:val="center"/>
          </w:tcPr>
          <w:p w14:paraId="6DCC4197">
            <w:pPr>
              <w:spacing w:line="360" w:lineRule="auto"/>
              <w:jc w:val="center"/>
              <w:rPr>
                <w:rFonts w:hint="eastAsia" w:ascii="宋体" w:hAnsi="宋体" w:cs="宋体"/>
                <w:color w:val="000000"/>
                <w:szCs w:val="21"/>
              </w:rPr>
            </w:pPr>
          </w:p>
        </w:tc>
      </w:tr>
      <w:tr w14:paraId="2120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675" w:hRule="atLeast"/>
        </w:trPr>
        <w:tc>
          <w:tcPr>
            <w:tcW w:w="359" w:type="pct"/>
            <w:gridSpan w:val="2"/>
            <w:vMerge w:val="restart"/>
            <w:vAlign w:val="center"/>
          </w:tcPr>
          <w:p w14:paraId="3D88422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c>
          <w:tcPr>
            <w:tcW w:w="366" w:type="pct"/>
            <w:gridSpan w:val="2"/>
            <w:vMerge w:val="restart"/>
            <w:vAlign w:val="center"/>
          </w:tcPr>
          <w:p w14:paraId="2F5DE5D3">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AI止付机器人服务</w:t>
            </w:r>
          </w:p>
        </w:tc>
        <w:tc>
          <w:tcPr>
            <w:tcW w:w="569" w:type="pct"/>
            <w:gridSpan w:val="2"/>
            <w:vAlign w:val="center"/>
          </w:tcPr>
          <w:p w14:paraId="4046907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账号资源管理</w:t>
            </w:r>
          </w:p>
        </w:tc>
        <w:tc>
          <w:tcPr>
            <w:tcW w:w="2945" w:type="pct"/>
            <w:vAlign w:val="center"/>
          </w:tcPr>
          <w:p w14:paraId="6E2103A3">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支持两种类型的账号：证书账号和辅警账号，管理员需要为每个账号录入详细的个人信息和单位信息。账号资源管理还包括账号的编辑、删除、权限配置以及状态监控等功能，同时提供了账号列表的查看、筛选和搜索功能。</w:t>
            </w:r>
          </w:p>
        </w:tc>
        <w:tc>
          <w:tcPr>
            <w:tcW w:w="366" w:type="pct"/>
            <w:vMerge w:val="restart"/>
            <w:vAlign w:val="center"/>
          </w:tcPr>
          <w:p w14:paraId="03957F53">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385" w:type="pct"/>
            <w:vMerge w:val="restart"/>
            <w:vAlign w:val="center"/>
          </w:tcPr>
          <w:p w14:paraId="1942576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r>
      <w:tr w14:paraId="771FE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6DBE85CA">
            <w:pPr>
              <w:spacing w:line="360" w:lineRule="auto"/>
              <w:jc w:val="center"/>
              <w:rPr>
                <w:rFonts w:hint="eastAsia" w:ascii="宋体" w:hAnsi="宋体" w:cs="宋体"/>
                <w:color w:val="000000"/>
                <w:szCs w:val="21"/>
              </w:rPr>
            </w:pPr>
          </w:p>
        </w:tc>
        <w:tc>
          <w:tcPr>
            <w:tcW w:w="366" w:type="pct"/>
            <w:gridSpan w:val="2"/>
            <w:vMerge w:val="continue"/>
            <w:vAlign w:val="center"/>
          </w:tcPr>
          <w:p w14:paraId="411F922A">
            <w:pPr>
              <w:spacing w:line="360" w:lineRule="auto"/>
              <w:jc w:val="center"/>
              <w:rPr>
                <w:rFonts w:hint="eastAsia" w:ascii="宋体" w:hAnsi="宋体" w:cs="宋体"/>
                <w:color w:val="000000"/>
                <w:szCs w:val="21"/>
              </w:rPr>
            </w:pPr>
          </w:p>
        </w:tc>
        <w:tc>
          <w:tcPr>
            <w:tcW w:w="569" w:type="pct"/>
            <w:gridSpan w:val="2"/>
            <w:vAlign w:val="center"/>
          </w:tcPr>
          <w:p w14:paraId="733731C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基础数据管理</w:t>
            </w:r>
          </w:p>
        </w:tc>
        <w:tc>
          <w:tcPr>
            <w:tcW w:w="2945" w:type="pct"/>
            <w:vAlign w:val="center"/>
          </w:tcPr>
          <w:p w14:paraId="277E1F1A">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提供BIN码管理、银行管理、机构管理等。</w:t>
            </w:r>
          </w:p>
        </w:tc>
        <w:tc>
          <w:tcPr>
            <w:tcW w:w="366" w:type="pct"/>
            <w:vMerge w:val="continue"/>
            <w:vAlign w:val="center"/>
          </w:tcPr>
          <w:p w14:paraId="2C7BE0B8">
            <w:pPr>
              <w:spacing w:line="360" w:lineRule="auto"/>
              <w:jc w:val="center"/>
              <w:rPr>
                <w:rFonts w:hint="eastAsia" w:ascii="宋体" w:hAnsi="宋体" w:cs="宋体"/>
                <w:color w:val="000000"/>
                <w:szCs w:val="21"/>
              </w:rPr>
            </w:pPr>
          </w:p>
        </w:tc>
        <w:tc>
          <w:tcPr>
            <w:tcW w:w="385" w:type="pct"/>
            <w:vMerge w:val="continue"/>
            <w:vAlign w:val="center"/>
          </w:tcPr>
          <w:p w14:paraId="2768B622">
            <w:pPr>
              <w:spacing w:line="360" w:lineRule="auto"/>
              <w:jc w:val="center"/>
              <w:rPr>
                <w:rFonts w:hint="eastAsia" w:ascii="宋体" w:hAnsi="宋体" w:cs="宋体"/>
                <w:color w:val="000000"/>
                <w:szCs w:val="21"/>
              </w:rPr>
            </w:pPr>
          </w:p>
        </w:tc>
      </w:tr>
      <w:tr w14:paraId="0E183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continue"/>
            <w:vAlign w:val="center"/>
          </w:tcPr>
          <w:p w14:paraId="1F00F430">
            <w:pPr>
              <w:spacing w:line="360" w:lineRule="auto"/>
              <w:jc w:val="center"/>
              <w:rPr>
                <w:rFonts w:hint="eastAsia" w:ascii="宋体" w:hAnsi="宋体" w:cs="宋体"/>
                <w:color w:val="000000"/>
                <w:szCs w:val="21"/>
              </w:rPr>
            </w:pPr>
          </w:p>
        </w:tc>
        <w:tc>
          <w:tcPr>
            <w:tcW w:w="366" w:type="pct"/>
            <w:gridSpan w:val="2"/>
            <w:vMerge w:val="continue"/>
            <w:vAlign w:val="center"/>
          </w:tcPr>
          <w:p w14:paraId="02A4A5FD">
            <w:pPr>
              <w:spacing w:line="360" w:lineRule="auto"/>
              <w:jc w:val="center"/>
              <w:rPr>
                <w:rFonts w:hint="eastAsia" w:ascii="宋体" w:hAnsi="宋体" w:cs="宋体"/>
                <w:color w:val="000000"/>
                <w:szCs w:val="21"/>
              </w:rPr>
            </w:pPr>
          </w:p>
        </w:tc>
        <w:tc>
          <w:tcPr>
            <w:tcW w:w="569" w:type="pct"/>
            <w:gridSpan w:val="2"/>
            <w:vAlign w:val="center"/>
          </w:tcPr>
          <w:p w14:paraId="0180988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文书管理</w:t>
            </w:r>
          </w:p>
        </w:tc>
        <w:tc>
          <w:tcPr>
            <w:tcW w:w="2945" w:type="pct"/>
            <w:vAlign w:val="center"/>
          </w:tcPr>
          <w:p w14:paraId="3D674C2E">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允许用户高效地管理止付、冻结、查询文书模板，包括创建、存储、编辑、删除模板，以及基于模板生成文书。支持多种输出格式，如PDF和PNG，以满足不同的使用需求。</w:t>
            </w:r>
          </w:p>
        </w:tc>
        <w:tc>
          <w:tcPr>
            <w:tcW w:w="366" w:type="pct"/>
            <w:vMerge w:val="continue"/>
            <w:vAlign w:val="center"/>
          </w:tcPr>
          <w:p w14:paraId="3EE25DD7">
            <w:pPr>
              <w:spacing w:line="360" w:lineRule="auto"/>
              <w:jc w:val="center"/>
              <w:rPr>
                <w:rFonts w:hint="eastAsia" w:ascii="宋体" w:hAnsi="宋体" w:cs="宋体"/>
                <w:color w:val="000000"/>
                <w:szCs w:val="21"/>
              </w:rPr>
            </w:pPr>
          </w:p>
        </w:tc>
        <w:tc>
          <w:tcPr>
            <w:tcW w:w="385" w:type="pct"/>
            <w:vMerge w:val="continue"/>
            <w:vAlign w:val="center"/>
          </w:tcPr>
          <w:p w14:paraId="0D36E5BD">
            <w:pPr>
              <w:spacing w:line="360" w:lineRule="auto"/>
              <w:jc w:val="center"/>
              <w:rPr>
                <w:rFonts w:hint="eastAsia" w:ascii="宋体" w:hAnsi="宋体" w:cs="宋体"/>
                <w:color w:val="000000"/>
                <w:szCs w:val="21"/>
              </w:rPr>
            </w:pPr>
          </w:p>
        </w:tc>
      </w:tr>
      <w:tr w14:paraId="26A9E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900" w:hRule="atLeast"/>
        </w:trPr>
        <w:tc>
          <w:tcPr>
            <w:tcW w:w="359" w:type="pct"/>
            <w:gridSpan w:val="2"/>
            <w:vMerge w:val="continue"/>
            <w:vAlign w:val="center"/>
          </w:tcPr>
          <w:p w14:paraId="51B4AF23">
            <w:pPr>
              <w:spacing w:line="360" w:lineRule="auto"/>
              <w:jc w:val="center"/>
              <w:rPr>
                <w:rFonts w:hint="eastAsia" w:ascii="宋体" w:hAnsi="宋体" w:cs="宋体"/>
                <w:color w:val="000000"/>
                <w:szCs w:val="21"/>
              </w:rPr>
            </w:pPr>
          </w:p>
        </w:tc>
        <w:tc>
          <w:tcPr>
            <w:tcW w:w="366" w:type="pct"/>
            <w:gridSpan w:val="2"/>
            <w:vMerge w:val="continue"/>
            <w:vAlign w:val="center"/>
          </w:tcPr>
          <w:p w14:paraId="1BAFAF87">
            <w:pPr>
              <w:spacing w:line="360" w:lineRule="auto"/>
              <w:jc w:val="center"/>
              <w:rPr>
                <w:rFonts w:hint="eastAsia" w:ascii="宋体" w:hAnsi="宋体" w:cs="宋体"/>
                <w:color w:val="000000"/>
                <w:szCs w:val="21"/>
              </w:rPr>
            </w:pPr>
          </w:p>
        </w:tc>
        <w:tc>
          <w:tcPr>
            <w:tcW w:w="569" w:type="pct"/>
            <w:gridSpan w:val="2"/>
            <w:vAlign w:val="center"/>
          </w:tcPr>
          <w:p w14:paraId="3DED916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任务分发调度</w:t>
            </w:r>
          </w:p>
        </w:tc>
        <w:tc>
          <w:tcPr>
            <w:tcW w:w="2945" w:type="pct"/>
            <w:vAlign w:val="center"/>
          </w:tcPr>
          <w:p w14:paraId="5DF00192">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任务分发调度是RPA平台的核心功能，负责将用户上传的需求转化为具体任务，并智能地分发给有权限的客户端执行。该模块支持对任务的全生命周期管理，包括任务生成、分发、执行监控、状态跟踪以及数据收集。它能够处理来自不同平台的多种任务类型，如国反止付、冻结、查询等，并确保不同平台的任务执行互不影响。</w:t>
            </w:r>
          </w:p>
        </w:tc>
        <w:tc>
          <w:tcPr>
            <w:tcW w:w="366" w:type="pct"/>
            <w:vMerge w:val="continue"/>
            <w:vAlign w:val="center"/>
          </w:tcPr>
          <w:p w14:paraId="5B79201E">
            <w:pPr>
              <w:spacing w:line="360" w:lineRule="auto"/>
              <w:jc w:val="center"/>
              <w:rPr>
                <w:rFonts w:hint="eastAsia" w:ascii="宋体" w:hAnsi="宋体" w:cs="宋体"/>
                <w:color w:val="000000"/>
                <w:szCs w:val="21"/>
              </w:rPr>
            </w:pPr>
          </w:p>
        </w:tc>
        <w:tc>
          <w:tcPr>
            <w:tcW w:w="385" w:type="pct"/>
            <w:vMerge w:val="continue"/>
            <w:vAlign w:val="center"/>
          </w:tcPr>
          <w:p w14:paraId="50D2162F">
            <w:pPr>
              <w:spacing w:line="360" w:lineRule="auto"/>
              <w:jc w:val="center"/>
              <w:rPr>
                <w:rFonts w:hint="eastAsia" w:ascii="宋体" w:hAnsi="宋体" w:cs="宋体"/>
                <w:color w:val="000000"/>
                <w:szCs w:val="21"/>
              </w:rPr>
            </w:pPr>
          </w:p>
        </w:tc>
      </w:tr>
      <w:tr w14:paraId="1D8FD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5F6FF14C">
            <w:pPr>
              <w:spacing w:line="360" w:lineRule="auto"/>
              <w:jc w:val="center"/>
              <w:rPr>
                <w:rFonts w:hint="eastAsia" w:ascii="宋体" w:hAnsi="宋体" w:cs="宋体"/>
                <w:color w:val="000000"/>
                <w:szCs w:val="21"/>
              </w:rPr>
            </w:pPr>
          </w:p>
        </w:tc>
        <w:tc>
          <w:tcPr>
            <w:tcW w:w="366" w:type="pct"/>
            <w:gridSpan w:val="2"/>
            <w:vMerge w:val="continue"/>
            <w:vAlign w:val="center"/>
          </w:tcPr>
          <w:p w14:paraId="6488DEFA">
            <w:pPr>
              <w:spacing w:line="360" w:lineRule="auto"/>
              <w:jc w:val="center"/>
              <w:rPr>
                <w:rFonts w:hint="eastAsia" w:ascii="宋体" w:hAnsi="宋体" w:cs="宋体"/>
                <w:color w:val="000000"/>
                <w:szCs w:val="21"/>
              </w:rPr>
            </w:pPr>
          </w:p>
        </w:tc>
        <w:tc>
          <w:tcPr>
            <w:tcW w:w="569" w:type="pct"/>
            <w:gridSpan w:val="2"/>
            <w:vAlign w:val="center"/>
          </w:tcPr>
          <w:p w14:paraId="71DF0C03">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系统管理</w:t>
            </w:r>
          </w:p>
        </w:tc>
        <w:tc>
          <w:tcPr>
            <w:tcW w:w="2945" w:type="pct"/>
            <w:vAlign w:val="center"/>
          </w:tcPr>
          <w:p w14:paraId="14DCBE36">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系统管理可以对系统进行整体的管理和设置，包括数据字典管理、系统关键参数配置、系统调度管理等。</w:t>
            </w:r>
          </w:p>
        </w:tc>
        <w:tc>
          <w:tcPr>
            <w:tcW w:w="366" w:type="pct"/>
            <w:vMerge w:val="continue"/>
            <w:vAlign w:val="center"/>
          </w:tcPr>
          <w:p w14:paraId="7379DF7A">
            <w:pPr>
              <w:spacing w:line="360" w:lineRule="auto"/>
              <w:jc w:val="center"/>
              <w:rPr>
                <w:rFonts w:hint="eastAsia" w:ascii="宋体" w:hAnsi="宋体" w:cs="宋体"/>
                <w:color w:val="000000"/>
                <w:szCs w:val="21"/>
              </w:rPr>
            </w:pPr>
          </w:p>
        </w:tc>
        <w:tc>
          <w:tcPr>
            <w:tcW w:w="385" w:type="pct"/>
            <w:vMerge w:val="continue"/>
            <w:vAlign w:val="center"/>
          </w:tcPr>
          <w:p w14:paraId="257F3E90">
            <w:pPr>
              <w:spacing w:line="360" w:lineRule="auto"/>
              <w:jc w:val="center"/>
              <w:rPr>
                <w:rFonts w:hint="eastAsia" w:ascii="宋体" w:hAnsi="宋体" w:cs="宋体"/>
                <w:color w:val="000000"/>
                <w:szCs w:val="21"/>
              </w:rPr>
            </w:pPr>
          </w:p>
        </w:tc>
      </w:tr>
      <w:tr w14:paraId="05C06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continue"/>
            <w:vAlign w:val="center"/>
          </w:tcPr>
          <w:p w14:paraId="32F2F7BE">
            <w:pPr>
              <w:spacing w:line="360" w:lineRule="auto"/>
              <w:jc w:val="center"/>
              <w:rPr>
                <w:rFonts w:hint="eastAsia" w:ascii="宋体" w:hAnsi="宋体" w:cs="宋体"/>
                <w:color w:val="000000"/>
                <w:szCs w:val="21"/>
              </w:rPr>
            </w:pPr>
          </w:p>
        </w:tc>
        <w:tc>
          <w:tcPr>
            <w:tcW w:w="366" w:type="pct"/>
            <w:gridSpan w:val="2"/>
            <w:vMerge w:val="continue"/>
            <w:vAlign w:val="center"/>
          </w:tcPr>
          <w:p w14:paraId="2E1705EC">
            <w:pPr>
              <w:spacing w:line="360" w:lineRule="auto"/>
              <w:jc w:val="center"/>
              <w:rPr>
                <w:rFonts w:hint="eastAsia" w:ascii="宋体" w:hAnsi="宋体" w:cs="宋体"/>
                <w:color w:val="000000"/>
                <w:szCs w:val="21"/>
              </w:rPr>
            </w:pPr>
          </w:p>
        </w:tc>
        <w:tc>
          <w:tcPr>
            <w:tcW w:w="569" w:type="pct"/>
            <w:gridSpan w:val="2"/>
            <w:vAlign w:val="center"/>
          </w:tcPr>
          <w:p w14:paraId="444AF6A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字典管理</w:t>
            </w:r>
          </w:p>
        </w:tc>
        <w:tc>
          <w:tcPr>
            <w:tcW w:w="2945" w:type="pct"/>
            <w:vAlign w:val="center"/>
          </w:tcPr>
          <w:p w14:paraId="0AE5BFFD">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字典配置管理和原始数据中的代码显示；可以将原始数据中的代码映射为更易读和简洁的文书，展示在页面中。</w:t>
            </w:r>
          </w:p>
        </w:tc>
        <w:tc>
          <w:tcPr>
            <w:tcW w:w="366" w:type="pct"/>
            <w:vMerge w:val="continue"/>
            <w:vAlign w:val="center"/>
          </w:tcPr>
          <w:p w14:paraId="2B02F36D">
            <w:pPr>
              <w:spacing w:line="360" w:lineRule="auto"/>
              <w:jc w:val="center"/>
              <w:rPr>
                <w:rFonts w:hint="eastAsia" w:ascii="宋体" w:hAnsi="宋体" w:cs="宋体"/>
                <w:color w:val="000000"/>
                <w:szCs w:val="21"/>
              </w:rPr>
            </w:pPr>
          </w:p>
        </w:tc>
        <w:tc>
          <w:tcPr>
            <w:tcW w:w="385" w:type="pct"/>
            <w:vMerge w:val="continue"/>
            <w:vAlign w:val="center"/>
          </w:tcPr>
          <w:p w14:paraId="2B415E03">
            <w:pPr>
              <w:spacing w:line="360" w:lineRule="auto"/>
              <w:jc w:val="center"/>
              <w:rPr>
                <w:rFonts w:hint="eastAsia" w:ascii="宋体" w:hAnsi="宋体" w:cs="宋体"/>
                <w:color w:val="000000"/>
                <w:szCs w:val="21"/>
              </w:rPr>
            </w:pPr>
          </w:p>
        </w:tc>
      </w:tr>
      <w:tr w14:paraId="18146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40906275">
            <w:pPr>
              <w:spacing w:line="360" w:lineRule="auto"/>
              <w:jc w:val="center"/>
              <w:rPr>
                <w:rFonts w:hint="eastAsia" w:ascii="宋体" w:hAnsi="宋体" w:cs="宋体"/>
                <w:color w:val="000000"/>
                <w:szCs w:val="21"/>
              </w:rPr>
            </w:pPr>
          </w:p>
        </w:tc>
        <w:tc>
          <w:tcPr>
            <w:tcW w:w="366" w:type="pct"/>
            <w:gridSpan w:val="2"/>
            <w:vMerge w:val="continue"/>
            <w:vAlign w:val="center"/>
          </w:tcPr>
          <w:p w14:paraId="7E1DE9AF">
            <w:pPr>
              <w:spacing w:line="360" w:lineRule="auto"/>
              <w:jc w:val="center"/>
              <w:rPr>
                <w:rFonts w:hint="eastAsia" w:ascii="宋体" w:hAnsi="宋体" w:cs="宋体"/>
                <w:color w:val="000000"/>
                <w:szCs w:val="21"/>
              </w:rPr>
            </w:pPr>
          </w:p>
        </w:tc>
        <w:tc>
          <w:tcPr>
            <w:tcW w:w="569" w:type="pct"/>
            <w:gridSpan w:val="2"/>
            <w:vAlign w:val="center"/>
          </w:tcPr>
          <w:p w14:paraId="5C9ACDD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系统配置</w:t>
            </w:r>
          </w:p>
        </w:tc>
        <w:tc>
          <w:tcPr>
            <w:tcW w:w="2945" w:type="pct"/>
            <w:vAlign w:val="center"/>
          </w:tcPr>
          <w:p w14:paraId="39D7A745">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对系统进行整体的管理。通过参数控制任务执行、页面显示、日志打印等多种信息。</w:t>
            </w:r>
          </w:p>
        </w:tc>
        <w:tc>
          <w:tcPr>
            <w:tcW w:w="366" w:type="pct"/>
            <w:vMerge w:val="continue"/>
            <w:vAlign w:val="center"/>
          </w:tcPr>
          <w:p w14:paraId="2138C6B4">
            <w:pPr>
              <w:spacing w:line="360" w:lineRule="auto"/>
              <w:jc w:val="center"/>
              <w:rPr>
                <w:rFonts w:hint="eastAsia" w:ascii="宋体" w:hAnsi="宋体" w:cs="宋体"/>
                <w:color w:val="000000"/>
                <w:szCs w:val="21"/>
              </w:rPr>
            </w:pPr>
          </w:p>
        </w:tc>
        <w:tc>
          <w:tcPr>
            <w:tcW w:w="385" w:type="pct"/>
            <w:vMerge w:val="continue"/>
            <w:vAlign w:val="center"/>
          </w:tcPr>
          <w:p w14:paraId="1A2BA98E">
            <w:pPr>
              <w:spacing w:line="360" w:lineRule="auto"/>
              <w:jc w:val="center"/>
              <w:rPr>
                <w:rFonts w:hint="eastAsia" w:ascii="宋体" w:hAnsi="宋体" w:cs="宋体"/>
                <w:color w:val="000000"/>
                <w:szCs w:val="21"/>
              </w:rPr>
            </w:pPr>
          </w:p>
        </w:tc>
      </w:tr>
      <w:tr w14:paraId="11BCB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62F21DBF">
            <w:pPr>
              <w:spacing w:line="360" w:lineRule="auto"/>
              <w:jc w:val="center"/>
              <w:rPr>
                <w:rFonts w:hint="eastAsia" w:ascii="宋体" w:hAnsi="宋体" w:cs="宋体"/>
                <w:color w:val="000000"/>
                <w:szCs w:val="21"/>
              </w:rPr>
            </w:pPr>
          </w:p>
        </w:tc>
        <w:tc>
          <w:tcPr>
            <w:tcW w:w="366" w:type="pct"/>
            <w:gridSpan w:val="2"/>
            <w:vMerge w:val="continue"/>
            <w:vAlign w:val="center"/>
          </w:tcPr>
          <w:p w14:paraId="7D6C19AD">
            <w:pPr>
              <w:spacing w:line="360" w:lineRule="auto"/>
              <w:jc w:val="center"/>
              <w:rPr>
                <w:rFonts w:hint="eastAsia" w:ascii="宋体" w:hAnsi="宋体" w:cs="宋体"/>
                <w:color w:val="000000"/>
                <w:szCs w:val="21"/>
              </w:rPr>
            </w:pPr>
          </w:p>
        </w:tc>
        <w:tc>
          <w:tcPr>
            <w:tcW w:w="569" w:type="pct"/>
            <w:gridSpan w:val="2"/>
            <w:vAlign w:val="center"/>
          </w:tcPr>
          <w:p w14:paraId="3721F44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调度管理</w:t>
            </w:r>
          </w:p>
        </w:tc>
        <w:tc>
          <w:tcPr>
            <w:tcW w:w="2945" w:type="pct"/>
            <w:vAlign w:val="center"/>
          </w:tcPr>
          <w:p w14:paraId="2CA49644">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系统定时执行的任务；可以将执行失败的、长期处于执行中的任务重置，使其重新执行。</w:t>
            </w:r>
          </w:p>
        </w:tc>
        <w:tc>
          <w:tcPr>
            <w:tcW w:w="366" w:type="pct"/>
            <w:vMerge w:val="continue"/>
            <w:vAlign w:val="center"/>
          </w:tcPr>
          <w:p w14:paraId="41258612">
            <w:pPr>
              <w:spacing w:line="360" w:lineRule="auto"/>
              <w:jc w:val="center"/>
              <w:rPr>
                <w:rFonts w:hint="eastAsia" w:ascii="宋体" w:hAnsi="宋体" w:cs="宋体"/>
                <w:color w:val="000000"/>
                <w:szCs w:val="21"/>
              </w:rPr>
            </w:pPr>
          </w:p>
        </w:tc>
        <w:tc>
          <w:tcPr>
            <w:tcW w:w="385" w:type="pct"/>
            <w:vMerge w:val="continue"/>
            <w:vAlign w:val="center"/>
          </w:tcPr>
          <w:p w14:paraId="5795326F">
            <w:pPr>
              <w:spacing w:line="360" w:lineRule="auto"/>
              <w:jc w:val="center"/>
              <w:rPr>
                <w:rFonts w:hint="eastAsia" w:ascii="宋体" w:hAnsi="宋体" w:cs="宋体"/>
                <w:color w:val="000000"/>
                <w:szCs w:val="21"/>
              </w:rPr>
            </w:pPr>
          </w:p>
        </w:tc>
      </w:tr>
      <w:tr w14:paraId="6726F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continue"/>
            <w:vAlign w:val="center"/>
          </w:tcPr>
          <w:p w14:paraId="105027A0">
            <w:pPr>
              <w:spacing w:line="360" w:lineRule="auto"/>
              <w:jc w:val="center"/>
              <w:rPr>
                <w:rFonts w:hint="eastAsia" w:ascii="宋体" w:hAnsi="宋体" w:cs="宋体"/>
                <w:color w:val="000000"/>
                <w:szCs w:val="21"/>
              </w:rPr>
            </w:pPr>
          </w:p>
        </w:tc>
        <w:tc>
          <w:tcPr>
            <w:tcW w:w="366" w:type="pct"/>
            <w:gridSpan w:val="2"/>
            <w:vMerge w:val="continue"/>
            <w:vAlign w:val="center"/>
          </w:tcPr>
          <w:p w14:paraId="6E0CF200">
            <w:pPr>
              <w:spacing w:line="360" w:lineRule="auto"/>
              <w:jc w:val="center"/>
              <w:rPr>
                <w:rFonts w:hint="eastAsia" w:ascii="宋体" w:hAnsi="宋体" w:cs="宋体"/>
                <w:color w:val="000000"/>
                <w:szCs w:val="21"/>
              </w:rPr>
            </w:pPr>
          </w:p>
        </w:tc>
        <w:tc>
          <w:tcPr>
            <w:tcW w:w="569" w:type="pct"/>
            <w:gridSpan w:val="2"/>
            <w:vAlign w:val="center"/>
          </w:tcPr>
          <w:p w14:paraId="01ACD1C8">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用户中心</w:t>
            </w:r>
          </w:p>
        </w:tc>
        <w:tc>
          <w:tcPr>
            <w:tcW w:w="2945" w:type="pct"/>
            <w:vAlign w:val="center"/>
          </w:tcPr>
          <w:p w14:paraId="5DF888CC">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用户中心是企业或组织内部管理系统的核心组件，负责集中管理与用户相关的所有信息和权限。它通常包含单位管理、用户管理和角色管理等子功能，确保组织内部的权限控制、信息安全和流程管理的有效性。</w:t>
            </w:r>
          </w:p>
        </w:tc>
        <w:tc>
          <w:tcPr>
            <w:tcW w:w="366" w:type="pct"/>
            <w:vMerge w:val="continue"/>
            <w:vAlign w:val="center"/>
          </w:tcPr>
          <w:p w14:paraId="22A4DB39">
            <w:pPr>
              <w:spacing w:line="360" w:lineRule="auto"/>
              <w:jc w:val="center"/>
              <w:rPr>
                <w:rFonts w:hint="eastAsia" w:ascii="宋体" w:hAnsi="宋体" w:cs="宋体"/>
                <w:color w:val="000000"/>
                <w:szCs w:val="21"/>
              </w:rPr>
            </w:pPr>
          </w:p>
        </w:tc>
        <w:tc>
          <w:tcPr>
            <w:tcW w:w="385" w:type="pct"/>
            <w:vMerge w:val="continue"/>
            <w:vAlign w:val="center"/>
          </w:tcPr>
          <w:p w14:paraId="297ACD69">
            <w:pPr>
              <w:spacing w:line="360" w:lineRule="auto"/>
              <w:jc w:val="center"/>
              <w:rPr>
                <w:rFonts w:hint="eastAsia" w:ascii="宋体" w:hAnsi="宋体" w:cs="宋体"/>
                <w:color w:val="000000"/>
                <w:szCs w:val="21"/>
              </w:rPr>
            </w:pPr>
          </w:p>
        </w:tc>
      </w:tr>
      <w:tr w14:paraId="776BC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5C9F9772">
            <w:pPr>
              <w:spacing w:line="360" w:lineRule="auto"/>
              <w:jc w:val="center"/>
              <w:rPr>
                <w:rFonts w:hint="eastAsia" w:ascii="宋体" w:hAnsi="宋体" w:cs="宋体"/>
                <w:color w:val="000000"/>
                <w:szCs w:val="21"/>
              </w:rPr>
            </w:pPr>
          </w:p>
        </w:tc>
        <w:tc>
          <w:tcPr>
            <w:tcW w:w="366" w:type="pct"/>
            <w:gridSpan w:val="2"/>
            <w:vMerge w:val="continue"/>
            <w:vAlign w:val="center"/>
          </w:tcPr>
          <w:p w14:paraId="7181E620">
            <w:pPr>
              <w:spacing w:line="360" w:lineRule="auto"/>
              <w:jc w:val="center"/>
              <w:rPr>
                <w:rFonts w:hint="eastAsia" w:ascii="宋体" w:hAnsi="宋体" w:cs="宋体"/>
                <w:color w:val="000000"/>
                <w:szCs w:val="21"/>
              </w:rPr>
            </w:pPr>
          </w:p>
        </w:tc>
        <w:tc>
          <w:tcPr>
            <w:tcW w:w="569" w:type="pct"/>
            <w:gridSpan w:val="2"/>
            <w:vAlign w:val="center"/>
          </w:tcPr>
          <w:p w14:paraId="1F66412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单位管理</w:t>
            </w:r>
          </w:p>
        </w:tc>
        <w:tc>
          <w:tcPr>
            <w:tcW w:w="2945" w:type="pct"/>
            <w:vAlign w:val="center"/>
          </w:tcPr>
          <w:p w14:paraId="30DF3663">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通过不同创建不同的单位，实现多个部门间任务独立运行；</w:t>
            </w:r>
          </w:p>
        </w:tc>
        <w:tc>
          <w:tcPr>
            <w:tcW w:w="366" w:type="pct"/>
            <w:vMerge w:val="continue"/>
            <w:vAlign w:val="center"/>
          </w:tcPr>
          <w:p w14:paraId="7E364209">
            <w:pPr>
              <w:spacing w:line="360" w:lineRule="auto"/>
              <w:jc w:val="center"/>
              <w:rPr>
                <w:rFonts w:hint="eastAsia" w:ascii="宋体" w:hAnsi="宋体" w:cs="宋体"/>
                <w:color w:val="000000"/>
                <w:szCs w:val="21"/>
              </w:rPr>
            </w:pPr>
          </w:p>
        </w:tc>
        <w:tc>
          <w:tcPr>
            <w:tcW w:w="385" w:type="pct"/>
            <w:vMerge w:val="continue"/>
            <w:vAlign w:val="center"/>
          </w:tcPr>
          <w:p w14:paraId="02905DD1">
            <w:pPr>
              <w:spacing w:line="360" w:lineRule="auto"/>
              <w:jc w:val="center"/>
              <w:rPr>
                <w:rFonts w:hint="eastAsia" w:ascii="宋体" w:hAnsi="宋体" w:cs="宋体"/>
                <w:color w:val="000000"/>
                <w:szCs w:val="21"/>
              </w:rPr>
            </w:pPr>
          </w:p>
        </w:tc>
      </w:tr>
      <w:tr w14:paraId="0C1B3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7D0560A9">
            <w:pPr>
              <w:spacing w:line="360" w:lineRule="auto"/>
              <w:jc w:val="center"/>
              <w:rPr>
                <w:rFonts w:hint="eastAsia" w:ascii="宋体" w:hAnsi="宋体" w:cs="宋体"/>
                <w:color w:val="000000"/>
                <w:szCs w:val="21"/>
              </w:rPr>
            </w:pPr>
          </w:p>
        </w:tc>
        <w:tc>
          <w:tcPr>
            <w:tcW w:w="366" w:type="pct"/>
            <w:gridSpan w:val="2"/>
            <w:vMerge w:val="continue"/>
            <w:vAlign w:val="center"/>
          </w:tcPr>
          <w:p w14:paraId="525A21EA">
            <w:pPr>
              <w:spacing w:line="360" w:lineRule="auto"/>
              <w:jc w:val="center"/>
              <w:rPr>
                <w:rFonts w:hint="eastAsia" w:ascii="宋体" w:hAnsi="宋体" w:cs="宋体"/>
                <w:color w:val="000000"/>
                <w:szCs w:val="21"/>
              </w:rPr>
            </w:pPr>
          </w:p>
        </w:tc>
        <w:tc>
          <w:tcPr>
            <w:tcW w:w="569" w:type="pct"/>
            <w:gridSpan w:val="2"/>
            <w:vAlign w:val="center"/>
          </w:tcPr>
          <w:p w14:paraId="66D3E4D9">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用户管理</w:t>
            </w:r>
          </w:p>
        </w:tc>
        <w:tc>
          <w:tcPr>
            <w:tcW w:w="2945" w:type="pct"/>
            <w:vAlign w:val="center"/>
          </w:tcPr>
          <w:p w14:paraId="69FF46AD">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可以对用户进行账号、密码、权限、部门等多个维度进行管理。</w:t>
            </w:r>
          </w:p>
        </w:tc>
        <w:tc>
          <w:tcPr>
            <w:tcW w:w="366" w:type="pct"/>
            <w:vMerge w:val="continue"/>
            <w:vAlign w:val="center"/>
          </w:tcPr>
          <w:p w14:paraId="01473FA1">
            <w:pPr>
              <w:spacing w:line="360" w:lineRule="auto"/>
              <w:jc w:val="center"/>
              <w:rPr>
                <w:rFonts w:hint="eastAsia" w:ascii="宋体" w:hAnsi="宋体" w:cs="宋体"/>
                <w:color w:val="000000"/>
                <w:szCs w:val="21"/>
              </w:rPr>
            </w:pPr>
          </w:p>
        </w:tc>
        <w:tc>
          <w:tcPr>
            <w:tcW w:w="385" w:type="pct"/>
            <w:vMerge w:val="continue"/>
            <w:vAlign w:val="center"/>
          </w:tcPr>
          <w:p w14:paraId="2560C2BB">
            <w:pPr>
              <w:spacing w:line="360" w:lineRule="auto"/>
              <w:jc w:val="center"/>
              <w:rPr>
                <w:rFonts w:hint="eastAsia" w:ascii="宋体" w:hAnsi="宋体" w:cs="宋体"/>
                <w:color w:val="000000"/>
                <w:szCs w:val="21"/>
              </w:rPr>
            </w:pPr>
          </w:p>
        </w:tc>
      </w:tr>
      <w:tr w14:paraId="042A9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2"/>
          <w:wAfter w:w="6" w:type="pct"/>
          <w:trHeight w:val="285" w:hRule="atLeast"/>
        </w:trPr>
        <w:tc>
          <w:tcPr>
            <w:tcW w:w="359" w:type="pct"/>
            <w:gridSpan w:val="2"/>
            <w:vMerge w:val="continue"/>
            <w:vAlign w:val="center"/>
          </w:tcPr>
          <w:p w14:paraId="0C508C26">
            <w:pPr>
              <w:spacing w:line="360" w:lineRule="auto"/>
              <w:jc w:val="center"/>
              <w:rPr>
                <w:rFonts w:hint="eastAsia" w:ascii="宋体" w:hAnsi="宋体" w:cs="宋体"/>
                <w:color w:val="000000"/>
                <w:szCs w:val="21"/>
              </w:rPr>
            </w:pPr>
          </w:p>
        </w:tc>
        <w:tc>
          <w:tcPr>
            <w:tcW w:w="366" w:type="pct"/>
            <w:gridSpan w:val="2"/>
            <w:vMerge w:val="continue"/>
            <w:vAlign w:val="center"/>
          </w:tcPr>
          <w:p w14:paraId="091D3269">
            <w:pPr>
              <w:spacing w:line="360" w:lineRule="auto"/>
              <w:jc w:val="center"/>
              <w:rPr>
                <w:rFonts w:hint="eastAsia" w:ascii="宋体" w:hAnsi="宋体" w:cs="宋体"/>
                <w:color w:val="000000"/>
                <w:szCs w:val="21"/>
              </w:rPr>
            </w:pPr>
          </w:p>
        </w:tc>
        <w:tc>
          <w:tcPr>
            <w:tcW w:w="569" w:type="pct"/>
            <w:gridSpan w:val="2"/>
            <w:vAlign w:val="center"/>
          </w:tcPr>
          <w:p w14:paraId="4023A28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角色管理</w:t>
            </w:r>
          </w:p>
        </w:tc>
        <w:tc>
          <w:tcPr>
            <w:tcW w:w="2945" w:type="pct"/>
            <w:vAlign w:val="center"/>
          </w:tcPr>
          <w:p w14:paraId="321DDB1C">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通过角色管理，可以实现不同用户给予不同的权限；</w:t>
            </w:r>
          </w:p>
        </w:tc>
        <w:tc>
          <w:tcPr>
            <w:tcW w:w="366" w:type="pct"/>
            <w:vMerge w:val="continue"/>
            <w:vAlign w:val="center"/>
          </w:tcPr>
          <w:p w14:paraId="3E6B91CC">
            <w:pPr>
              <w:spacing w:line="360" w:lineRule="auto"/>
              <w:jc w:val="center"/>
              <w:rPr>
                <w:rFonts w:hint="eastAsia" w:ascii="宋体" w:hAnsi="宋体" w:cs="宋体"/>
                <w:color w:val="000000"/>
                <w:szCs w:val="21"/>
              </w:rPr>
            </w:pPr>
          </w:p>
        </w:tc>
        <w:tc>
          <w:tcPr>
            <w:tcW w:w="385" w:type="pct"/>
            <w:vMerge w:val="continue"/>
            <w:vAlign w:val="center"/>
          </w:tcPr>
          <w:p w14:paraId="3FC503AB">
            <w:pPr>
              <w:spacing w:line="360" w:lineRule="auto"/>
              <w:jc w:val="center"/>
              <w:rPr>
                <w:rFonts w:hint="eastAsia" w:ascii="宋体" w:hAnsi="宋体" w:cs="宋体"/>
                <w:color w:val="000000"/>
                <w:szCs w:val="21"/>
              </w:rPr>
            </w:pPr>
          </w:p>
        </w:tc>
      </w:tr>
      <w:tr w14:paraId="6BEB0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713011B7">
            <w:pPr>
              <w:spacing w:line="360" w:lineRule="auto"/>
              <w:jc w:val="center"/>
              <w:rPr>
                <w:rFonts w:hint="eastAsia" w:ascii="宋体" w:hAnsi="宋体" w:cs="宋体"/>
                <w:color w:val="000000"/>
                <w:szCs w:val="21"/>
              </w:rPr>
            </w:pPr>
          </w:p>
        </w:tc>
        <w:tc>
          <w:tcPr>
            <w:tcW w:w="366" w:type="pct"/>
            <w:gridSpan w:val="2"/>
            <w:vMerge w:val="continue"/>
            <w:vAlign w:val="center"/>
          </w:tcPr>
          <w:p w14:paraId="5C2496C2">
            <w:pPr>
              <w:spacing w:line="360" w:lineRule="auto"/>
              <w:jc w:val="center"/>
              <w:rPr>
                <w:rFonts w:hint="eastAsia" w:ascii="宋体" w:hAnsi="宋体" w:cs="宋体"/>
                <w:color w:val="000000"/>
                <w:szCs w:val="21"/>
              </w:rPr>
            </w:pPr>
          </w:p>
        </w:tc>
        <w:tc>
          <w:tcPr>
            <w:tcW w:w="569" w:type="pct"/>
            <w:gridSpan w:val="2"/>
            <w:vAlign w:val="center"/>
          </w:tcPr>
          <w:p w14:paraId="02B8854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智能查询</w:t>
            </w:r>
          </w:p>
        </w:tc>
        <w:tc>
          <w:tcPr>
            <w:tcW w:w="2945" w:type="pct"/>
            <w:vAlign w:val="center"/>
          </w:tcPr>
          <w:p w14:paraId="7BDE4889">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智能查询可进行批量自动调证查询，查询数据包括银行/三方机构的名下银行卡、主体、资金流水等。</w:t>
            </w:r>
          </w:p>
        </w:tc>
        <w:tc>
          <w:tcPr>
            <w:tcW w:w="366" w:type="pct"/>
            <w:vMerge w:val="continue"/>
            <w:vAlign w:val="center"/>
          </w:tcPr>
          <w:p w14:paraId="1991BC1D">
            <w:pPr>
              <w:spacing w:line="360" w:lineRule="auto"/>
              <w:jc w:val="center"/>
              <w:rPr>
                <w:rFonts w:hint="eastAsia" w:ascii="宋体" w:hAnsi="宋体" w:cs="宋体"/>
                <w:color w:val="000000"/>
                <w:szCs w:val="21"/>
              </w:rPr>
            </w:pPr>
          </w:p>
        </w:tc>
        <w:tc>
          <w:tcPr>
            <w:tcW w:w="385" w:type="pct"/>
            <w:vMerge w:val="continue"/>
            <w:vAlign w:val="center"/>
          </w:tcPr>
          <w:p w14:paraId="06EA772F">
            <w:pPr>
              <w:spacing w:line="360" w:lineRule="auto"/>
              <w:jc w:val="center"/>
              <w:rPr>
                <w:rFonts w:hint="eastAsia" w:ascii="宋体" w:hAnsi="宋体" w:cs="宋体"/>
                <w:color w:val="000000"/>
                <w:szCs w:val="21"/>
              </w:rPr>
            </w:pPr>
          </w:p>
        </w:tc>
      </w:tr>
      <w:tr w14:paraId="57155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3276F0BF">
            <w:pPr>
              <w:spacing w:line="360" w:lineRule="auto"/>
              <w:jc w:val="center"/>
              <w:rPr>
                <w:rFonts w:hint="eastAsia" w:ascii="宋体" w:hAnsi="宋体" w:cs="宋体"/>
                <w:color w:val="000000"/>
                <w:szCs w:val="21"/>
              </w:rPr>
            </w:pPr>
          </w:p>
        </w:tc>
        <w:tc>
          <w:tcPr>
            <w:tcW w:w="366" w:type="pct"/>
            <w:gridSpan w:val="2"/>
            <w:vMerge w:val="continue"/>
            <w:vAlign w:val="center"/>
          </w:tcPr>
          <w:p w14:paraId="17FEA016">
            <w:pPr>
              <w:spacing w:line="360" w:lineRule="auto"/>
              <w:jc w:val="center"/>
              <w:rPr>
                <w:rFonts w:hint="eastAsia" w:ascii="宋体" w:hAnsi="宋体" w:cs="宋体"/>
                <w:color w:val="000000"/>
                <w:szCs w:val="21"/>
              </w:rPr>
            </w:pPr>
          </w:p>
        </w:tc>
        <w:tc>
          <w:tcPr>
            <w:tcW w:w="569" w:type="pct"/>
            <w:gridSpan w:val="2"/>
            <w:vAlign w:val="center"/>
          </w:tcPr>
          <w:p w14:paraId="1E50378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批量资金查询</w:t>
            </w:r>
          </w:p>
        </w:tc>
        <w:tc>
          <w:tcPr>
            <w:tcW w:w="2945" w:type="pct"/>
            <w:vAlign w:val="center"/>
          </w:tcPr>
          <w:p w14:paraId="066EC6C1">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支持银行卡资金查询、第三方账户资金查询、流水号资金查询等</w:t>
            </w:r>
          </w:p>
        </w:tc>
        <w:tc>
          <w:tcPr>
            <w:tcW w:w="366" w:type="pct"/>
            <w:vMerge w:val="continue"/>
            <w:vAlign w:val="center"/>
          </w:tcPr>
          <w:p w14:paraId="62CBA0FE">
            <w:pPr>
              <w:spacing w:line="360" w:lineRule="auto"/>
              <w:jc w:val="center"/>
              <w:rPr>
                <w:rFonts w:hint="eastAsia" w:ascii="宋体" w:hAnsi="宋体" w:cs="宋体"/>
                <w:color w:val="000000"/>
                <w:szCs w:val="21"/>
              </w:rPr>
            </w:pPr>
          </w:p>
        </w:tc>
        <w:tc>
          <w:tcPr>
            <w:tcW w:w="385" w:type="pct"/>
            <w:vMerge w:val="continue"/>
            <w:vAlign w:val="center"/>
          </w:tcPr>
          <w:p w14:paraId="38EC2A08">
            <w:pPr>
              <w:spacing w:line="360" w:lineRule="auto"/>
              <w:jc w:val="center"/>
              <w:rPr>
                <w:rFonts w:hint="eastAsia" w:ascii="宋体" w:hAnsi="宋体" w:cs="宋体"/>
                <w:color w:val="000000"/>
                <w:szCs w:val="21"/>
              </w:rPr>
            </w:pPr>
          </w:p>
        </w:tc>
      </w:tr>
      <w:tr w14:paraId="74B0F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686F1C10">
            <w:pPr>
              <w:spacing w:line="360" w:lineRule="auto"/>
              <w:jc w:val="center"/>
              <w:rPr>
                <w:rFonts w:hint="eastAsia" w:ascii="宋体" w:hAnsi="宋体" w:cs="宋体"/>
                <w:color w:val="000000"/>
                <w:szCs w:val="21"/>
              </w:rPr>
            </w:pPr>
          </w:p>
        </w:tc>
        <w:tc>
          <w:tcPr>
            <w:tcW w:w="366" w:type="pct"/>
            <w:gridSpan w:val="2"/>
            <w:vMerge w:val="continue"/>
            <w:vAlign w:val="center"/>
          </w:tcPr>
          <w:p w14:paraId="09948C8C">
            <w:pPr>
              <w:spacing w:line="360" w:lineRule="auto"/>
              <w:jc w:val="center"/>
              <w:rPr>
                <w:rFonts w:hint="eastAsia" w:ascii="宋体" w:hAnsi="宋体" w:cs="宋体"/>
                <w:color w:val="000000"/>
                <w:szCs w:val="21"/>
              </w:rPr>
            </w:pPr>
          </w:p>
        </w:tc>
        <w:tc>
          <w:tcPr>
            <w:tcW w:w="569" w:type="pct"/>
            <w:gridSpan w:val="2"/>
            <w:vAlign w:val="center"/>
          </w:tcPr>
          <w:p w14:paraId="22E09E9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批量主体查询</w:t>
            </w:r>
          </w:p>
        </w:tc>
        <w:tc>
          <w:tcPr>
            <w:tcW w:w="2945" w:type="pct"/>
            <w:vAlign w:val="center"/>
          </w:tcPr>
          <w:p w14:paraId="1E2FF400">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支持银行卡主体查询、第三方账户主体查询。</w:t>
            </w:r>
          </w:p>
        </w:tc>
        <w:tc>
          <w:tcPr>
            <w:tcW w:w="366" w:type="pct"/>
            <w:vMerge w:val="continue"/>
            <w:vAlign w:val="center"/>
          </w:tcPr>
          <w:p w14:paraId="30B056E1">
            <w:pPr>
              <w:spacing w:line="360" w:lineRule="auto"/>
              <w:jc w:val="center"/>
              <w:rPr>
                <w:rFonts w:hint="eastAsia" w:ascii="宋体" w:hAnsi="宋体" w:cs="宋体"/>
                <w:color w:val="000000"/>
                <w:szCs w:val="21"/>
              </w:rPr>
            </w:pPr>
          </w:p>
        </w:tc>
        <w:tc>
          <w:tcPr>
            <w:tcW w:w="385" w:type="pct"/>
            <w:vMerge w:val="continue"/>
            <w:vAlign w:val="center"/>
          </w:tcPr>
          <w:p w14:paraId="7801B606">
            <w:pPr>
              <w:spacing w:line="360" w:lineRule="auto"/>
              <w:jc w:val="center"/>
              <w:rPr>
                <w:rFonts w:hint="eastAsia" w:ascii="宋体" w:hAnsi="宋体" w:cs="宋体"/>
                <w:color w:val="000000"/>
                <w:szCs w:val="21"/>
              </w:rPr>
            </w:pPr>
          </w:p>
        </w:tc>
      </w:tr>
      <w:tr w14:paraId="5489D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4521BF70">
            <w:pPr>
              <w:spacing w:line="360" w:lineRule="auto"/>
              <w:jc w:val="center"/>
              <w:rPr>
                <w:rFonts w:hint="eastAsia" w:ascii="宋体" w:hAnsi="宋体" w:cs="宋体"/>
                <w:color w:val="000000"/>
                <w:szCs w:val="21"/>
              </w:rPr>
            </w:pPr>
          </w:p>
        </w:tc>
        <w:tc>
          <w:tcPr>
            <w:tcW w:w="366" w:type="pct"/>
            <w:gridSpan w:val="2"/>
            <w:vMerge w:val="continue"/>
            <w:vAlign w:val="center"/>
          </w:tcPr>
          <w:p w14:paraId="3AB9F44B">
            <w:pPr>
              <w:spacing w:line="360" w:lineRule="auto"/>
              <w:jc w:val="center"/>
              <w:rPr>
                <w:rFonts w:hint="eastAsia" w:ascii="宋体" w:hAnsi="宋体" w:cs="宋体"/>
                <w:color w:val="000000"/>
                <w:szCs w:val="21"/>
              </w:rPr>
            </w:pPr>
          </w:p>
        </w:tc>
        <w:tc>
          <w:tcPr>
            <w:tcW w:w="569" w:type="pct"/>
            <w:gridSpan w:val="2"/>
            <w:vAlign w:val="center"/>
          </w:tcPr>
          <w:p w14:paraId="0ADDBB7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批量账户查询</w:t>
            </w:r>
          </w:p>
        </w:tc>
        <w:tc>
          <w:tcPr>
            <w:tcW w:w="2945" w:type="pct"/>
            <w:vAlign w:val="center"/>
          </w:tcPr>
          <w:p w14:paraId="776D6C04">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支持银行卡全账户查询、第三方账户全账户查询。</w:t>
            </w:r>
          </w:p>
        </w:tc>
        <w:tc>
          <w:tcPr>
            <w:tcW w:w="366" w:type="pct"/>
            <w:vMerge w:val="continue"/>
            <w:vAlign w:val="center"/>
          </w:tcPr>
          <w:p w14:paraId="3BD5C09A">
            <w:pPr>
              <w:spacing w:line="360" w:lineRule="auto"/>
              <w:jc w:val="center"/>
              <w:rPr>
                <w:rFonts w:hint="eastAsia" w:ascii="宋体" w:hAnsi="宋体" w:cs="宋体"/>
                <w:color w:val="000000"/>
                <w:szCs w:val="21"/>
              </w:rPr>
            </w:pPr>
          </w:p>
        </w:tc>
        <w:tc>
          <w:tcPr>
            <w:tcW w:w="385" w:type="pct"/>
            <w:vMerge w:val="continue"/>
            <w:vAlign w:val="center"/>
          </w:tcPr>
          <w:p w14:paraId="124AA432">
            <w:pPr>
              <w:spacing w:line="360" w:lineRule="auto"/>
              <w:jc w:val="center"/>
              <w:rPr>
                <w:rFonts w:hint="eastAsia" w:ascii="宋体" w:hAnsi="宋体" w:cs="宋体"/>
                <w:color w:val="000000"/>
                <w:szCs w:val="21"/>
              </w:rPr>
            </w:pPr>
          </w:p>
        </w:tc>
      </w:tr>
      <w:tr w14:paraId="0511C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continue"/>
            <w:vAlign w:val="center"/>
          </w:tcPr>
          <w:p w14:paraId="478672AF">
            <w:pPr>
              <w:spacing w:line="360" w:lineRule="auto"/>
              <w:jc w:val="center"/>
              <w:rPr>
                <w:rFonts w:hint="eastAsia" w:ascii="宋体" w:hAnsi="宋体" w:cs="宋体"/>
                <w:color w:val="000000"/>
                <w:szCs w:val="21"/>
              </w:rPr>
            </w:pPr>
          </w:p>
        </w:tc>
        <w:tc>
          <w:tcPr>
            <w:tcW w:w="366" w:type="pct"/>
            <w:gridSpan w:val="2"/>
            <w:vMerge w:val="continue"/>
            <w:vAlign w:val="center"/>
          </w:tcPr>
          <w:p w14:paraId="0BEA8E93">
            <w:pPr>
              <w:spacing w:line="360" w:lineRule="auto"/>
              <w:jc w:val="center"/>
              <w:rPr>
                <w:rFonts w:hint="eastAsia" w:ascii="宋体" w:hAnsi="宋体" w:cs="宋体"/>
                <w:color w:val="000000"/>
                <w:szCs w:val="21"/>
              </w:rPr>
            </w:pPr>
          </w:p>
        </w:tc>
        <w:tc>
          <w:tcPr>
            <w:tcW w:w="569" w:type="pct"/>
            <w:gridSpan w:val="2"/>
            <w:vAlign w:val="center"/>
          </w:tcPr>
          <w:p w14:paraId="406C5F9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批量全库查询</w:t>
            </w:r>
          </w:p>
        </w:tc>
        <w:tc>
          <w:tcPr>
            <w:tcW w:w="2945" w:type="pct"/>
            <w:vAlign w:val="center"/>
          </w:tcPr>
          <w:p w14:paraId="189B0011">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全库查业务是通过国反平台的全库查查询历史数据进行使用的，因不需要等待机构反馈，数据返回一般较快，但是需要相应客户端有全库查权限。</w:t>
            </w:r>
          </w:p>
        </w:tc>
        <w:tc>
          <w:tcPr>
            <w:tcW w:w="366" w:type="pct"/>
            <w:vMerge w:val="continue"/>
            <w:vAlign w:val="center"/>
          </w:tcPr>
          <w:p w14:paraId="0D5E3D1B">
            <w:pPr>
              <w:spacing w:line="360" w:lineRule="auto"/>
              <w:jc w:val="center"/>
              <w:rPr>
                <w:rFonts w:hint="eastAsia" w:ascii="宋体" w:hAnsi="宋体" w:cs="宋体"/>
                <w:color w:val="000000"/>
                <w:szCs w:val="21"/>
              </w:rPr>
            </w:pPr>
          </w:p>
        </w:tc>
        <w:tc>
          <w:tcPr>
            <w:tcW w:w="385" w:type="pct"/>
            <w:vMerge w:val="continue"/>
            <w:vAlign w:val="center"/>
          </w:tcPr>
          <w:p w14:paraId="735AFFBC">
            <w:pPr>
              <w:spacing w:line="360" w:lineRule="auto"/>
              <w:jc w:val="center"/>
              <w:rPr>
                <w:rFonts w:hint="eastAsia" w:ascii="宋体" w:hAnsi="宋体" w:cs="宋体"/>
                <w:color w:val="000000"/>
                <w:szCs w:val="21"/>
              </w:rPr>
            </w:pPr>
          </w:p>
        </w:tc>
      </w:tr>
      <w:tr w14:paraId="0B3F2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15414B0C">
            <w:pPr>
              <w:spacing w:line="360" w:lineRule="auto"/>
              <w:jc w:val="center"/>
              <w:rPr>
                <w:rFonts w:hint="eastAsia" w:ascii="宋体" w:hAnsi="宋体" w:cs="宋体"/>
                <w:color w:val="000000"/>
                <w:szCs w:val="21"/>
              </w:rPr>
            </w:pPr>
          </w:p>
        </w:tc>
        <w:tc>
          <w:tcPr>
            <w:tcW w:w="366" w:type="pct"/>
            <w:gridSpan w:val="2"/>
            <w:vMerge w:val="continue"/>
            <w:vAlign w:val="center"/>
          </w:tcPr>
          <w:p w14:paraId="04E8BC5E">
            <w:pPr>
              <w:spacing w:line="360" w:lineRule="auto"/>
              <w:jc w:val="center"/>
              <w:rPr>
                <w:rFonts w:hint="eastAsia" w:ascii="宋体" w:hAnsi="宋体" w:cs="宋体"/>
                <w:color w:val="000000"/>
                <w:szCs w:val="21"/>
              </w:rPr>
            </w:pPr>
          </w:p>
        </w:tc>
        <w:tc>
          <w:tcPr>
            <w:tcW w:w="569" w:type="pct"/>
            <w:gridSpan w:val="2"/>
            <w:vAlign w:val="center"/>
          </w:tcPr>
          <w:p w14:paraId="6F8F0DA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全量查询</w:t>
            </w:r>
          </w:p>
        </w:tc>
        <w:tc>
          <w:tcPr>
            <w:tcW w:w="2945" w:type="pct"/>
            <w:vAlign w:val="center"/>
          </w:tcPr>
          <w:p w14:paraId="5E0CBA81">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查询某人在国反、某银行、某三方机构的所有银行卡。</w:t>
            </w:r>
          </w:p>
        </w:tc>
        <w:tc>
          <w:tcPr>
            <w:tcW w:w="366" w:type="pct"/>
            <w:vMerge w:val="continue"/>
            <w:vAlign w:val="center"/>
          </w:tcPr>
          <w:p w14:paraId="295BCF17">
            <w:pPr>
              <w:spacing w:line="360" w:lineRule="auto"/>
              <w:jc w:val="center"/>
              <w:rPr>
                <w:rFonts w:hint="eastAsia" w:ascii="宋体" w:hAnsi="宋体" w:cs="宋体"/>
                <w:color w:val="000000"/>
                <w:szCs w:val="21"/>
              </w:rPr>
            </w:pPr>
          </w:p>
        </w:tc>
        <w:tc>
          <w:tcPr>
            <w:tcW w:w="385" w:type="pct"/>
            <w:vMerge w:val="continue"/>
            <w:vAlign w:val="center"/>
          </w:tcPr>
          <w:p w14:paraId="4224723B">
            <w:pPr>
              <w:spacing w:line="360" w:lineRule="auto"/>
              <w:jc w:val="center"/>
              <w:rPr>
                <w:rFonts w:hint="eastAsia" w:ascii="宋体" w:hAnsi="宋体" w:cs="宋体"/>
                <w:color w:val="000000"/>
                <w:szCs w:val="21"/>
              </w:rPr>
            </w:pPr>
          </w:p>
        </w:tc>
      </w:tr>
      <w:tr w14:paraId="21EBA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111CC60D">
            <w:pPr>
              <w:spacing w:line="360" w:lineRule="auto"/>
              <w:jc w:val="center"/>
              <w:rPr>
                <w:rFonts w:hint="eastAsia" w:ascii="宋体" w:hAnsi="宋体" w:cs="宋体"/>
                <w:color w:val="000000"/>
                <w:szCs w:val="21"/>
              </w:rPr>
            </w:pPr>
          </w:p>
        </w:tc>
        <w:tc>
          <w:tcPr>
            <w:tcW w:w="366" w:type="pct"/>
            <w:gridSpan w:val="2"/>
            <w:vMerge w:val="continue"/>
            <w:vAlign w:val="center"/>
          </w:tcPr>
          <w:p w14:paraId="17E69480">
            <w:pPr>
              <w:spacing w:line="360" w:lineRule="auto"/>
              <w:jc w:val="center"/>
              <w:rPr>
                <w:rFonts w:hint="eastAsia" w:ascii="宋体" w:hAnsi="宋体" w:cs="宋体"/>
                <w:color w:val="000000"/>
                <w:szCs w:val="21"/>
              </w:rPr>
            </w:pPr>
          </w:p>
        </w:tc>
        <w:tc>
          <w:tcPr>
            <w:tcW w:w="569" w:type="pct"/>
            <w:gridSpan w:val="2"/>
            <w:vAlign w:val="center"/>
          </w:tcPr>
          <w:p w14:paraId="03DBB9B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智能查询任务</w:t>
            </w:r>
          </w:p>
        </w:tc>
        <w:tc>
          <w:tcPr>
            <w:tcW w:w="2945" w:type="pct"/>
            <w:vAlign w:val="center"/>
          </w:tcPr>
          <w:p w14:paraId="1F6F377B">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▲智能查询任务菜单能够创建任务、新增查询、查看查询进度、导出查询结果等操作。（</w:t>
            </w:r>
            <w:r>
              <w:rPr>
                <w:rFonts w:ascii="宋体" w:hAnsi="宋体" w:cs="宋体"/>
                <w:color w:val="000000"/>
                <w:kern w:val="0"/>
                <w:szCs w:val="21"/>
                <w:lang w:bidi="ar"/>
              </w:rPr>
              <w:t>需</w:t>
            </w:r>
            <w:r>
              <w:rPr>
                <w:rFonts w:hint="eastAsia" w:ascii="宋体" w:hAnsi="宋体" w:cs="宋体"/>
                <w:color w:val="000000"/>
                <w:kern w:val="0"/>
                <w:szCs w:val="21"/>
                <w:lang w:bidi="ar"/>
              </w:rPr>
              <w:t>提供软件功能截图）</w:t>
            </w:r>
          </w:p>
        </w:tc>
        <w:tc>
          <w:tcPr>
            <w:tcW w:w="366" w:type="pct"/>
            <w:vMerge w:val="continue"/>
            <w:vAlign w:val="center"/>
          </w:tcPr>
          <w:p w14:paraId="08B03969">
            <w:pPr>
              <w:spacing w:line="360" w:lineRule="auto"/>
              <w:jc w:val="center"/>
              <w:rPr>
                <w:rFonts w:hint="eastAsia" w:ascii="宋体" w:hAnsi="宋体" w:cs="宋体"/>
                <w:color w:val="000000"/>
                <w:szCs w:val="21"/>
              </w:rPr>
            </w:pPr>
          </w:p>
        </w:tc>
        <w:tc>
          <w:tcPr>
            <w:tcW w:w="385" w:type="pct"/>
            <w:vMerge w:val="continue"/>
            <w:vAlign w:val="center"/>
          </w:tcPr>
          <w:p w14:paraId="6B972ECF">
            <w:pPr>
              <w:spacing w:line="360" w:lineRule="auto"/>
              <w:jc w:val="center"/>
              <w:rPr>
                <w:rFonts w:hint="eastAsia" w:ascii="宋体" w:hAnsi="宋体" w:cs="宋体"/>
                <w:color w:val="000000"/>
                <w:szCs w:val="21"/>
              </w:rPr>
            </w:pPr>
          </w:p>
        </w:tc>
      </w:tr>
      <w:tr w14:paraId="02C98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1125" w:hRule="atLeast"/>
        </w:trPr>
        <w:tc>
          <w:tcPr>
            <w:tcW w:w="359" w:type="pct"/>
            <w:gridSpan w:val="2"/>
            <w:vMerge w:val="restart"/>
            <w:vAlign w:val="center"/>
          </w:tcPr>
          <w:p w14:paraId="6892F1F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366" w:type="pct"/>
            <w:gridSpan w:val="2"/>
            <w:vMerge w:val="restart"/>
            <w:vAlign w:val="center"/>
          </w:tcPr>
          <w:p w14:paraId="685A860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涉诈APP预警服务</w:t>
            </w:r>
          </w:p>
        </w:tc>
        <w:tc>
          <w:tcPr>
            <w:tcW w:w="569" w:type="pct"/>
            <w:gridSpan w:val="2"/>
            <w:vAlign w:val="center"/>
          </w:tcPr>
          <w:p w14:paraId="73D46B78">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首页全景</w:t>
            </w:r>
          </w:p>
        </w:tc>
        <w:tc>
          <w:tcPr>
            <w:tcW w:w="2945" w:type="pct"/>
            <w:vAlign w:val="center"/>
          </w:tcPr>
          <w:p w14:paraId="372BCBE3">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以日周月的形式通过首页全景图展示区域内每日新增的涉诈信息预警分布情况、全国预警趋势：展示近 7 天/30 天的全国预警新增趋势、预警新增趋势：展示近 7 天/30 天的区域内预警新增趋势、预警处理情况：展示近 7 天/30 天的区域内预警处理情况、应用污水池新增趋势：展示近 7 天/30 天的区域内应用污水池新增情况、支持导出预警简报：可查看预览简报，时间筛选支持选择今天、近 7 天、近 30 天（简报内容包括趋势统计图和表格： 区域内每日预警新增趋势、区域内每日预警处理情况）</w:t>
            </w:r>
          </w:p>
        </w:tc>
        <w:tc>
          <w:tcPr>
            <w:tcW w:w="366" w:type="pct"/>
            <w:vMerge w:val="restart"/>
            <w:vAlign w:val="center"/>
          </w:tcPr>
          <w:p w14:paraId="26398F8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385" w:type="pct"/>
            <w:vMerge w:val="restart"/>
            <w:vAlign w:val="center"/>
          </w:tcPr>
          <w:p w14:paraId="0943A2C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r>
      <w:tr w14:paraId="03570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675" w:hRule="atLeast"/>
        </w:trPr>
        <w:tc>
          <w:tcPr>
            <w:tcW w:w="359" w:type="pct"/>
            <w:gridSpan w:val="2"/>
            <w:vMerge w:val="continue"/>
            <w:vAlign w:val="center"/>
          </w:tcPr>
          <w:p w14:paraId="08A298D1">
            <w:pPr>
              <w:spacing w:line="360" w:lineRule="auto"/>
              <w:jc w:val="center"/>
              <w:rPr>
                <w:rFonts w:hint="eastAsia" w:ascii="宋体" w:hAnsi="宋体" w:cs="宋体"/>
                <w:color w:val="000000"/>
                <w:szCs w:val="21"/>
              </w:rPr>
            </w:pPr>
          </w:p>
        </w:tc>
        <w:tc>
          <w:tcPr>
            <w:tcW w:w="366" w:type="pct"/>
            <w:gridSpan w:val="2"/>
            <w:vMerge w:val="continue"/>
            <w:vAlign w:val="center"/>
          </w:tcPr>
          <w:p w14:paraId="60CD517C">
            <w:pPr>
              <w:spacing w:line="360" w:lineRule="auto"/>
              <w:jc w:val="center"/>
              <w:rPr>
                <w:rFonts w:hint="eastAsia" w:ascii="宋体" w:hAnsi="宋体" w:cs="宋体"/>
                <w:color w:val="000000"/>
                <w:szCs w:val="21"/>
              </w:rPr>
            </w:pPr>
          </w:p>
        </w:tc>
        <w:tc>
          <w:tcPr>
            <w:tcW w:w="569" w:type="pct"/>
            <w:gridSpan w:val="2"/>
            <w:vAlign w:val="center"/>
          </w:tcPr>
          <w:p w14:paraId="3FBBDE6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预警处理</w:t>
            </w:r>
          </w:p>
        </w:tc>
        <w:tc>
          <w:tcPr>
            <w:tcW w:w="2945" w:type="pct"/>
            <w:vAlign w:val="center"/>
          </w:tcPr>
          <w:p w14:paraId="2550C4BB">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统计中包括总预警量、今日新增预警量、总劝阻量和今日新增劝阻量等信息。同时包含按预警来源、诈骗类型区分 的总体情况统计和趋势统计、预警任务分配：可以针对有被诈骗风险的安装用户进行劝阻任务分配。全部任务任务包含所有任务，支持单个或多个任务的分配、重新分配、撤回分配、导出等功能</w:t>
            </w:r>
          </w:p>
        </w:tc>
        <w:tc>
          <w:tcPr>
            <w:tcW w:w="366" w:type="pct"/>
            <w:vMerge w:val="continue"/>
            <w:vAlign w:val="center"/>
          </w:tcPr>
          <w:p w14:paraId="2697F833">
            <w:pPr>
              <w:spacing w:line="360" w:lineRule="auto"/>
              <w:jc w:val="center"/>
              <w:rPr>
                <w:rFonts w:hint="eastAsia" w:ascii="宋体" w:hAnsi="宋体" w:cs="宋体"/>
                <w:color w:val="000000"/>
                <w:szCs w:val="21"/>
              </w:rPr>
            </w:pPr>
          </w:p>
        </w:tc>
        <w:tc>
          <w:tcPr>
            <w:tcW w:w="385" w:type="pct"/>
            <w:vMerge w:val="continue"/>
            <w:vAlign w:val="center"/>
          </w:tcPr>
          <w:p w14:paraId="2F199432">
            <w:pPr>
              <w:spacing w:line="360" w:lineRule="auto"/>
              <w:jc w:val="center"/>
              <w:rPr>
                <w:rFonts w:hint="eastAsia" w:ascii="宋体" w:hAnsi="宋体" w:cs="宋体"/>
                <w:color w:val="000000"/>
                <w:szCs w:val="21"/>
              </w:rPr>
            </w:pPr>
          </w:p>
        </w:tc>
      </w:tr>
      <w:tr w14:paraId="0A299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continue"/>
            <w:vAlign w:val="center"/>
          </w:tcPr>
          <w:p w14:paraId="3D1703DA">
            <w:pPr>
              <w:spacing w:line="360" w:lineRule="auto"/>
              <w:jc w:val="center"/>
              <w:rPr>
                <w:rFonts w:hint="eastAsia" w:ascii="宋体" w:hAnsi="宋体" w:cs="宋体"/>
                <w:color w:val="000000"/>
                <w:szCs w:val="21"/>
              </w:rPr>
            </w:pPr>
          </w:p>
        </w:tc>
        <w:tc>
          <w:tcPr>
            <w:tcW w:w="366" w:type="pct"/>
            <w:gridSpan w:val="2"/>
            <w:vMerge w:val="continue"/>
            <w:vAlign w:val="center"/>
          </w:tcPr>
          <w:p w14:paraId="36FB858F">
            <w:pPr>
              <w:spacing w:line="360" w:lineRule="auto"/>
              <w:jc w:val="center"/>
              <w:rPr>
                <w:rFonts w:hint="eastAsia" w:ascii="宋体" w:hAnsi="宋体" w:cs="宋体"/>
                <w:color w:val="000000"/>
                <w:szCs w:val="21"/>
              </w:rPr>
            </w:pPr>
          </w:p>
        </w:tc>
        <w:tc>
          <w:tcPr>
            <w:tcW w:w="569" w:type="pct"/>
            <w:gridSpan w:val="2"/>
            <w:vMerge w:val="restart"/>
            <w:vAlign w:val="center"/>
          </w:tcPr>
          <w:p w14:paraId="6A3F7DB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应用污水池</w:t>
            </w:r>
          </w:p>
        </w:tc>
        <w:tc>
          <w:tcPr>
            <w:tcW w:w="2945" w:type="pct"/>
            <w:vAlign w:val="center"/>
          </w:tcPr>
          <w:p w14:paraId="20C79DBE">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▲每天新增的包括应用污水池、涉诈应用量、主动发现应用量和机构导入应用量等信息。同时按各个诈骗类型和应用来源的统计趋势情况。（</w:t>
            </w:r>
            <w:r>
              <w:rPr>
                <w:rFonts w:ascii="宋体" w:hAnsi="宋体" w:cs="宋体"/>
                <w:color w:val="000000"/>
                <w:kern w:val="0"/>
                <w:szCs w:val="21"/>
                <w:lang w:bidi="ar"/>
              </w:rPr>
              <w:t>需</w:t>
            </w:r>
            <w:r>
              <w:rPr>
                <w:rFonts w:hint="eastAsia" w:ascii="宋体" w:hAnsi="宋体" w:cs="宋体"/>
                <w:color w:val="000000"/>
                <w:kern w:val="0"/>
                <w:szCs w:val="21"/>
                <w:lang w:bidi="ar"/>
              </w:rPr>
              <w:t>提供软件功能截图）</w:t>
            </w:r>
          </w:p>
        </w:tc>
        <w:tc>
          <w:tcPr>
            <w:tcW w:w="366" w:type="pct"/>
            <w:vMerge w:val="continue"/>
            <w:vAlign w:val="center"/>
          </w:tcPr>
          <w:p w14:paraId="24FB52F3">
            <w:pPr>
              <w:spacing w:line="360" w:lineRule="auto"/>
              <w:jc w:val="center"/>
              <w:rPr>
                <w:rFonts w:hint="eastAsia" w:ascii="宋体" w:hAnsi="宋体" w:cs="宋体"/>
                <w:color w:val="000000"/>
                <w:szCs w:val="21"/>
              </w:rPr>
            </w:pPr>
          </w:p>
        </w:tc>
        <w:tc>
          <w:tcPr>
            <w:tcW w:w="385" w:type="pct"/>
            <w:vMerge w:val="continue"/>
            <w:vAlign w:val="center"/>
          </w:tcPr>
          <w:p w14:paraId="58A9EE58">
            <w:pPr>
              <w:spacing w:line="360" w:lineRule="auto"/>
              <w:jc w:val="center"/>
              <w:rPr>
                <w:rFonts w:hint="eastAsia" w:ascii="宋体" w:hAnsi="宋体" w:cs="宋体"/>
                <w:color w:val="000000"/>
                <w:szCs w:val="21"/>
              </w:rPr>
            </w:pPr>
          </w:p>
        </w:tc>
      </w:tr>
      <w:tr w14:paraId="7CB0D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continue"/>
            <w:vAlign w:val="center"/>
          </w:tcPr>
          <w:p w14:paraId="798866C9">
            <w:pPr>
              <w:spacing w:line="360" w:lineRule="auto"/>
              <w:jc w:val="center"/>
              <w:rPr>
                <w:rFonts w:hint="eastAsia" w:ascii="宋体" w:hAnsi="宋体" w:cs="宋体"/>
                <w:color w:val="000000"/>
                <w:szCs w:val="21"/>
              </w:rPr>
            </w:pPr>
          </w:p>
        </w:tc>
        <w:tc>
          <w:tcPr>
            <w:tcW w:w="366" w:type="pct"/>
            <w:gridSpan w:val="2"/>
            <w:vMerge w:val="continue"/>
            <w:vAlign w:val="center"/>
          </w:tcPr>
          <w:p w14:paraId="00DC1C38">
            <w:pPr>
              <w:spacing w:line="360" w:lineRule="auto"/>
              <w:jc w:val="center"/>
              <w:rPr>
                <w:rFonts w:hint="eastAsia" w:ascii="宋体" w:hAnsi="宋体" w:cs="宋体"/>
                <w:color w:val="000000"/>
                <w:szCs w:val="21"/>
              </w:rPr>
            </w:pPr>
          </w:p>
        </w:tc>
        <w:tc>
          <w:tcPr>
            <w:tcW w:w="569" w:type="pct"/>
            <w:gridSpan w:val="2"/>
            <w:vMerge w:val="continue"/>
            <w:vAlign w:val="center"/>
          </w:tcPr>
          <w:p w14:paraId="173332BD">
            <w:pPr>
              <w:spacing w:line="360" w:lineRule="auto"/>
              <w:jc w:val="center"/>
              <w:rPr>
                <w:rFonts w:hint="eastAsia" w:ascii="宋体" w:hAnsi="宋体" w:cs="宋体"/>
                <w:color w:val="000000"/>
                <w:szCs w:val="21"/>
              </w:rPr>
            </w:pPr>
          </w:p>
        </w:tc>
        <w:tc>
          <w:tcPr>
            <w:tcW w:w="2945" w:type="pct"/>
            <w:vAlign w:val="center"/>
          </w:tcPr>
          <w:p w14:paraId="222E3E73">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每日新增的主动发现和机构导入的所有应用预警信息。可以对不同来源的应用——主动发现（普通/高风险），机构导入（报案助手/批量导入/apk 解析/ 应用搜索）的预警设置进行自定义修改。</w:t>
            </w:r>
          </w:p>
        </w:tc>
        <w:tc>
          <w:tcPr>
            <w:tcW w:w="366" w:type="pct"/>
            <w:vMerge w:val="continue"/>
            <w:vAlign w:val="center"/>
          </w:tcPr>
          <w:p w14:paraId="631E932F">
            <w:pPr>
              <w:spacing w:line="360" w:lineRule="auto"/>
              <w:jc w:val="center"/>
              <w:rPr>
                <w:rFonts w:hint="eastAsia" w:ascii="宋体" w:hAnsi="宋体" w:cs="宋体"/>
                <w:color w:val="000000"/>
                <w:szCs w:val="21"/>
              </w:rPr>
            </w:pPr>
          </w:p>
        </w:tc>
        <w:tc>
          <w:tcPr>
            <w:tcW w:w="385" w:type="pct"/>
            <w:vMerge w:val="continue"/>
            <w:vAlign w:val="center"/>
          </w:tcPr>
          <w:p w14:paraId="27016C9F">
            <w:pPr>
              <w:spacing w:line="360" w:lineRule="auto"/>
              <w:jc w:val="center"/>
              <w:rPr>
                <w:rFonts w:hint="eastAsia" w:ascii="宋体" w:hAnsi="宋体" w:cs="宋体"/>
                <w:color w:val="000000"/>
                <w:szCs w:val="21"/>
              </w:rPr>
            </w:pPr>
          </w:p>
        </w:tc>
      </w:tr>
      <w:tr w14:paraId="23CD9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continue"/>
            <w:vAlign w:val="center"/>
          </w:tcPr>
          <w:p w14:paraId="278906F1">
            <w:pPr>
              <w:spacing w:line="360" w:lineRule="auto"/>
              <w:jc w:val="center"/>
              <w:rPr>
                <w:rFonts w:hint="eastAsia" w:ascii="宋体" w:hAnsi="宋体" w:cs="宋体"/>
                <w:color w:val="000000"/>
                <w:szCs w:val="21"/>
              </w:rPr>
            </w:pPr>
          </w:p>
        </w:tc>
        <w:tc>
          <w:tcPr>
            <w:tcW w:w="366" w:type="pct"/>
            <w:gridSpan w:val="2"/>
            <w:vMerge w:val="continue"/>
            <w:vAlign w:val="center"/>
          </w:tcPr>
          <w:p w14:paraId="4EDC12CF">
            <w:pPr>
              <w:spacing w:line="360" w:lineRule="auto"/>
              <w:jc w:val="center"/>
              <w:rPr>
                <w:rFonts w:hint="eastAsia" w:ascii="宋体" w:hAnsi="宋体" w:cs="宋体"/>
                <w:color w:val="000000"/>
                <w:szCs w:val="21"/>
              </w:rPr>
            </w:pPr>
          </w:p>
        </w:tc>
        <w:tc>
          <w:tcPr>
            <w:tcW w:w="569" w:type="pct"/>
            <w:gridSpan w:val="2"/>
            <w:vMerge w:val="restart"/>
            <w:vAlign w:val="center"/>
          </w:tcPr>
          <w:p w14:paraId="6BCA5F1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反诈工具</w:t>
            </w:r>
          </w:p>
        </w:tc>
        <w:tc>
          <w:tcPr>
            <w:tcW w:w="2945" w:type="pct"/>
            <w:vAlign w:val="center"/>
          </w:tcPr>
          <w:p w14:paraId="4DAE2781">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采用多种静态检测、分析技术，帮助分析人员快速判别、并掌握恶意软件详情，以快速完成事件响应、情报分析相关工作</w:t>
            </w:r>
          </w:p>
        </w:tc>
        <w:tc>
          <w:tcPr>
            <w:tcW w:w="366" w:type="pct"/>
            <w:vMerge w:val="continue"/>
            <w:vAlign w:val="center"/>
          </w:tcPr>
          <w:p w14:paraId="2D2E6458">
            <w:pPr>
              <w:spacing w:line="360" w:lineRule="auto"/>
              <w:jc w:val="center"/>
              <w:rPr>
                <w:rFonts w:hint="eastAsia" w:ascii="宋体" w:hAnsi="宋体" w:cs="宋体"/>
                <w:color w:val="000000"/>
                <w:szCs w:val="21"/>
              </w:rPr>
            </w:pPr>
          </w:p>
        </w:tc>
        <w:tc>
          <w:tcPr>
            <w:tcW w:w="385" w:type="pct"/>
            <w:vMerge w:val="continue"/>
            <w:vAlign w:val="center"/>
          </w:tcPr>
          <w:p w14:paraId="67CC4DB2">
            <w:pPr>
              <w:spacing w:line="360" w:lineRule="auto"/>
              <w:jc w:val="center"/>
              <w:rPr>
                <w:rFonts w:hint="eastAsia" w:ascii="宋体" w:hAnsi="宋体" w:cs="宋体"/>
                <w:color w:val="000000"/>
                <w:szCs w:val="21"/>
              </w:rPr>
            </w:pPr>
          </w:p>
        </w:tc>
      </w:tr>
      <w:tr w14:paraId="5CAA6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continue"/>
            <w:vAlign w:val="center"/>
          </w:tcPr>
          <w:p w14:paraId="21DA18E9">
            <w:pPr>
              <w:spacing w:line="360" w:lineRule="auto"/>
              <w:jc w:val="center"/>
              <w:rPr>
                <w:rFonts w:hint="eastAsia" w:ascii="宋体" w:hAnsi="宋体" w:cs="宋体"/>
                <w:color w:val="000000"/>
                <w:szCs w:val="21"/>
              </w:rPr>
            </w:pPr>
          </w:p>
        </w:tc>
        <w:tc>
          <w:tcPr>
            <w:tcW w:w="366" w:type="pct"/>
            <w:gridSpan w:val="2"/>
            <w:vMerge w:val="continue"/>
            <w:vAlign w:val="center"/>
          </w:tcPr>
          <w:p w14:paraId="46FA6D0C">
            <w:pPr>
              <w:spacing w:line="360" w:lineRule="auto"/>
              <w:jc w:val="center"/>
              <w:rPr>
                <w:rFonts w:hint="eastAsia" w:ascii="宋体" w:hAnsi="宋体" w:cs="宋体"/>
                <w:color w:val="000000"/>
                <w:szCs w:val="21"/>
              </w:rPr>
            </w:pPr>
          </w:p>
        </w:tc>
        <w:tc>
          <w:tcPr>
            <w:tcW w:w="569" w:type="pct"/>
            <w:gridSpan w:val="2"/>
            <w:vMerge w:val="continue"/>
            <w:vAlign w:val="center"/>
          </w:tcPr>
          <w:p w14:paraId="10364D5D">
            <w:pPr>
              <w:spacing w:line="360" w:lineRule="auto"/>
              <w:jc w:val="center"/>
              <w:rPr>
                <w:rFonts w:hint="eastAsia" w:ascii="宋体" w:hAnsi="宋体" w:cs="宋体"/>
                <w:color w:val="000000"/>
                <w:szCs w:val="21"/>
              </w:rPr>
            </w:pPr>
          </w:p>
        </w:tc>
        <w:tc>
          <w:tcPr>
            <w:tcW w:w="2945" w:type="pct"/>
            <w:vAlign w:val="center"/>
          </w:tcPr>
          <w:p w14:paraId="0E42A0C3">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包名是唯一的，只表示apk文件的名称。有的软件在使用中会建立包名的文件夹，然后在里面存放数据。通过输入应用名称及应用包名即可查询相关应用信息、上架情况等信息，为反诈工作提供技术支撑。</w:t>
            </w:r>
          </w:p>
        </w:tc>
        <w:tc>
          <w:tcPr>
            <w:tcW w:w="366" w:type="pct"/>
            <w:vMerge w:val="continue"/>
            <w:vAlign w:val="center"/>
          </w:tcPr>
          <w:p w14:paraId="2D1E0041">
            <w:pPr>
              <w:spacing w:line="360" w:lineRule="auto"/>
              <w:jc w:val="center"/>
              <w:rPr>
                <w:rFonts w:hint="eastAsia" w:ascii="宋体" w:hAnsi="宋体" w:cs="宋体"/>
                <w:color w:val="000000"/>
                <w:szCs w:val="21"/>
              </w:rPr>
            </w:pPr>
          </w:p>
        </w:tc>
        <w:tc>
          <w:tcPr>
            <w:tcW w:w="385" w:type="pct"/>
            <w:vMerge w:val="continue"/>
            <w:vAlign w:val="center"/>
          </w:tcPr>
          <w:p w14:paraId="72FC85EB">
            <w:pPr>
              <w:spacing w:line="360" w:lineRule="auto"/>
              <w:jc w:val="center"/>
              <w:rPr>
                <w:rFonts w:hint="eastAsia" w:ascii="宋体" w:hAnsi="宋体" w:cs="宋体"/>
                <w:color w:val="000000"/>
                <w:szCs w:val="21"/>
              </w:rPr>
            </w:pPr>
          </w:p>
        </w:tc>
      </w:tr>
      <w:tr w14:paraId="4D19D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1127508A">
            <w:pPr>
              <w:spacing w:line="360" w:lineRule="auto"/>
              <w:jc w:val="center"/>
              <w:rPr>
                <w:rFonts w:hint="eastAsia" w:ascii="宋体" w:hAnsi="宋体" w:cs="宋体"/>
                <w:color w:val="000000"/>
                <w:szCs w:val="21"/>
              </w:rPr>
            </w:pPr>
          </w:p>
        </w:tc>
        <w:tc>
          <w:tcPr>
            <w:tcW w:w="366" w:type="pct"/>
            <w:gridSpan w:val="2"/>
            <w:vMerge w:val="continue"/>
            <w:vAlign w:val="center"/>
          </w:tcPr>
          <w:p w14:paraId="2C49816C">
            <w:pPr>
              <w:spacing w:line="360" w:lineRule="auto"/>
              <w:jc w:val="center"/>
              <w:rPr>
                <w:rFonts w:hint="eastAsia" w:ascii="宋体" w:hAnsi="宋体" w:cs="宋体"/>
                <w:color w:val="000000"/>
                <w:szCs w:val="21"/>
              </w:rPr>
            </w:pPr>
          </w:p>
        </w:tc>
        <w:tc>
          <w:tcPr>
            <w:tcW w:w="569" w:type="pct"/>
            <w:gridSpan w:val="2"/>
            <w:vAlign w:val="center"/>
          </w:tcPr>
          <w:p w14:paraId="1AF6C40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账号管理</w:t>
            </w:r>
          </w:p>
        </w:tc>
        <w:tc>
          <w:tcPr>
            <w:tcW w:w="2945" w:type="pct"/>
            <w:vAlign w:val="center"/>
          </w:tcPr>
          <w:p w14:paraId="07CC334B">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可以通过自定义所辖区域范围，分配账号及角色，实时监控核心区域内涉诈APP用户安装情况。</w:t>
            </w:r>
          </w:p>
        </w:tc>
        <w:tc>
          <w:tcPr>
            <w:tcW w:w="366" w:type="pct"/>
            <w:vMerge w:val="continue"/>
            <w:vAlign w:val="center"/>
          </w:tcPr>
          <w:p w14:paraId="3FD86E6E">
            <w:pPr>
              <w:spacing w:line="360" w:lineRule="auto"/>
              <w:jc w:val="center"/>
              <w:rPr>
                <w:rFonts w:hint="eastAsia" w:ascii="宋体" w:hAnsi="宋体" w:cs="宋体"/>
                <w:color w:val="000000"/>
                <w:szCs w:val="21"/>
              </w:rPr>
            </w:pPr>
          </w:p>
        </w:tc>
        <w:tc>
          <w:tcPr>
            <w:tcW w:w="385" w:type="pct"/>
            <w:vMerge w:val="continue"/>
            <w:vAlign w:val="center"/>
          </w:tcPr>
          <w:p w14:paraId="6D1155EA">
            <w:pPr>
              <w:spacing w:line="360" w:lineRule="auto"/>
              <w:jc w:val="center"/>
              <w:rPr>
                <w:rFonts w:hint="eastAsia" w:ascii="宋体" w:hAnsi="宋体" w:cs="宋体"/>
                <w:color w:val="000000"/>
                <w:szCs w:val="21"/>
              </w:rPr>
            </w:pPr>
          </w:p>
        </w:tc>
      </w:tr>
      <w:tr w14:paraId="1F375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restart"/>
            <w:vAlign w:val="center"/>
          </w:tcPr>
          <w:p w14:paraId="7374412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4</w:t>
            </w:r>
          </w:p>
        </w:tc>
        <w:tc>
          <w:tcPr>
            <w:tcW w:w="366" w:type="pct"/>
            <w:gridSpan w:val="2"/>
            <w:vMerge w:val="restart"/>
            <w:vAlign w:val="center"/>
          </w:tcPr>
          <w:p w14:paraId="4DF409D9">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AI语音预警机器人服务</w:t>
            </w:r>
          </w:p>
        </w:tc>
        <w:tc>
          <w:tcPr>
            <w:tcW w:w="569" w:type="pct"/>
            <w:gridSpan w:val="2"/>
            <w:vAlign w:val="center"/>
          </w:tcPr>
          <w:p w14:paraId="262AA8C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人工预警外呼系统</w:t>
            </w:r>
          </w:p>
        </w:tc>
        <w:tc>
          <w:tcPr>
            <w:tcW w:w="2945" w:type="pct"/>
            <w:vAlign w:val="center"/>
          </w:tcPr>
          <w:p w14:paraId="4D99465D">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该系统可为民警提供人工预警的能力，民警通过电脑登录自己的账号，即可进行外呼任务的创建和执行，也可以输入号码直接拨打进行预警。</w:t>
            </w:r>
          </w:p>
        </w:tc>
        <w:tc>
          <w:tcPr>
            <w:tcW w:w="366" w:type="pct"/>
            <w:vMerge w:val="restart"/>
            <w:vAlign w:val="center"/>
          </w:tcPr>
          <w:p w14:paraId="0C2D2B7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385" w:type="pct"/>
            <w:vMerge w:val="restart"/>
            <w:vAlign w:val="center"/>
          </w:tcPr>
          <w:p w14:paraId="3BEA1BC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r>
      <w:tr w14:paraId="72488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675" w:hRule="atLeast"/>
        </w:trPr>
        <w:tc>
          <w:tcPr>
            <w:tcW w:w="359" w:type="pct"/>
            <w:gridSpan w:val="2"/>
            <w:vMerge w:val="continue"/>
            <w:vAlign w:val="center"/>
          </w:tcPr>
          <w:p w14:paraId="291990E1">
            <w:pPr>
              <w:spacing w:line="360" w:lineRule="auto"/>
              <w:jc w:val="center"/>
              <w:rPr>
                <w:rFonts w:hint="eastAsia" w:ascii="宋体" w:hAnsi="宋体" w:cs="宋体"/>
                <w:color w:val="000000"/>
                <w:szCs w:val="21"/>
              </w:rPr>
            </w:pPr>
          </w:p>
        </w:tc>
        <w:tc>
          <w:tcPr>
            <w:tcW w:w="366" w:type="pct"/>
            <w:gridSpan w:val="2"/>
            <w:vMerge w:val="continue"/>
            <w:vAlign w:val="center"/>
          </w:tcPr>
          <w:p w14:paraId="54D7CE8B">
            <w:pPr>
              <w:spacing w:line="360" w:lineRule="auto"/>
              <w:jc w:val="center"/>
              <w:rPr>
                <w:rFonts w:hint="eastAsia" w:ascii="宋体" w:hAnsi="宋体" w:cs="宋体"/>
                <w:color w:val="000000"/>
                <w:szCs w:val="21"/>
              </w:rPr>
            </w:pPr>
          </w:p>
        </w:tc>
        <w:tc>
          <w:tcPr>
            <w:tcW w:w="569" w:type="pct"/>
            <w:gridSpan w:val="2"/>
            <w:vAlign w:val="center"/>
          </w:tcPr>
          <w:p w14:paraId="761B9D49">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AI预警外呼系统</w:t>
            </w:r>
          </w:p>
        </w:tc>
        <w:tc>
          <w:tcPr>
            <w:tcW w:w="2945" w:type="pct"/>
            <w:vAlign w:val="center"/>
          </w:tcPr>
          <w:p w14:paraId="1C6DDDDA">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该系统可为民警提供AI批量预警外呼的能力，支持预警话术自定义配置、外呼任务关联预警话术、按需配置机器人数量、外呼时间段设置等。可自动识别用户语义并进行应答，同时可对用户答复结果进行回收统计，并可以查看任务呼叫进展以及通话详情。</w:t>
            </w:r>
          </w:p>
        </w:tc>
        <w:tc>
          <w:tcPr>
            <w:tcW w:w="366" w:type="pct"/>
            <w:vMerge w:val="continue"/>
            <w:vAlign w:val="center"/>
          </w:tcPr>
          <w:p w14:paraId="3DE4B010">
            <w:pPr>
              <w:spacing w:line="360" w:lineRule="auto"/>
              <w:jc w:val="center"/>
              <w:rPr>
                <w:rFonts w:hint="eastAsia" w:ascii="宋体" w:hAnsi="宋体" w:cs="宋体"/>
                <w:color w:val="000000"/>
                <w:szCs w:val="21"/>
              </w:rPr>
            </w:pPr>
          </w:p>
        </w:tc>
        <w:tc>
          <w:tcPr>
            <w:tcW w:w="385" w:type="pct"/>
            <w:vMerge w:val="continue"/>
            <w:vAlign w:val="center"/>
          </w:tcPr>
          <w:p w14:paraId="094334AD">
            <w:pPr>
              <w:spacing w:line="360" w:lineRule="auto"/>
              <w:jc w:val="center"/>
              <w:rPr>
                <w:rFonts w:hint="eastAsia" w:ascii="宋体" w:hAnsi="宋体" w:cs="宋体"/>
                <w:color w:val="000000"/>
                <w:szCs w:val="21"/>
              </w:rPr>
            </w:pPr>
          </w:p>
        </w:tc>
      </w:tr>
      <w:tr w14:paraId="22786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restart"/>
            <w:vAlign w:val="center"/>
          </w:tcPr>
          <w:p w14:paraId="62C9F8A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366" w:type="pct"/>
            <w:gridSpan w:val="2"/>
            <w:vMerge w:val="restart"/>
            <w:vAlign w:val="center"/>
          </w:tcPr>
          <w:p w14:paraId="79559F7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作案设备信息挖掘服务</w:t>
            </w:r>
          </w:p>
        </w:tc>
        <w:tc>
          <w:tcPr>
            <w:tcW w:w="569" w:type="pct"/>
            <w:gridSpan w:val="2"/>
            <w:vAlign w:val="center"/>
          </w:tcPr>
          <w:p w14:paraId="64D2C4C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设备画像</w:t>
            </w:r>
          </w:p>
        </w:tc>
        <w:tc>
          <w:tcPr>
            <w:tcW w:w="2945" w:type="pct"/>
            <w:vAlign w:val="center"/>
          </w:tcPr>
          <w:p w14:paraId="04D3397F">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支持基于设备ID、APP、WiFi、IP等维度的线索查询设备画像。</w:t>
            </w:r>
          </w:p>
        </w:tc>
        <w:tc>
          <w:tcPr>
            <w:tcW w:w="366" w:type="pct"/>
            <w:vMerge w:val="restart"/>
            <w:vAlign w:val="center"/>
          </w:tcPr>
          <w:p w14:paraId="365169A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385" w:type="pct"/>
            <w:vMerge w:val="restart"/>
            <w:vAlign w:val="center"/>
          </w:tcPr>
          <w:p w14:paraId="6C4EB4B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r>
      <w:tr w14:paraId="4899D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006CF3D0">
            <w:pPr>
              <w:spacing w:line="360" w:lineRule="auto"/>
              <w:jc w:val="center"/>
              <w:rPr>
                <w:rFonts w:hint="eastAsia" w:ascii="宋体" w:hAnsi="宋体" w:cs="宋体"/>
                <w:color w:val="000000"/>
                <w:szCs w:val="21"/>
              </w:rPr>
            </w:pPr>
          </w:p>
        </w:tc>
        <w:tc>
          <w:tcPr>
            <w:tcW w:w="366" w:type="pct"/>
            <w:gridSpan w:val="2"/>
            <w:vMerge w:val="continue"/>
            <w:vAlign w:val="center"/>
          </w:tcPr>
          <w:p w14:paraId="6ED22C8E">
            <w:pPr>
              <w:spacing w:line="360" w:lineRule="auto"/>
              <w:jc w:val="center"/>
              <w:rPr>
                <w:rFonts w:hint="eastAsia" w:ascii="宋体" w:hAnsi="宋体" w:cs="宋体"/>
                <w:color w:val="000000"/>
                <w:szCs w:val="21"/>
              </w:rPr>
            </w:pPr>
          </w:p>
        </w:tc>
        <w:tc>
          <w:tcPr>
            <w:tcW w:w="569" w:type="pct"/>
            <w:gridSpan w:val="2"/>
            <w:vAlign w:val="center"/>
          </w:tcPr>
          <w:p w14:paraId="1004340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APP溯源</w:t>
            </w:r>
          </w:p>
        </w:tc>
        <w:tc>
          <w:tcPr>
            <w:tcW w:w="2945" w:type="pct"/>
            <w:vAlign w:val="center"/>
          </w:tcPr>
          <w:p w14:paraId="0C4DD4D5">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支持基于APP名称、包名、APK MD5查询相关APP的特征画像。</w:t>
            </w:r>
          </w:p>
        </w:tc>
        <w:tc>
          <w:tcPr>
            <w:tcW w:w="366" w:type="pct"/>
            <w:vMerge w:val="continue"/>
            <w:vAlign w:val="center"/>
          </w:tcPr>
          <w:p w14:paraId="20EA9765">
            <w:pPr>
              <w:spacing w:line="360" w:lineRule="auto"/>
              <w:jc w:val="center"/>
              <w:rPr>
                <w:rFonts w:hint="eastAsia" w:ascii="宋体" w:hAnsi="宋体" w:cs="宋体"/>
                <w:color w:val="000000"/>
                <w:szCs w:val="21"/>
              </w:rPr>
            </w:pPr>
          </w:p>
        </w:tc>
        <w:tc>
          <w:tcPr>
            <w:tcW w:w="385" w:type="pct"/>
            <w:vMerge w:val="continue"/>
            <w:vAlign w:val="center"/>
          </w:tcPr>
          <w:p w14:paraId="62BEB104">
            <w:pPr>
              <w:spacing w:line="360" w:lineRule="auto"/>
              <w:jc w:val="center"/>
              <w:rPr>
                <w:rFonts w:hint="eastAsia" w:ascii="宋体" w:hAnsi="宋体" w:cs="宋体"/>
                <w:color w:val="000000"/>
                <w:szCs w:val="21"/>
              </w:rPr>
            </w:pPr>
          </w:p>
        </w:tc>
      </w:tr>
      <w:tr w14:paraId="09ADA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4FE292DB">
            <w:pPr>
              <w:spacing w:line="360" w:lineRule="auto"/>
              <w:jc w:val="center"/>
              <w:rPr>
                <w:rFonts w:hint="eastAsia" w:ascii="宋体" w:hAnsi="宋体" w:cs="宋体"/>
                <w:color w:val="000000"/>
                <w:szCs w:val="21"/>
              </w:rPr>
            </w:pPr>
          </w:p>
        </w:tc>
        <w:tc>
          <w:tcPr>
            <w:tcW w:w="366" w:type="pct"/>
            <w:gridSpan w:val="2"/>
            <w:vMerge w:val="continue"/>
            <w:vAlign w:val="center"/>
          </w:tcPr>
          <w:p w14:paraId="4228A909">
            <w:pPr>
              <w:spacing w:line="360" w:lineRule="auto"/>
              <w:jc w:val="center"/>
              <w:rPr>
                <w:rFonts w:hint="eastAsia" w:ascii="宋体" w:hAnsi="宋体" w:cs="宋体"/>
                <w:color w:val="000000"/>
                <w:szCs w:val="21"/>
              </w:rPr>
            </w:pPr>
          </w:p>
        </w:tc>
        <w:tc>
          <w:tcPr>
            <w:tcW w:w="569" w:type="pct"/>
            <w:gridSpan w:val="2"/>
            <w:vAlign w:val="center"/>
          </w:tcPr>
          <w:p w14:paraId="2CE9911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WIFI溯源</w:t>
            </w:r>
          </w:p>
        </w:tc>
        <w:tc>
          <w:tcPr>
            <w:tcW w:w="2945" w:type="pct"/>
            <w:vAlign w:val="center"/>
          </w:tcPr>
          <w:p w14:paraId="176F0801">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支持基于WiFi名称、WiFi MAC等查询相关WiFi的特征画像。</w:t>
            </w:r>
          </w:p>
        </w:tc>
        <w:tc>
          <w:tcPr>
            <w:tcW w:w="366" w:type="pct"/>
            <w:vMerge w:val="continue"/>
            <w:vAlign w:val="center"/>
          </w:tcPr>
          <w:p w14:paraId="1992C523">
            <w:pPr>
              <w:spacing w:line="360" w:lineRule="auto"/>
              <w:jc w:val="center"/>
              <w:rPr>
                <w:rFonts w:hint="eastAsia" w:ascii="宋体" w:hAnsi="宋体" w:cs="宋体"/>
                <w:color w:val="000000"/>
                <w:szCs w:val="21"/>
              </w:rPr>
            </w:pPr>
          </w:p>
        </w:tc>
        <w:tc>
          <w:tcPr>
            <w:tcW w:w="385" w:type="pct"/>
            <w:vMerge w:val="continue"/>
            <w:vAlign w:val="center"/>
          </w:tcPr>
          <w:p w14:paraId="2EA1A117">
            <w:pPr>
              <w:spacing w:line="360" w:lineRule="auto"/>
              <w:jc w:val="center"/>
              <w:rPr>
                <w:rFonts w:hint="eastAsia" w:ascii="宋体" w:hAnsi="宋体" w:cs="宋体"/>
                <w:color w:val="000000"/>
                <w:szCs w:val="21"/>
              </w:rPr>
            </w:pPr>
          </w:p>
        </w:tc>
      </w:tr>
      <w:tr w14:paraId="12BB6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66CDC5B8">
            <w:pPr>
              <w:spacing w:line="360" w:lineRule="auto"/>
              <w:jc w:val="center"/>
              <w:rPr>
                <w:rFonts w:hint="eastAsia" w:ascii="宋体" w:hAnsi="宋体" w:cs="宋体"/>
                <w:color w:val="000000"/>
                <w:szCs w:val="21"/>
              </w:rPr>
            </w:pPr>
          </w:p>
        </w:tc>
        <w:tc>
          <w:tcPr>
            <w:tcW w:w="366" w:type="pct"/>
            <w:gridSpan w:val="2"/>
            <w:vMerge w:val="continue"/>
            <w:vAlign w:val="center"/>
          </w:tcPr>
          <w:p w14:paraId="7F271475">
            <w:pPr>
              <w:spacing w:line="360" w:lineRule="auto"/>
              <w:jc w:val="center"/>
              <w:rPr>
                <w:rFonts w:hint="eastAsia" w:ascii="宋体" w:hAnsi="宋体" w:cs="宋体"/>
                <w:color w:val="000000"/>
                <w:szCs w:val="21"/>
              </w:rPr>
            </w:pPr>
          </w:p>
        </w:tc>
        <w:tc>
          <w:tcPr>
            <w:tcW w:w="569" w:type="pct"/>
            <w:gridSpan w:val="2"/>
            <w:vAlign w:val="center"/>
          </w:tcPr>
          <w:p w14:paraId="1948CCE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IP溯源</w:t>
            </w:r>
          </w:p>
        </w:tc>
        <w:tc>
          <w:tcPr>
            <w:tcW w:w="2945" w:type="pct"/>
            <w:vAlign w:val="center"/>
          </w:tcPr>
          <w:p w14:paraId="18EAAD31">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支持基于IP地址查询相关IP的特征画像。</w:t>
            </w:r>
          </w:p>
        </w:tc>
        <w:tc>
          <w:tcPr>
            <w:tcW w:w="366" w:type="pct"/>
            <w:vMerge w:val="continue"/>
            <w:vAlign w:val="center"/>
          </w:tcPr>
          <w:p w14:paraId="7E02E566">
            <w:pPr>
              <w:spacing w:line="360" w:lineRule="auto"/>
              <w:jc w:val="center"/>
              <w:rPr>
                <w:rFonts w:hint="eastAsia" w:ascii="宋体" w:hAnsi="宋体" w:cs="宋体"/>
                <w:color w:val="000000"/>
                <w:szCs w:val="21"/>
              </w:rPr>
            </w:pPr>
          </w:p>
        </w:tc>
        <w:tc>
          <w:tcPr>
            <w:tcW w:w="385" w:type="pct"/>
            <w:vMerge w:val="continue"/>
            <w:vAlign w:val="center"/>
          </w:tcPr>
          <w:p w14:paraId="50276786">
            <w:pPr>
              <w:spacing w:line="360" w:lineRule="auto"/>
              <w:jc w:val="center"/>
              <w:rPr>
                <w:rFonts w:hint="eastAsia" w:ascii="宋体" w:hAnsi="宋体" w:cs="宋体"/>
                <w:color w:val="000000"/>
                <w:szCs w:val="21"/>
              </w:rPr>
            </w:pPr>
          </w:p>
        </w:tc>
      </w:tr>
      <w:tr w14:paraId="254F9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3A93BBE6">
            <w:pPr>
              <w:spacing w:line="360" w:lineRule="auto"/>
              <w:jc w:val="center"/>
              <w:rPr>
                <w:rFonts w:hint="eastAsia" w:ascii="宋体" w:hAnsi="宋体" w:cs="宋体"/>
                <w:color w:val="000000"/>
                <w:szCs w:val="21"/>
              </w:rPr>
            </w:pPr>
          </w:p>
        </w:tc>
        <w:tc>
          <w:tcPr>
            <w:tcW w:w="366" w:type="pct"/>
            <w:gridSpan w:val="2"/>
            <w:vMerge w:val="continue"/>
            <w:vAlign w:val="center"/>
          </w:tcPr>
          <w:p w14:paraId="509C4616">
            <w:pPr>
              <w:spacing w:line="360" w:lineRule="auto"/>
              <w:jc w:val="center"/>
              <w:rPr>
                <w:rFonts w:hint="eastAsia" w:ascii="宋体" w:hAnsi="宋体" w:cs="宋体"/>
                <w:color w:val="000000"/>
                <w:szCs w:val="21"/>
              </w:rPr>
            </w:pPr>
          </w:p>
        </w:tc>
        <w:tc>
          <w:tcPr>
            <w:tcW w:w="569" w:type="pct"/>
            <w:gridSpan w:val="2"/>
            <w:vAlign w:val="center"/>
          </w:tcPr>
          <w:p w14:paraId="1639AA8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智能案件研判</w:t>
            </w:r>
          </w:p>
        </w:tc>
        <w:tc>
          <w:tcPr>
            <w:tcW w:w="2945" w:type="pct"/>
            <w:vAlign w:val="center"/>
          </w:tcPr>
          <w:p w14:paraId="3D501CDE">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支持案件的线索自动关联分析、可疑人员自动发现、人员画像智能刻画。</w:t>
            </w:r>
          </w:p>
        </w:tc>
        <w:tc>
          <w:tcPr>
            <w:tcW w:w="366" w:type="pct"/>
            <w:vMerge w:val="continue"/>
            <w:vAlign w:val="center"/>
          </w:tcPr>
          <w:p w14:paraId="457034FC">
            <w:pPr>
              <w:spacing w:line="360" w:lineRule="auto"/>
              <w:jc w:val="center"/>
              <w:rPr>
                <w:rFonts w:hint="eastAsia" w:ascii="宋体" w:hAnsi="宋体" w:cs="宋体"/>
                <w:color w:val="000000"/>
                <w:szCs w:val="21"/>
              </w:rPr>
            </w:pPr>
          </w:p>
        </w:tc>
        <w:tc>
          <w:tcPr>
            <w:tcW w:w="385" w:type="pct"/>
            <w:vMerge w:val="continue"/>
            <w:vAlign w:val="center"/>
          </w:tcPr>
          <w:p w14:paraId="7CAD7432">
            <w:pPr>
              <w:spacing w:line="360" w:lineRule="auto"/>
              <w:jc w:val="center"/>
              <w:rPr>
                <w:rFonts w:hint="eastAsia" w:ascii="宋体" w:hAnsi="宋体" w:cs="宋体"/>
                <w:color w:val="000000"/>
                <w:szCs w:val="21"/>
              </w:rPr>
            </w:pPr>
          </w:p>
        </w:tc>
      </w:tr>
      <w:tr w14:paraId="784CD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restart"/>
            <w:vAlign w:val="center"/>
          </w:tcPr>
          <w:p w14:paraId="7A096DF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6</w:t>
            </w:r>
          </w:p>
        </w:tc>
        <w:tc>
          <w:tcPr>
            <w:tcW w:w="366" w:type="pct"/>
            <w:gridSpan w:val="2"/>
            <w:vMerge w:val="restart"/>
            <w:vAlign w:val="center"/>
          </w:tcPr>
          <w:p w14:paraId="56CDB69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涉案终端案件关联证据支撑服务</w:t>
            </w:r>
          </w:p>
        </w:tc>
        <w:tc>
          <w:tcPr>
            <w:tcW w:w="569" w:type="pct"/>
            <w:gridSpan w:val="2"/>
            <w:vAlign w:val="center"/>
          </w:tcPr>
          <w:p w14:paraId="2CE28883">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屏幕截图</w:t>
            </w:r>
          </w:p>
        </w:tc>
        <w:tc>
          <w:tcPr>
            <w:tcW w:w="2945" w:type="pct"/>
            <w:vAlign w:val="center"/>
          </w:tcPr>
          <w:p w14:paraId="099BD246">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可用于前期分析诈骗类型，诈骗方式。中后期可根据截图内容去做深度研判。</w:t>
            </w:r>
          </w:p>
        </w:tc>
        <w:tc>
          <w:tcPr>
            <w:tcW w:w="366" w:type="pct"/>
            <w:vMerge w:val="restart"/>
            <w:vAlign w:val="center"/>
          </w:tcPr>
          <w:p w14:paraId="39DE824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385" w:type="pct"/>
            <w:vMerge w:val="restart"/>
            <w:vAlign w:val="center"/>
          </w:tcPr>
          <w:p w14:paraId="28379B48">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r>
      <w:tr w14:paraId="6681E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675" w:hRule="atLeast"/>
        </w:trPr>
        <w:tc>
          <w:tcPr>
            <w:tcW w:w="359" w:type="pct"/>
            <w:gridSpan w:val="2"/>
            <w:vMerge w:val="continue"/>
            <w:vAlign w:val="center"/>
          </w:tcPr>
          <w:p w14:paraId="37F99601">
            <w:pPr>
              <w:spacing w:line="360" w:lineRule="auto"/>
              <w:jc w:val="center"/>
              <w:rPr>
                <w:rFonts w:hint="eastAsia" w:ascii="宋体" w:hAnsi="宋体" w:cs="宋体"/>
                <w:color w:val="000000"/>
                <w:szCs w:val="21"/>
              </w:rPr>
            </w:pPr>
          </w:p>
        </w:tc>
        <w:tc>
          <w:tcPr>
            <w:tcW w:w="366" w:type="pct"/>
            <w:gridSpan w:val="2"/>
            <w:vMerge w:val="continue"/>
            <w:vAlign w:val="center"/>
          </w:tcPr>
          <w:p w14:paraId="7CFC7069">
            <w:pPr>
              <w:spacing w:line="360" w:lineRule="auto"/>
              <w:jc w:val="center"/>
              <w:rPr>
                <w:rFonts w:hint="eastAsia" w:ascii="宋体" w:hAnsi="宋体" w:cs="宋体"/>
                <w:color w:val="000000"/>
                <w:szCs w:val="21"/>
              </w:rPr>
            </w:pPr>
          </w:p>
        </w:tc>
        <w:tc>
          <w:tcPr>
            <w:tcW w:w="569" w:type="pct"/>
            <w:gridSpan w:val="2"/>
            <w:vAlign w:val="center"/>
          </w:tcPr>
          <w:p w14:paraId="7B717A5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涉案终端</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电脑文件</w:t>
            </w:r>
          </w:p>
        </w:tc>
        <w:tc>
          <w:tcPr>
            <w:tcW w:w="2945" w:type="pct"/>
            <w:vAlign w:val="center"/>
          </w:tcPr>
          <w:p w14:paraId="4B6FEBF8">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1.可分析诈骗团伙作案方式方法（如诈骗话术、诈骗流程等文件）。</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2.可通过分析获取诈骗团伙人员信息资金信息（如打卡表、工资表等文件）。</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3.可通过深度研判扩大打击规模（如诈骗团伙内部流传的诈骗案例、诈骗重大成果展示文件等）。</w:t>
            </w:r>
          </w:p>
        </w:tc>
        <w:tc>
          <w:tcPr>
            <w:tcW w:w="366" w:type="pct"/>
            <w:vMerge w:val="continue"/>
            <w:vAlign w:val="center"/>
          </w:tcPr>
          <w:p w14:paraId="1FBC6D20">
            <w:pPr>
              <w:spacing w:line="360" w:lineRule="auto"/>
              <w:jc w:val="center"/>
              <w:rPr>
                <w:rFonts w:hint="eastAsia" w:ascii="宋体" w:hAnsi="宋体" w:cs="宋体"/>
                <w:color w:val="000000"/>
                <w:szCs w:val="21"/>
              </w:rPr>
            </w:pPr>
          </w:p>
        </w:tc>
        <w:tc>
          <w:tcPr>
            <w:tcW w:w="385" w:type="pct"/>
            <w:vMerge w:val="continue"/>
            <w:vAlign w:val="center"/>
          </w:tcPr>
          <w:p w14:paraId="1AB32AE9">
            <w:pPr>
              <w:spacing w:line="360" w:lineRule="auto"/>
              <w:jc w:val="center"/>
              <w:rPr>
                <w:rFonts w:hint="eastAsia" w:ascii="宋体" w:hAnsi="宋体" w:cs="宋体"/>
                <w:color w:val="000000"/>
                <w:szCs w:val="21"/>
              </w:rPr>
            </w:pPr>
          </w:p>
        </w:tc>
      </w:tr>
      <w:tr w14:paraId="2D689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continue"/>
            <w:vAlign w:val="center"/>
          </w:tcPr>
          <w:p w14:paraId="21AD7DD9">
            <w:pPr>
              <w:spacing w:line="360" w:lineRule="auto"/>
              <w:jc w:val="center"/>
              <w:rPr>
                <w:rFonts w:hint="eastAsia" w:ascii="宋体" w:hAnsi="宋体" w:cs="宋体"/>
                <w:color w:val="000000"/>
                <w:szCs w:val="21"/>
              </w:rPr>
            </w:pPr>
          </w:p>
        </w:tc>
        <w:tc>
          <w:tcPr>
            <w:tcW w:w="366" w:type="pct"/>
            <w:gridSpan w:val="2"/>
            <w:vMerge w:val="continue"/>
            <w:vAlign w:val="center"/>
          </w:tcPr>
          <w:p w14:paraId="17C1A701">
            <w:pPr>
              <w:spacing w:line="360" w:lineRule="auto"/>
              <w:jc w:val="center"/>
              <w:rPr>
                <w:rFonts w:hint="eastAsia" w:ascii="宋体" w:hAnsi="宋体" w:cs="宋体"/>
                <w:color w:val="000000"/>
                <w:szCs w:val="21"/>
              </w:rPr>
            </w:pPr>
          </w:p>
        </w:tc>
        <w:tc>
          <w:tcPr>
            <w:tcW w:w="569" w:type="pct"/>
            <w:gridSpan w:val="2"/>
            <w:vAlign w:val="center"/>
          </w:tcPr>
          <w:p w14:paraId="7B309B8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涉案终端IP</w:t>
            </w:r>
          </w:p>
        </w:tc>
        <w:tc>
          <w:tcPr>
            <w:tcW w:w="2945" w:type="pct"/>
            <w:vAlign w:val="center"/>
          </w:tcPr>
          <w:p w14:paraId="12CBF698">
            <w:pPr>
              <w:widowControl/>
              <w:spacing w:line="360" w:lineRule="auto"/>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▲涉案终端IP，网络状态，已链接过的无线网络配置；（</w:t>
            </w:r>
            <w:r>
              <w:rPr>
                <w:rFonts w:ascii="宋体" w:hAnsi="宋体" w:cs="宋体"/>
                <w:color w:val="000000"/>
                <w:kern w:val="0"/>
                <w:szCs w:val="21"/>
                <w:lang w:bidi="ar"/>
              </w:rPr>
              <w:t>需</w:t>
            </w:r>
            <w:r>
              <w:rPr>
                <w:rFonts w:hint="eastAsia" w:ascii="宋体" w:hAnsi="宋体" w:cs="宋体"/>
                <w:color w:val="000000"/>
                <w:kern w:val="0"/>
                <w:szCs w:val="21"/>
                <w:lang w:bidi="ar"/>
              </w:rPr>
              <w:t>提供软件功能截图）</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通过研判分析后可根据IP，MAC地址等信息做出诈骗团伙精准物理位置。</w:t>
            </w:r>
          </w:p>
        </w:tc>
        <w:tc>
          <w:tcPr>
            <w:tcW w:w="366" w:type="pct"/>
            <w:vMerge w:val="continue"/>
            <w:vAlign w:val="center"/>
          </w:tcPr>
          <w:p w14:paraId="35BFE9A1">
            <w:pPr>
              <w:spacing w:line="360" w:lineRule="auto"/>
              <w:jc w:val="center"/>
              <w:rPr>
                <w:rFonts w:hint="eastAsia" w:ascii="宋体" w:hAnsi="宋体" w:cs="宋体"/>
                <w:color w:val="000000"/>
                <w:szCs w:val="21"/>
              </w:rPr>
            </w:pPr>
          </w:p>
        </w:tc>
        <w:tc>
          <w:tcPr>
            <w:tcW w:w="385" w:type="pct"/>
            <w:vMerge w:val="continue"/>
            <w:vAlign w:val="center"/>
          </w:tcPr>
          <w:p w14:paraId="1E72991C">
            <w:pPr>
              <w:spacing w:line="360" w:lineRule="auto"/>
              <w:jc w:val="center"/>
              <w:rPr>
                <w:rFonts w:hint="eastAsia" w:ascii="宋体" w:hAnsi="宋体" w:cs="宋体"/>
                <w:color w:val="000000"/>
                <w:szCs w:val="21"/>
              </w:rPr>
            </w:pPr>
          </w:p>
        </w:tc>
      </w:tr>
      <w:tr w14:paraId="74A55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continue"/>
            <w:vAlign w:val="center"/>
          </w:tcPr>
          <w:p w14:paraId="204C54E7">
            <w:pPr>
              <w:spacing w:line="360" w:lineRule="auto"/>
              <w:jc w:val="center"/>
              <w:rPr>
                <w:rFonts w:hint="eastAsia" w:ascii="宋体" w:hAnsi="宋体" w:cs="宋体"/>
                <w:color w:val="000000"/>
                <w:szCs w:val="21"/>
              </w:rPr>
            </w:pPr>
          </w:p>
        </w:tc>
        <w:tc>
          <w:tcPr>
            <w:tcW w:w="366" w:type="pct"/>
            <w:gridSpan w:val="2"/>
            <w:vMerge w:val="continue"/>
            <w:vAlign w:val="center"/>
          </w:tcPr>
          <w:p w14:paraId="2B61F76A">
            <w:pPr>
              <w:spacing w:line="360" w:lineRule="auto"/>
              <w:jc w:val="center"/>
              <w:rPr>
                <w:rFonts w:hint="eastAsia" w:ascii="宋体" w:hAnsi="宋体" w:cs="宋体"/>
                <w:color w:val="000000"/>
                <w:szCs w:val="21"/>
              </w:rPr>
            </w:pPr>
          </w:p>
        </w:tc>
        <w:tc>
          <w:tcPr>
            <w:tcW w:w="569" w:type="pct"/>
            <w:gridSpan w:val="2"/>
            <w:vAlign w:val="center"/>
          </w:tcPr>
          <w:p w14:paraId="685D5AA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聊天记录</w:t>
            </w:r>
          </w:p>
        </w:tc>
        <w:tc>
          <w:tcPr>
            <w:tcW w:w="2945" w:type="pct"/>
            <w:vAlign w:val="center"/>
          </w:tcPr>
          <w:p w14:paraId="606B7489">
            <w:pPr>
              <w:widowControl/>
              <w:spacing w:line="360" w:lineRule="auto"/>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涉案终端聊天记录针对飞机聊天软件可获取其群聊私聊记录；可通过警方研判分析得到聊天记录中暴露出的人员身份信息，团伙成员，团伙规模等。</w:t>
            </w:r>
          </w:p>
        </w:tc>
        <w:tc>
          <w:tcPr>
            <w:tcW w:w="366" w:type="pct"/>
            <w:vMerge w:val="continue"/>
            <w:vAlign w:val="center"/>
          </w:tcPr>
          <w:p w14:paraId="15628AA2">
            <w:pPr>
              <w:spacing w:line="360" w:lineRule="auto"/>
              <w:jc w:val="center"/>
              <w:rPr>
                <w:rFonts w:hint="eastAsia" w:ascii="宋体" w:hAnsi="宋体" w:cs="宋体"/>
                <w:color w:val="000000"/>
                <w:szCs w:val="21"/>
              </w:rPr>
            </w:pPr>
          </w:p>
        </w:tc>
        <w:tc>
          <w:tcPr>
            <w:tcW w:w="385" w:type="pct"/>
            <w:vMerge w:val="continue"/>
            <w:vAlign w:val="center"/>
          </w:tcPr>
          <w:p w14:paraId="006D1AAF">
            <w:pPr>
              <w:spacing w:line="360" w:lineRule="auto"/>
              <w:jc w:val="center"/>
              <w:rPr>
                <w:rFonts w:hint="eastAsia" w:ascii="宋体" w:hAnsi="宋体" w:cs="宋体"/>
                <w:color w:val="000000"/>
                <w:szCs w:val="21"/>
              </w:rPr>
            </w:pPr>
          </w:p>
        </w:tc>
      </w:tr>
      <w:tr w14:paraId="05B33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0608B53D">
            <w:pPr>
              <w:spacing w:line="360" w:lineRule="auto"/>
              <w:jc w:val="center"/>
              <w:rPr>
                <w:rFonts w:hint="eastAsia" w:ascii="宋体" w:hAnsi="宋体" w:cs="宋体"/>
                <w:color w:val="000000"/>
                <w:szCs w:val="21"/>
              </w:rPr>
            </w:pPr>
          </w:p>
        </w:tc>
        <w:tc>
          <w:tcPr>
            <w:tcW w:w="366" w:type="pct"/>
            <w:gridSpan w:val="2"/>
            <w:vMerge w:val="continue"/>
            <w:vAlign w:val="center"/>
          </w:tcPr>
          <w:p w14:paraId="171D9066">
            <w:pPr>
              <w:spacing w:line="360" w:lineRule="auto"/>
              <w:jc w:val="center"/>
              <w:rPr>
                <w:rFonts w:hint="eastAsia" w:ascii="宋体" w:hAnsi="宋体" w:cs="宋体"/>
                <w:color w:val="000000"/>
                <w:szCs w:val="21"/>
              </w:rPr>
            </w:pPr>
          </w:p>
        </w:tc>
        <w:tc>
          <w:tcPr>
            <w:tcW w:w="569" w:type="pct"/>
            <w:gridSpan w:val="2"/>
            <w:vAlign w:val="center"/>
          </w:tcPr>
          <w:p w14:paraId="6439451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聊天记录</w:t>
            </w:r>
          </w:p>
        </w:tc>
        <w:tc>
          <w:tcPr>
            <w:tcW w:w="2945" w:type="pct"/>
            <w:vAlign w:val="center"/>
          </w:tcPr>
          <w:p w14:paraId="041D3BE3">
            <w:pPr>
              <w:widowControl/>
              <w:spacing w:line="360" w:lineRule="auto"/>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涉案终端聊天记录针对飞机聊天软件可获取其群聊私聊记录。</w:t>
            </w:r>
          </w:p>
        </w:tc>
        <w:tc>
          <w:tcPr>
            <w:tcW w:w="366" w:type="pct"/>
            <w:vMerge w:val="continue"/>
            <w:vAlign w:val="center"/>
          </w:tcPr>
          <w:p w14:paraId="708F187A">
            <w:pPr>
              <w:spacing w:line="360" w:lineRule="auto"/>
              <w:jc w:val="center"/>
              <w:rPr>
                <w:rFonts w:hint="eastAsia" w:ascii="宋体" w:hAnsi="宋体" w:cs="宋体"/>
                <w:color w:val="000000"/>
                <w:szCs w:val="21"/>
              </w:rPr>
            </w:pPr>
          </w:p>
        </w:tc>
        <w:tc>
          <w:tcPr>
            <w:tcW w:w="385" w:type="pct"/>
            <w:vMerge w:val="continue"/>
            <w:vAlign w:val="center"/>
          </w:tcPr>
          <w:p w14:paraId="3CAAF62F">
            <w:pPr>
              <w:spacing w:line="360" w:lineRule="auto"/>
              <w:jc w:val="center"/>
              <w:rPr>
                <w:rFonts w:hint="eastAsia" w:ascii="宋体" w:hAnsi="宋体" w:cs="宋体"/>
                <w:color w:val="000000"/>
                <w:szCs w:val="21"/>
              </w:rPr>
            </w:pPr>
          </w:p>
        </w:tc>
      </w:tr>
      <w:tr w14:paraId="76375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4782AF0B">
            <w:pPr>
              <w:spacing w:line="360" w:lineRule="auto"/>
              <w:jc w:val="center"/>
              <w:rPr>
                <w:rFonts w:hint="eastAsia" w:ascii="宋体" w:hAnsi="宋体" w:cs="宋体"/>
                <w:color w:val="000000"/>
                <w:szCs w:val="21"/>
              </w:rPr>
            </w:pPr>
          </w:p>
        </w:tc>
        <w:tc>
          <w:tcPr>
            <w:tcW w:w="366" w:type="pct"/>
            <w:gridSpan w:val="2"/>
            <w:vMerge w:val="continue"/>
            <w:vAlign w:val="center"/>
          </w:tcPr>
          <w:p w14:paraId="7B821C1F">
            <w:pPr>
              <w:spacing w:line="360" w:lineRule="auto"/>
              <w:jc w:val="center"/>
              <w:rPr>
                <w:rFonts w:hint="eastAsia" w:ascii="宋体" w:hAnsi="宋体" w:cs="宋体"/>
                <w:color w:val="000000"/>
                <w:szCs w:val="21"/>
              </w:rPr>
            </w:pPr>
          </w:p>
        </w:tc>
        <w:tc>
          <w:tcPr>
            <w:tcW w:w="569" w:type="pct"/>
            <w:gridSpan w:val="2"/>
            <w:vAlign w:val="center"/>
          </w:tcPr>
          <w:p w14:paraId="497DDD6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浏览器记录</w:t>
            </w:r>
          </w:p>
        </w:tc>
        <w:tc>
          <w:tcPr>
            <w:tcW w:w="2945" w:type="pct"/>
            <w:vAlign w:val="center"/>
          </w:tcPr>
          <w:p w14:paraId="7CA29F7C">
            <w:pPr>
              <w:widowControl/>
              <w:spacing w:line="360" w:lineRule="auto"/>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涉案终端浏览器记录可用于研判分析诈骗人员的行为和日常关注信息。</w:t>
            </w:r>
          </w:p>
        </w:tc>
        <w:tc>
          <w:tcPr>
            <w:tcW w:w="366" w:type="pct"/>
            <w:vMerge w:val="continue"/>
            <w:vAlign w:val="center"/>
          </w:tcPr>
          <w:p w14:paraId="05CD62AB">
            <w:pPr>
              <w:spacing w:line="360" w:lineRule="auto"/>
              <w:jc w:val="center"/>
              <w:rPr>
                <w:rFonts w:hint="eastAsia" w:ascii="宋体" w:hAnsi="宋体" w:cs="宋体"/>
                <w:color w:val="000000"/>
                <w:szCs w:val="21"/>
              </w:rPr>
            </w:pPr>
          </w:p>
        </w:tc>
        <w:tc>
          <w:tcPr>
            <w:tcW w:w="385" w:type="pct"/>
            <w:vMerge w:val="continue"/>
            <w:vAlign w:val="center"/>
          </w:tcPr>
          <w:p w14:paraId="334EEF19">
            <w:pPr>
              <w:spacing w:line="360" w:lineRule="auto"/>
              <w:jc w:val="center"/>
              <w:rPr>
                <w:rFonts w:hint="eastAsia" w:ascii="宋体" w:hAnsi="宋体" w:cs="宋体"/>
                <w:color w:val="000000"/>
                <w:szCs w:val="21"/>
              </w:rPr>
            </w:pPr>
          </w:p>
        </w:tc>
      </w:tr>
      <w:tr w14:paraId="1C008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43DE54D1">
            <w:pPr>
              <w:spacing w:line="360" w:lineRule="auto"/>
              <w:jc w:val="center"/>
              <w:rPr>
                <w:rFonts w:hint="eastAsia" w:ascii="宋体" w:hAnsi="宋体" w:cs="宋体"/>
                <w:color w:val="000000"/>
                <w:szCs w:val="21"/>
              </w:rPr>
            </w:pPr>
          </w:p>
        </w:tc>
        <w:tc>
          <w:tcPr>
            <w:tcW w:w="366" w:type="pct"/>
            <w:gridSpan w:val="2"/>
            <w:vMerge w:val="continue"/>
            <w:vAlign w:val="center"/>
          </w:tcPr>
          <w:p w14:paraId="4368ABB8">
            <w:pPr>
              <w:spacing w:line="360" w:lineRule="auto"/>
              <w:jc w:val="center"/>
              <w:rPr>
                <w:rFonts w:hint="eastAsia" w:ascii="宋体" w:hAnsi="宋体" w:cs="宋体"/>
                <w:color w:val="000000"/>
                <w:szCs w:val="21"/>
              </w:rPr>
            </w:pPr>
          </w:p>
        </w:tc>
        <w:tc>
          <w:tcPr>
            <w:tcW w:w="569" w:type="pct"/>
            <w:gridSpan w:val="2"/>
            <w:vAlign w:val="center"/>
          </w:tcPr>
          <w:p w14:paraId="21908AD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桌面操作视频</w:t>
            </w:r>
          </w:p>
        </w:tc>
        <w:tc>
          <w:tcPr>
            <w:tcW w:w="2945" w:type="pct"/>
            <w:vAlign w:val="center"/>
          </w:tcPr>
          <w:p w14:paraId="412BEBAB">
            <w:pPr>
              <w:widowControl/>
              <w:spacing w:line="360" w:lineRule="auto"/>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涉案终端设备桌面操作视频可供实现远程监控涉案终端，实时监控诈骗分子。</w:t>
            </w:r>
          </w:p>
        </w:tc>
        <w:tc>
          <w:tcPr>
            <w:tcW w:w="366" w:type="pct"/>
            <w:vMerge w:val="continue"/>
            <w:vAlign w:val="center"/>
          </w:tcPr>
          <w:p w14:paraId="4CFCDF7A">
            <w:pPr>
              <w:spacing w:line="360" w:lineRule="auto"/>
              <w:jc w:val="center"/>
              <w:rPr>
                <w:rFonts w:hint="eastAsia" w:ascii="宋体" w:hAnsi="宋体" w:cs="宋体"/>
                <w:color w:val="000000"/>
                <w:szCs w:val="21"/>
              </w:rPr>
            </w:pPr>
          </w:p>
        </w:tc>
        <w:tc>
          <w:tcPr>
            <w:tcW w:w="385" w:type="pct"/>
            <w:vMerge w:val="continue"/>
            <w:vAlign w:val="center"/>
          </w:tcPr>
          <w:p w14:paraId="1C163BCA">
            <w:pPr>
              <w:spacing w:line="360" w:lineRule="auto"/>
              <w:jc w:val="center"/>
              <w:rPr>
                <w:rFonts w:hint="eastAsia" w:ascii="宋体" w:hAnsi="宋体" w:cs="宋体"/>
                <w:color w:val="000000"/>
                <w:szCs w:val="21"/>
              </w:rPr>
            </w:pPr>
          </w:p>
        </w:tc>
      </w:tr>
      <w:tr w14:paraId="672AD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675" w:hRule="atLeast"/>
        </w:trPr>
        <w:tc>
          <w:tcPr>
            <w:tcW w:w="359" w:type="pct"/>
            <w:gridSpan w:val="2"/>
            <w:vMerge w:val="restart"/>
            <w:vAlign w:val="center"/>
          </w:tcPr>
          <w:p w14:paraId="5A4EEA0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7</w:t>
            </w:r>
          </w:p>
        </w:tc>
        <w:tc>
          <w:tcPr>
            <w:tcW w:w="366" w:type="pct"/>
            <w:gridSpan w:val="2"/>
            <w:vMerge w:val="restart"/>
            <w:vAlign w:val="center"/>
          </w:tcPr>
          <w:p w14:paraId="20759AA3">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嫌疑人身份信息研判服务</w:t>
            </w:r>
          </w:p>
        </w:tc>
        <w:tc>
          <w:tcPr>
            <w:tcW w:w="569" w:type="pct"/>
            <w:gridSpan w:val="2"/>
            <w:vAlign w:val="center"/>
          </w:tcPr>
          <w:p w14:paraId="5ABA359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全息查询</w:t>
            </w:r>
          </w:p>
        </w:tc>
        <w:tc>
          <w:tcPr>
            <w:tcW w:w="2945" w:type="pct"/>
            <w:vAlign w:val="center"/>
          </w:tcPr>
          <w:p w14:paraId="34A765B5">
            <w:pPr>
              <w:widowControl/>
              <w:spacing w:line="360" w:lineRule="auto"/>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设备信息包括设备当前四码、设备型号、手机号码运营商、手机系统语言、换机换卡记录，最新定位、工作地、居住地信息可查询连接或扫描此WIFi的所有设备及详细关联信息，以及该WIFi的画像可查询使用此IP的所有设备及详细关联信息。（</w:t>
            </w:r>
            <w:r>
              <w:rPr>
                <w:rFonts w:ascii="宋体" w:hAnsi="宋体" w:cs="宋体"/>
                <w:color w:val="000000"/>
                <w:kern w:val="0"/>
                <w:szCs w:val="21"/>
                <w:lang w:bidi="ar"/>
              </w:rPr>
              <w:t>需</w:t>
            </w:r>
            <w:r>
              <w:rPr>
                <w:rFonts w:hint="eastAsia" w:ascii="宋体" w:hAnsi="宋体" w:cs="宋体"/>
                <w:color w:val="000000"/>
                <w:kern w:val="0"/>
                <w:szCs w:val="21"/>
                <w:lang w:bidi="ar"/>
              </w:rPr>
              <w:t>提供软件功能截图）</w:t>
            </w:r>
          </w:p>
        </w:tc>
        <w:tc>
          <w:tcPr>
            <w:tcW w:w="366" w:type="pct"/>
            <w:vMerge w:val="restart"/>
            <w:vAlign w:val="center"/>
          </w:tcPr>
          <w:p w14:paraId="14F5A7E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385" w:type="pct"/>
            <w:vMerge w:val="restart"/>
            <w:vAlign w:val="center"/>
          </w:tcPr>
          <w:p w14:paraId="2F36DF8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r>
      <w:tr w14:paraId="619CF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1125" w:hRule="atLeast"/>
        </w:trPr>
        <w:tc>
          <w:tcPr>
            <w:tcW w:w="359" w:type="pct"/>
            <w:gridSpan w:val="2"/>
            <w:vMerge w:val="continue"/>
            <w:vAlign w:val="center"/>
          </w:tcPr>
          <w:p w14:paraId="70CD0944">
            <w:pPr>
              <w:spacing w:line="360" w:lineRule="auto"/>
              <w:jc w:val="center"/>
              <w:rPr>
                <w:rFonts w:hint="eastAsia" w:ascii="宋体" w:hAnsi="宋体" w:cs="宋体"/>
                <w:color w:val="000000"/>
                <w:szCs w:val="21"/>
              </w:rPr>
            </w:pPr>
          </w:p>
        </w:tc>
        <w:tc>
          <w:tcPr>
            <w:tcW w:w="366" w:type="pct"/>
            <w:gridSpan w:val="2"/>
            <w:vMerge w:val="continue"/>
            <w:vAlign w:val="center"/>
          </w:tcPr>
          <w:p w14:paraId="04E97383">
            <w:pPr>
              <w:spacing w:line="360" w:lineRule="auto"/>
              <w:jc w:val="center"/>
              <w:rPr>
                <w:rFonts w:hint="eastAsia" w:ascii="宋体" w:hAnsi="宋体" w:cs="宋体"/>
                <w:color w:val="000000"/>
                <w:szCs w:val="21"/>
              </w:rPr>
            </w:pPr>
          </w:p>
        </w:tc>
        <w:tc>
          <w:tcPr>
            <w:tcW w:w="569" w:type="pct"/>
            <w:gridSpan w:val="2"/>
            <w:vAlign w:val="center"/>
          </w:tcPr>
          <w:p w14:paraId="0B011B2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身份信息辅助研判</w:t>
            </w:r>
          </w:p>
        </w:tc>
        <w:tc>
          <w:tcPr>
            <w:tcW w:w="2945" w:type="pct"/>
            <w:vAlign w:val="center"/>
          </w:tcPr>
          <w:p w14:paraId="447C0B66">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支持根据手机号、身份证或银行卡号，查询涉案人相关实人信息、支持查询涉案人相关银行卡信息、支持查询涉案人线下交易信息 (近半年)、支持查询涉案人YSF转账交易信息（近半年）、支持查询涉案人YL全网交易信息（近两年，含各机构WX/ZFB交易信息、消费、代付、ATM转账和取现等）支持批量导入涉案卡信息，自动对不同类型场景的涉案卡资金流向进行分析，为研判和打击提供方向、支持批量导入涉案人信息，自动实现涉案人员高消费情况研判。</w:t>
            </w:r>
          </w:p>
        </w:tc>
        <w:tc>
          <w:tcPr>
            <w:tcW w:w="366" w:type="pct"/>
            <w:vMerge w:val="continue"/>
            <w:vAlign w:val="center"/>
          </w:tcPr>
          <w:p w14:paraId="65CE2C88">
            <w:pPr>
              <w:spacing w:line="360" w:lineRule="auto"/>
              <w:jc w:val="center"/>
              <w:rPr>
                <w:rFonts w:hint="eastAsia" w:ascii="宋体" w:hAnsi="宋体" w:cs="宋体"/>
                <w:color w:val="000000"/>
                <w:szCs w:val="21"/>
              </w:rPr>
            </w:pPr>
          </w:p>
        </w:tc>
        <w:tc>
          <w:tcPr>
            <w:tcW w:w="385" w:type="pct"/>
            <w:vMerge w:val="continue"/>
            <w:vAlign w:val="center"/>
          </w:tcPr>
          <w:p w14:paraId="318F4D80">
            <w:pPr>
              <w:spacing w:line="360" w:lineRule="auto"/>
              <w:jc w:val="center"/>
              <w:rPr>
                <w:rFonts w:hint="eastAsia" w:ascii="宋体" w:hAnsi="宋体" w:cs="宋体"/>
                <w:color w:val="000000"/>
                <w:szCs w:val="21"/>
              </w:rPr>
            </w:pPr>
          </w:p>
        </w:tc>
      </w:tr>
      <w:tr w14:paraId="717F6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675" w:hRule="atLeast"/>
        </w:trPr>
        <w:tc>
          <w:tcPr>
            <w:tcW w:w="359" w:type="pct"/>
            <w:gridSpan w:val="2"/>
            <w:vMerge w:val="continue"/>
            <w:vAlign w:val="center"/>
          </w:tcPr>
          <w:p w14:paraId="5DC249DD">
            <w:pPr>
              <w:spacing w:line="360" w:lineRule="auto"/>
              <w:jc w:val="center"/>
              <w:rPr>
                <w:rFonts w:hint="eastAsia" w:ascii="宋体" w:hAnsi="宋体" w:cs="宋体"/>
                <w:color w:val="000000"/>
                <w:szCs w:val="21"/>
              </w:rPr>
            </w:pPr>
          </w:p>
        </w:tc>
        <w:tc>
          <w:tcPr>
            <w:tcW w:w="366" w:type="pct"/>
            <w:gridSpan w:val="2"/>
            <w:vMerge w:val="continue"/>
            <w:vAlign w:val="center"/>
          </w:tcPr>
          <w:p w14:paraId="0198940E">
            <w:pPr>
              <w:spacing w:line="360" w:lineRule="auto"/>
              <w:jc w:val="center"/>
              <w:rPr>
                <w:rFonts w:hint="eastAsia" w:ascii="宋体" w:hAnsi="宋体" w:cs="宋体"/>
                <w:color w:val="000000"/>
                <w:szCs w:val="21"/>
              </w:rPr>
            </w:pPr>
          </w:p>
        </w:tc>
        <w:tc>
          <w:tcPr>
            <w:tcW w:w="569" w:type="pct"/>
            <w:gridSpan w:val="2"/>
            <w:vAlign w:val="center"/>
          </w:tcPr>
          <w:p w14:paraId="55749EB9">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研判工具</w:t>
            </w:r>
          </w:p>
        </w:tc>
        <w:tc>
          <w:tcPr>
            <w:tcW w:w="2945" w:type="pct"/>
            <w:vAlign w:val="center"/>
          </w:tcPr>
          <w:p w14:paraId="75F9FD8A">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根据APP在装用户分析；获得APP画像和定量在装设备通过APP签名证书hash值，帮助拓展目标的同源APP根据设备进行群体分析；可视化展示该群体设备、APP、轨迹等特征的画像自动解析出APP的基本信息，SDK识别，数字签名，权限分析，清单元数据等。</w:t>
            </w:r>
          </w:p>
        </w:tc>
        <w:tc>
          <w:tcPr>
            <w:tcW w:w="366" w:type="pct"/>
            <w:vMerge w:val="continue"/>
            <w:vAlign w:val="center"/>
          </w:tcPr>
          <w:p w14:paraId="128096BD">
            <w:pPr>
              <w:spacing w:line="360" w:lineRule="auto"/>
              <w:jc w:val="center"/>
              <w:rPr>
                <w:rFonts w:hint="eastAsia" w:ascii="宋体" w:hAnsi="宋体" w:cs="宋体"/>
                <w:color w:val="000000"/>
                <w:szCs w:val="21"/>
              </w:rPr>
            </w:pPr>
          </w:p>
        </w:tc>
        <w:tc>
          <w:tcPr>
            <w:tcW w:w="385" w:type="pct"/>
            <w:vMerge w:val="continue"/>
            <w:vAlign w:val="center"/>
          </w:tcPr>
          <w:p w14:paraId="6A239105">
            <w:pPr>
              <w:spacing w:line="360" w:lineRule="auto"/>
              <w:jc w:val="center"/>
              <w:rPr>
                <w:rFonts w:hint="eastAsia" w:ascii="宋体" w:hAnsi="宋体" w:cs="宋体"/>
                <w:color w:val="000000"/>
                <w:szCs w:val="21"/>
              </w:rPr>
            </w:pPr>
          </w:p>
        </w:tc>
      </w:tr>
      <w:tr w14:paraId="79DFC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continue"/>
            <w:vAlign w:val="center"/>
          </w:tcPr>
          <w:p w14:paraId="40B1488C">
            <w:pPr>
              <w:spacing w:line="360" w:lineRule="auto"/>
              <w:jc w:val="center"/>
              <w:rPr>
                <w:rFonts w:hint="eastAsia" w:ascii="宋体" w:hAnsi="宋体" w:cs="宋体"/>
                <w:color w:val="000000"/>
                <w:szCs w:val="21"/>
              </w:rPr>
            </w:pPr>
          </w:p>
        </w:tc>
        <w:tc>
          <w:tcPr>
            <w:tcW w:w="366" w:type="pct"/>
            <w:gridSpan w:val="2"/>
            <w:vMerge w:val="continue"/>
            <w:vAlign w:val="center"/>
          </w:tcPr>
          <w:p w14:paraId="6C390B3B">
            <w:pPr>
              <w:spacing w:line="360" w:lineRule="auto"/>
              <w:jc w:val="center"/>
              <w:rPr>
                <w:rFonts w:hint="eastAsia" w:ascii="宋体" w:hAnsi="宋体" w:cs="宋体"/>
                <w:color w:val="000000"/>
                <w:szCs w:val="21"/>
              </w:rPr>
            </w:pPr>
          </w:p>
        </w:tc>
        <w:tc>
          <w:tcPr>
            <w:tcW w:w="569" w:type="pct"/>
            <w:gridSpan w:val="2"/>
            <w:vAlign w:val="center"/>
          </w:tcPr>
          <w:p w14:paraId="6370D79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智能分析</w:t>
            </w:r>
          </w:p>
        </w:tc>
        <w:tc>
          <w:tcPr>
            <w:tcW w:w="2945" w:type="pct"/>
            <w:vAlign w:val="center"/>
          </w:tcPr>
          <w:p w14:paraId="7B0C5B34">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▲极致易用的涉案app分析工具:一键直达涉案设备、一键直达同案设备、一键直达涉案窝点一键上传设备，根据设备轨迹和连接WiFi自动计算窝点和聚集WiFi。（</w:t>
            </w:r>
            <w:r>
              <w:rPr>
                <w:rFonts w:ascii="宋体" w:hAnsi="宋体" w:cs="宋体"/>
                <w:color w:val="000000"/>
                <w:kern w:val="0"/>
                <w:szCs w:val="21"/>
                <w:lang w:bidi="ar"/>
              </w:rPr>
              <w:t>需</w:t>
            </w:r>
            <w:r>
              <w:rPr>
                <w:rFonts w:hint="eastAsia" w:ascii="宋体" w:hAnsi="宋体" w:cs="宋体"/>
                <w:color w:val="000000"/>
                <w:kern w:val="0"/>
                <w:szCs w:val="21"/>
                <w:lang w:bidi="ar"/>
              </w:rPr>
              <w:t>提供软件功能截图）</w:t>
            </w:r>
          </w:p>
        </w:tc>
        <w:tc>
          <w:tcPr>
            <w:tcW w:w="366" w:type="pct"/>
            <w:vMerge w:val="continue"/>
            <w:vAlign w:val="center"/>
          </w:tcPr>
          <w:p w14:paraId="2413CA6F">
            <w:pPr>
              <w:spacing w:line="360" w:lineRule="auto"/>
              <w:jc w:val="center"/>
              <w:rPr>
                <w:rFonts w:hint="eastAsia" w:ascii="宋体" w:hAnsi="宋体" w:cs="宋体"/>
                <w:color w:val="000000"/>
                <w:szCs w:val="21"/>
              </w:rPr>
            </w:pPr>
          </w:p>
        </w:tc>
        <w:tc>
          <w:tcPr>
            <w:tcW w:w="385" w:type="pct"/>
            <w:vMerge w:val="continue"/>
            <w:vAlign w:val="center"/>
          </w:tcPr>
          <w:p w14:paraId="2649D792">
            <w:pPr>
              <w:spacing w:line="360" w:lineRule="auto"/>
              <w:jc w:val="center"/>
              <w:rPr>
                <w:rFonts w:hint="eastAsia" w:ascii="宋体" w:hAnsi="宋体" w:cs="宋体"/>
                <w:color w:val="000000"/>
                <w:szCs w:val="21"/>
              </w:rPr>
            </w:pPr>
          </w:p>
        </w:tc>
      </w:tr>
      <w:tr w14:paraId="1104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continue"/>
            <w:vAlign w:val="center"/>
          </w:tcPr>
          <w:p w14:paraId="19FA977A">
            <w:pPr>
              <w:spacing w:line="360" w:lineRule="auto"/>
              <w:jc w:val="center"/>
              <w:rPr>
                <w:rFonts w:hint="eastAsia" w:ascii="宋体" w:hAnsi="宋体" w:cs="宋体"/>
                <w:color w:val="000000"/>
                <w:szCs w:val="21"/>
              </w:rPr>
            </w:pPr>
          </w:p>
        </w:tc>
        <w:tc>
          <w:tcPr>
            <w:tcW w:w="366" w:type="pct"/>
            <w:gridSpan w:val="2"/>
            <w:vMerge w:val="continue"/>
            <w:vAlign w:val="center"/>
          </w:tcPr>
          <w:p w14:paraId="3D91D0A7">
            <w:pPr>
              <w:spacing w:line="360" w:lineRule="auto"/>
              <w:jc w:val="center"/>
              <w:rPr>
                <w:rFonts w:hint="eastAsia" w:ascii="宋体" w:hAnsi="宋体" w:cs="宋体"/>
                <w:color w:val="000000"/>
                <w:szCs w:val="21"/>
              </w:rPr>
            </w:pPr>
          </w:p>
        </w:tc>
        <w:tc>
          <w:tcPr>
            <w:tcW w:w="569" w:type="pct"/>
            <w:gridSpan w:val="2"/>
            <w:vAlign w:val="center"/>
          </w:tcPr>
          <w:p w14:paraId="1DFE6C63">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模型分析</w:t>
            </w:r>
          </w:p>
        </w:tc>
        <w:tc>
          <w:tcPr>
            <w:tcW w:w="2945" w:type="pct"/>
            <w:vAlign w:val="center"/>
          </w:tcPr>
          <w:p w14:paraId="4490E403">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可以通过组合APP、围栏、WIiFi连接、系统语言、常驻地等进行建模分析出重要目标对象设备根据业务场景，提供专家服务，拓展情报线索，提取包含但不限于，设备、WiFi、ip等线索数据。</w:t>
            </w:r>
          </w:p>
        </w:tc>
        <w:tc>
          <w:tcPr>
            <w:tcW w:w="366" w:type="pct"/>
            <w:vMerge w:val="continue"/>
            <w:vAlign w:val="center"/>
          </w:tcPr>
          <w:p w14:paraId="05881CF6">
            <w:pPr>
              <w:spacing w:line="360" w:lineRule="auto"/>
              <w:jc w:val="center"/>
              <w:rPr>
                <w:rFonts w:hint="eastAsia" w:ascii="宋体" w:hAnsi="宋体" w:cs="宋体"/>
                <w:color w:val="000000"/>
                <w:szCs w:val="21"/>
              </w:rPr>
            </w:pPr>
          </w:p>
        </w:tc>
        <w:tc>
          <w:tcPr>
            <w:tcW w:w="385" w:type="pct"/>
            <w:vMerge w:val="continue"/>
            <w:vAlign w:val="center"/>
          </w:tcPr>
          <w:p w14:paraId="51CBC2FC">
            <w:pPr>
              <w:spacing w:line="360" w:lineRule="auto"/>
              <w:jc w:val="center"/>
              <w:rPr>
                <w:rFonts w:hint="eastAsia" w:ascii="宋体" w:hAnsi="宋体" w:cs="宋体"/>
                <w:color w:val="000000"/>
                <w:szCs w:val="21"/>
              </w:rPr>
            </w:pPr>
          </w:p>
        </w:tc>
      </w:tr>
      <w:tr w14:paraId="66A8B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restart"/>
            <w:vAlign w:val="center"/>
          </w:tcPr>
          <w:p w14:paraId="68ED358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8</w:t>
            </w:r>
          </w:p>
        </w:tc>
        <w:tc>
          <w:tcPr>
            <w:tcW w:w="366" w:type="pct"/>
            <w:gridSpan w:val="2"/>
            <w:vMerge w:val="restart"/>
            <w:vAlign w:val="center"/>
          </w:tcPr>
          <w:p w14:paraId="6F2A5C7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虚拟货币洗钱追查服务</w:t>
            </w:r>
          </w:p>
        </w:tc>
        <w:tc>
          <w:tcPr>
            <w:tcW w:w="569" w:type="pct"/>
            <w:gridSpan w:val="2"/>
            <w:vAlign w:val="center"/>
          </w:tcPr>
          <w:p w14:paraId="47295F4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场景化办案</w:t>
            </w:r>
          </w:p>
        </w:tc>
        <w:tc>
          <w:tcPr>
            <w:tcW w:w="2945" w:type="pct"/>
            <w:vAlign w:val="center"/>
          </w:tcPr>
          <w:p w14:paraId="1939D761">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提供涉虚拟案件不同场景下实战经验引导，能够支持引导到对应功能模块使用。</w:t>
            </w:r>
          </w:p>
        </w:tc>
        <w:tc>
          <w:tcPr>
            <w:tcW w:w="366" w:type="pct"/>
            <w:vMerge w:val="restart"/>
            <w:vAlign w:val="center"/>
          </w:tcPr>
          <w:p w14:paraId="5B0865E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385" w:type="pct"/>
            <w:vMerge w:val="restart"/>
            <w:vAlign w:val="center"/>
          </w:tcPr>
          <w:p w14:paraId="6C3920B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r>
      <w:tr w14:paraId="5F13F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450" w:hRule="atLeast"/>
        </w:trPr>
        <w:tc>
          <w:tcPr>
            <w:tcW w:w="359" w:type="pct"/>
            <w:gridSpan w:val="2"/>
            <w:vMerge w:val="continue"/>
            <w:vAlign w:val="center"/>
          </w:tcPr>
          <w:p w14:paraId="710A20A5">
            <w:pPr>
              <w:spacing w:line="360" w:lineRule="auto"/>
              <w:jc w:val="center"/>
              <w:rPr>
                <w:rFonts w:hint="eastAsia" w:ascii="宋体" w:hAnsi="宋体" w:cs="宋体"/>
                <w:color w:val="000000"/>
                <w:szCs w:val="21"/>
              </w:rPr>
            </w:pPr>
          </w:p>
        </w:tc>
        <w:tc>
          <w:tcPr>
            <w:tcW w:w="366" w:type="pct"/>
            <w:gridSpan w:val="2"/>
            <w:vMerge w:val="continue"/>
            <w:vAlign w:val="center"/>
          </w:tcPr>
          <w:p w14:paraId="2C934C95">
            <w:pPr>
              <w:spacing w:line="360" w:lineRule="auto"/>
              <w:jc w:val="center"/>
              <w:rPr>
                <w:rFonts w:hint="eastAsia" w:ascii="宋体" w:hAnsi="宋体" w:cs="宋体"/>
                <w:color w:val="000000"/>
                <w:szCs w:val="21"/>
              </w:rPr>
            </w:pPr>
          </w:p>
        </w:tc>
        <w:tc>
          <w:tcPr>
            <w:tcW w:w="569" w:type="pct"/>
            <w:gridSpan w:val="2"/>
            <w:vAlign w:val="center"/>
          </w:tcPr>
          <w:p w14:paraId="29EDC6A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聚合搜索</w:t>
            </w:r>
          </w:p>
        </w:tc>
        <w:tc>
          <w:tcPr>
            <w:tcW w:w="2945" w:type="pct"/>
            <w:vAlign w:val="center"/>
          </w:tcPr>
          <w:p w14:paraId="21EB8675">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▲输入搜索关键词即可快速查询并集中展示链上数据和各类平台公有信息，包括地址信息、交易信息等。（</w:t>
            </w:r>
            <w:r>
              <w:rPr>
                <w:rFonts w:ascii="宋体" w:hAnsi="宋体" w:cs="宋体"/>
                <w:color w:val="000000"/>
                <w:kern w:val="0"/>
                <w:szCs w:val="21"/>
                <w:lang w:bidi="ar"/>
              </w:rPr>
              <w:t>需</w:t>
            </w:r>
            <w:r>
              <w:rPr>
                <w:rFonts w:hint="eastAsia" w:ascii="宋体" w:hAnsi="宋体" w:cs="宋体"/>
                <w:color w:val="000000"/>
                <w:kern w:val="0"/>
                <w:szCs w:val="21"/>
                <w:lang w:bidi="ar"/>
              </w:rPr>
              <w:t>提供软件功能截图）</w:t>
            </w:r>
          </w:p>
        </w:tc>
        <w:tc>
          <w:tcPr>
            <w:tcW w:w="366" w:type="pct"/>
            <w:vMerge w:val="continue"/>
            <w:vAlign w:val="center"/>
          </w:tcPr>
          <w:p w14:paraId="63920567">
            <w:pPr>
              <w:spacing w:line="360" w:lineRule="auto"/>
              <w:jc w:val="center"/>
              <w:rPr>
                <w:rFonts w:hint="eastAsia" w:ascii="宋体" w:hAnsi="宋体" w:cs="宋体"/>
                <w:color w:val="000000"/>
                <w:szCs w:val="21"/>
              </w:rPr>
            </w:pPr>
          </w:p>
        </w:tc>
        <w:tc>
          <w:tcPr>
            <w:tcW w:w="385" w:type="pct"/>
            <w:vMerge w:val="continue"/>
            <w:vAlign w:val="center"/>
          </w:tcPr>
          <w:p w14:paraId="73E62485">
            <w:pPr>
              <w:spacing w:line="360" w:lineRule="auto"/>
              <w:jc w:val="center"/>
              <w:rPr>
                <w:rFonts w:hint="eastAsia" w:ascii="宋体" w:hAnsi="宋体" w:cs="宋体"/>
                <w:color w:val="000000"/>
                <w:szCs w:val="21"/>
              </w:rPr>
            </w:pPr>
          </w:p>
        </w:tc>
      </w:tr>
      <w:tr w14:paraId="1BA6B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1BCE8FCB">
            <w:pPr>
              <w:spacing w:line="360" w:lineRule="auto"/>
              <w:jc w:val="center"/>
              <w:rPr>
                <w:rFonts w:hint="eastAsia" w:ascii="宋体" w:hAnsi="宋体" w:cs="宋体"/>
                <w:color w:val="000000"/>
                <w:szCs w:val="21"/>
              </w:rPr>
            </w:pPr>
          </w:p>
        </w:tc>
        <w:tc>
          <w:tcPr>
            <w:tcW w:w="366" w:type="pct"/>
            <w:gridSpan w:val="2"/>
            <w:vMerge w:val="continue"/>
            <w:vAlign w:val="center"/>
          </w:tcPr>
          <w:p w14:paraId="5E6F1A8A">
            <w:pPr>
              <w:spacing w:line="360" w:lineRule="auto"/>
              <w:jc w:val="center"/>
              <w:rPr>
                <w:rFonts w:hint="eastAsia" w:ascii="宋体" w:hAnsi="宋体" w:cs="宋体"/>
                <w:color w:val="000000"/>
                <w:szCs w:val="21"/>
              </w:rPr>
            </w:pPr>
          </w:p>
        </w:tc>
        <w:tc>
          <w:tcPr>
            <w:tcW w:w="569" w:type="pct"/>
            <w:gridSpan w:val="2"/>
            <w:vAlign w:val="center"/>
          </w:tcPr>
          <w:p w14:paraId="6759F80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案件管理</w:t>
            </w:r>
          </w:p>
        </w:tc>
        <w:tc>
          <w:tcPr>
            <w:tcW w:w="2945" w:type="pct"/>
            <w:vAlign w:val="center"/>
          </w:tcPr>
          <w:p w14:paraId="018CDA7F">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以案件为维度，对案件相关地址研判、交易流水、地址标注、地址监控等研判工作进行汇总管理。</w:t>
            </w:r>
          </w:p>
        </w:tc>
        <w:tc>
          <w:tcPr>
            <w:tcW w:w="366" w:type="pct"/>
            <w:vMerge w:val="continue"/>
            <w:vAlign w:val="center"/>
          </w:tcPr>
          <w:p w14:paraId="13A6E539">
            <w:pPr>
              <w:spacing w:line="360" w:lineRule="auto"/>
              <w:jc w:val="center"/>
              <w:rPr>
                <w:rFonts w:hint="eastAsia" w:ascii="宋体" w:hAnsi="宋体" w:cs="宋体"/>
                <w:color w:val="000000"/>
                <w:szCs w:val="21"/>
              </w:rPr>
            </w:pPr>
          </w:p>
        </w:tc>
        <w:tc>
          <w:tcPr>
            <w:tcW w:w="385" w:type="pct"/>
            <w:vMerge w:val="continue"/>
            <w:vAlign w:val="center"/>
          </w:tcPr>
          <w:p w14:paraId="04B48032">
            <w:pPr>
              <w:spacing w:line="360" w:lineRule="auto"/>
              <w:jc w:val="center"/>
              <w:rPr>
                <w:rFonts w:hint="eastAsia" w:ascii="宋体" w:hAnsi="宋体" w:cs="宋体"/>
                <w:color w:val="000000"/>
                <w:szCs w:val="21"/>
              </w:rPr>
            </w:pPr>
          </w:p>
        </w:tc>
      </w:tr>
      <w:tr w14:paraId="5941B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66CFAD1A">
            <w:pPr>
              <w:spacing w:line="360" w:lineRule="auto"/>
              <w:jc w:val="center"/>
              <w:rPr>
                <w:rFonts w:hint="eastAsia" w:ascii="宋体" w:hAnsi="宋体" w:cs="宋体"/>
                <w:color w:val="000000"/>
                <w:szCs w:val="21"/>
              </w:rPr>
            </w:pPr>
          </w:p>
        </w:tc>
        <w:tc>
          <w:tcPr>
            <w:tcW w:w="366" w:type="pct"/>
            <w:gridSpan w:val="2"/>
            <w:vMerge w:val="continue"/>
            <w:vAlign w:val="center"/>
          </w:tcPr>
          <w:p w14:paraId="4830BBC3">
            <w:pPr>
              <w:spacing w:line="360" w:lineRule="auto"/>
              <w:jc w:val="center"/>
              <w:rPr>
                <w:rFonts w:hint="eastAsia" w:ascii="宋体" w:hAnsi="宋体" w:cs="宋体"/>
                <w:color w:val="000000"/>
                <w:szCs w:val="21"/>
              </w:rPr>
            </w:pPr>
          </w:p>
        </w:tc>
        <w:tc>
          <w:tcPr>
            <w:tcW w:w="569" w:type="pct"/>
            <w:gridSpan w:val="2"/>
            <w:vAlign w:val="center"/>
          </w:tcPr>
          <w:p w14:paraId="10A00CF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模型库</w:t>
            </w:r>
          </w:p>
        </w:tc>
        <w:tc>
          <w:tcPr>
            <w:tcW w:w="2945" w:type="pct"/>
            <w:vAlign w:val="center"/>
          </w:tcPr>
          <w:p w14:paraId="671F4E5A">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包括传销模型、涉毒模型、一键调证模型、地址关联模型、地址研判等。</w:t>
            </w:r>
          </w:p>
        </w:tc>
        <w:tc>
          <w:tcPr>
            <w:tcW w:w="366" w:type="pct"/>
            <w:vMerge w:val="continue"/>
            <w:vAlign w:val="center"/>
          </w:tcPr>
          <w:p w14:paraId="370DC9FB">
            <w:pPr>
              <w:spacing w:line="360" w:lineRule="auto"/>
              <w:jc w:val="center"/>
              <w:rPr>
                <w:rFonts w:hint="eastAsia" w:ascii="宋体" w:hAnsi="宋体" w:cs="宋体"/>
                <w:color w:val="000000"/>
                <w:szCs w:val="21"/>
              </w:rPr>
            </w:pPr>
          </w:p>
        </w:tc>
        <w:tc>
          <w:tcPr>
            <w:tcW w:w="385" w:type="pct"/>
            <w:vMerge w:val="continue"/>
            <w:vAlign w:val="center"/>
          </w:tcPr>
          <w:p w14:paraId="270A829E">
            <w:pPr>
              <w:spacing w:line="360" w:lineRule="auto"/>
              <w:jc w:val="center"/>
              <w:rPr>
                <w:rFonts w:hint="eastAsia" w:ascii="宋体" w:hAnsi="宋体" w:cs="宋体"/>
                <w:color w:val="000000"/>
                <w:szCs w:val="21"/>
              </w:rPr>
            </w:pPr>
          </w:p>
        </w:tc>
      </w:tr>
      <w:tr w14:paraId="0F992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restart"/>
            <w:vAlign w:val="center"/>
          </w:tcPr>
          <w:p w14:paraId="494EC1F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9</w:t>
            </w:r>
          </w:p>
        </w:tc>
        <w:tc>
          <w:tcPr>
            <w:tcW w:w="366" w:type="pct"/>
            <w:gridSpan w:val="2"/>
            <w:vMerge w:val="restart"/>
            <w:vAlign w:val="center"/>
          </w:tcPr>
          <w:p w14:paraId="6D73E98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嫌疑人活动轨迹研判服务</w:t>
            </w:r>
          </w:p>
        </w:tc>
        <w:tc>
          <w:tcPr>
            <w:tcW w:w="569" w:type="pct"/>
            <w:gridSpan w:val="2"/>
            <w:vAlign w:val="center"/>
          </w:tcPr>
          <w:p w14:paraId="12D4021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全息画像</w:t>
            </w:r>
          </w:p>
        </w:tc>
        <w:tc>
          <w:tcPr>
            <w:tcW w:w="2945" w:type="pct"/>
            <w:vAlign w:val="center"/>
          </w:tcPr>
          <w:p w14:paraId="6A602E66">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▲针对设备的基础信息进行查询，通过对线上数据的分析，建立人员的全息档案画像。（</w:t>
            </w:r>
            <w:r>
              <w:rPr>
                <w:rFonts w:ascii="宋体" w:hAnsi="宋体" w:cs="宋体"/>
                <w:color w:val="000000"/>
                <w:kern w:val="0"/>
                <w:szCs w:val="21"/>
                <w:lang w:bidi="ar"/>
              </w:rPr>
              <w:t>需</w:t>
            </w:r>
            <w:r>
              <w:rPr>
                <w:rFonts w:hint="eastAsia" w:ascii="宋体" w:hAnsi="宋体" w:cs="宋体"/>
                <w:color w:val="000000"/>
                <w:kern w:val="0"/>
                <w:szCs w:val="21"/>
                <w:lang w:bidi="ar"/>
              </w:rPr>
              <w:t>提供软件功能截图）</w:t>
            </w:r>
          </w:p>
        </w:tc>
        <w:tc>
          <w:tcPr>
            <w:tcW w:w="366" w:type="pct"/>
            <w:vMerge w:val="restart"/>
            <w:vAlign w:val="center"/>
          </w:tcPr>
          <w:p w14:paraId="06E0F24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385" w:type="pct"/>
            <w:vMerge w:val="restart"/>
            <w:vAlign w:val="center"/>
          </w:tcPr>
          <w:p w14:paraId="7EBC0F0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r>
      <w:tr w14:paraId="344B4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 w:type="pct"/>
          <w:trHeight w:val="285" w:hRule="atLeast"/>
        </w:trPr>
        <w:tc>
          <w:tcPr>
            <w:tcW w:w="359" w:type="pct"/>
            <w:gridSpan w:val="2"/>
            <w:vMerge w:val="continue"/>
            <w:vAlign w:val="center"/>
          </w:tcPr>
          <w:p w14:paraId="00D194D1">
            <w:pPr>
              <w:spacing w:line="360" w:lineRule="auto"/>
              <w:jc w:val="center"/>
              <w:rPr>
                <w:rFonts w:hint="eastAsia" w:ascii="宋体" w:hAnsi="宋体" w:cs="宋体"/>
                <w:color w:val="000000"/>
                <w:szCs w:val="21"/>
              </w:rPr>
            </w:pPr>
          </w:p>
        </w:tc>
        <w:tc>
          <w:tcPr>
            <w:tcW w:w="366" w:type="pct"/>
            <w:gridSpan w:val="2"/>
            <w:vMerge w:val="continue"/>
            <w:vAlign w:val="center"/>
          </w:tcPr>
          <w:p w14:paraId="0346B6C0">
            <w:pPr>
              <w:spacing w:line="360" w:lineRule="auto"/>
              <w:jc w:val="center"/>
              <w:rPr>
                <w:rFonts w:hint="eastAsia" w:ascii="宋体" w:hAnsi="宋体" w:cs="宋体"/>
                <w:color w:val="000000"/>
                <w:szCs w:val="21"/>
              </w:rPr>
            </w:pPr>
          </w:p>
        </w:tc>
        <w:tc>
          <w:tcPr>
            <w:tcW w:w="569" w:type="pct"/>
            <w:gridSpan w:val="2"/>
            <w:vAlign w:val="center"/>
          </w:tcPr>
          <w:p w14:paraId="4ADD864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空间提数</w:t>
            </w:r>
          </w:p>
        </w:tc>
        <w:tc>
          <w:tcPr>
            <w:tcW w:w="2945" w:type="pct"/>
            <w:vAlign w:val="center"/>
          </w:tcPr>
          <w:p w14:paraId="2F75C678">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针对输入基站号、wifi，可对指定时间内连接指定基站的设备进行查询筛选，查询连接设备信息。</w:t>
            </w:r>
          </w:p>
        </w:tc>
        <w:tc>
          <w:tcPr>
            <w:tcW w:w="366" w:type="pct"/>
            <w:vMerge w:val="continue"/>
            <w:vAlign w:val="center"/>
          </w:tcPr>
          <w:p w14:paraId="544BC54E">
            <w:pPr>
              <w:spacing w:line="360" w:lineRule="auto"/>
              <w:jc w:val="center"/>
              <w:rPr>
                <w:rFonts w:hint="eastAsia" w:ascii="宋体" w:hAnsi="宋体" w:cs="宋体"/>
                <w:color w:val="000000"/>
                <w:szCs w:val="21"/>
              </w:rPr>
            </w:pPr>
          </w:p>
        </w:tc>
        <w:tc>
          <w:tcPr>
            <w:tcW w:w="385" w:type="pct"/>
            <w:vMerge w:val="continue"/>
            <w:vAlign w:val="center"/>
          </w:tcPr>
          <w:p w14:paraId="79DD27C2">
            <w:pPr>
              <w:spacing w:line="360" w:lineRule="auto"/>
              <w:jc w:val="center"/>
              <w:rPr>
                <w:rFonts w:hint="eastAsia" w:ascii="宋体" w:hAnsi="宋体" w:cs="宋体"/>
                <w:color w:val="000000"/>
                <w:szCs w:val="21"/>
              </w:rPr>
            </w:pPr>
          </w:p>
        </w:tc>
      </w:tr>
      <w:tr w14:paraId="7E4DB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trHeight w:val="285" w:hRule="atLeast"/>
        </w:trPr>
        <w:tc>
          <w:tcPr>
            <w:tcW w:w="4241" w:type="pct"/>
            <w:gridSpan w:val="7"/>
            <w:vAlign w:val="center"/>
          </w:tcPr>
          <w:p w14:paraId="474799FD">
            <w:pPr>
              <w:widowControl/>
              <w:spacing w:line="360" w:lineRule="auto"/>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二、硬件设备</w:t>
            </w:r>
          </w:p>
        </w:tc>
        <w:tc>
          <w:tcPr>
            <w:tcW w:w="366" w:type="pct"/>
            <w:vAlign w:val="center"/>
          </w:tcPr>
          <w:p w14:paraId="20EB4D4A">
            <w:pPr>
              <w:widowControl/>
              <w:spacing w:line="360" w:lineRule="auto"/>
              <w:jc w:val="center"/>
              <w:textAlignment w:val="center"/>
              <w:rPr>
                <w:rFonts w:hint="eastAsia" w:ascii="宋体" w:hAnsi="宋体" w:cs="宋体"/>
                <w:b/>
                <w:bCs/>
                <w:color w:val="000000"/>
                <w:kern w:val="0"/>
                <w:szCs w:val="21"/>
                <w:lang w:bidi="ar"/>
              </w:rPr>
            </w:pPr>
          </w:p>
        </w:tc>
        <w:tc>
          <w:tcPr>
            <w:tcW w:w="389" w:type="pct"/>
            <w:gridSpan w:val="2"/>
            <w:vAlign w:val="center"/>
          </w:tcPr>
          <w:p w14:paraId="7E00C335">
            <w:pPr>
              <w:widowControl/>
              <w:spacing w:line="360" w:lineRule="auto"/>
              <w:jc w:val="center"/>
              <w:textAlignment w:val="center"/>
              <w:rPr>
                <w:rFonts w:hint="eastAsia" w:ascii="宋体" w:hAnsi="宋体" w:cs="宋体"/>
                <w:b/>
                <w:bCs/>
                <w:color w:val="000000"/>
                <w:kern w:val="0"/>
                <w:szCs w:val="21"/>
                <w:lang w:bidi="ar"/>
              </w:rPr>
            </w:pPr>
          </w:p>
        </w:tc>
      </w:tr>
      <w:tr w14:paraId="664A2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trHeight w:val="285" w:hRule="atLeast"/>
        </w:trPr>
        <w:tc>
          <w:tcPr>
            <w:tcW w:w="359" w:type="pct"/>
            <w:gridSpan w:val="2"/>
            <w:vAlign w:val="center"/>
          </w:tcPr>
          <w:p w14:paraId="05C00855">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序号</w:t>
            </w:r>
          </w:p>
        </w:tc>
        <w:tc>
          <w:tcPr>
            <w:tcW w:w="366" w:type="pct"/>
            <w:gridSpan w:val="2"/>
            <w:vAlign w:val="center"/>
          </w:tcPr>
          <w:p w14:paraId="330C4C11">
            <w:pPr>
              <w:widowControl/>
              <w:spacing w:line="360" w:lineRule="auto"/>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设备</w:t>
            </w:r>
          </w:p>
          <w:p w14:paraId="79CF01F0">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名称</w:t>
            </w:r>
          </w:p>
        </w:tc>
        <w:tc>
          <w:tcPr>
            <w:tcW w:w="3514" w:type="pct"/>
            <w:gridSpan w:val="3"/>
            <w:vAlign w:val="center"/>
          </w:tcPr>
          <w:p w14:paraId="158A4542">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技术要求</w:t>
            </w:r>
          </w:p>
        </w:tc>
        <w:tc>
          <w:tcPr>
            <w:tcW w:w="366" w:type="pct"/>
            <w:vAlign w:val="center"/>
          </w:tcPr>
          <w:p w14:paraId="748FAC32">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单位</w:t>
            </w:r>
          </w:p>
        </w:tc>
        <w:tc>
          <w:tcPr>
            <w:tcW w:w="389" w:type="pct"/>
            <w:gridSpan w:val="2"/>
            <w:vAlign w:val="center"/>
          </w:tcPr>
          <w:p w14:paraId="46CDF559">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数量</w:t>
            </w:r>
          </w:p>
        </w:tc>
      </w:tr>
      <w:tr w14:paraId="50FE7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trHeight w:val="2400" w:hRule="atLeast"/>
        </w:trPr>
        <w:tc>
          <w:tcPr>
            <w:tcW w:w="359" w:type="pct"/>
            <w:gridSpan w:val="2"/>
            <w:vAlign w:val="center"/>
          </w:tcPr>
          <w:p w14:paraId="4519D00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366" w:type="pct"/>
            <w:gridSpan w:val="2"/>
            <w:vAlign w:val="center"/>
          </w:tcPr>
          <w:p w14:paraId="0A4D91D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一体化综合取证设备</w:t>
            </w:r>
          </w:p>
        </w:tc>
        <w:tc>
          <w:tcPr>
            <w:tcW w:w="3514" w:type="pct"/>
            <w:gridSpan w:val="3"/>
            <w:vAlign w:val="center"/>
          </w:tcPr>
          <w:p w14:paraId="43AD2D35">
            <w:pPr>
              <w:widowControl/>
              <w:spacing w:line="360" w:lineRule="auto"/>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一体化综合取证设备融合多路手机取证系统、云取证、介质取证系统、计算机仿真系统、物画像分析系统等功能于一体，高性能、多功能、全方位的综合性一体化取证设备。产品采用模块化议计，将并行提取、人工智能 技术与取证桌融为一体，支持一键完成取证分析、数据固定、报告生成等工作，单台设备即可满足全流程自动化取证工作的需求。</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硬件参数要求：</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1.主机配置（1台）：CPU：不低于24核内存：不少于64G系统盘：不少于1TB SSD存储盘：不少于16T SATA网卡：不低于万兆网卡</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2.副机配置（1台）：CPU：双核处理器*7内存：不少于8GB*7存储盘：不少于512GB(SSD)*7</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3.桌体配置:取证桌桌体 *1多功能只读锁*1（支持SATA、USB、IDE、和各类存储卡）桌面独立供电读写USB3.0*12桌面 3.5寸SAS/SATA只读热拔插硬盘位 *4桌面 3.5寸SAS/SATA读写热拔插硬盘位 *4桌面身份证读卡器*1桌面银行卡读卡器*1（支持IC芯片、磁条、NFC 三种银行卡）桌面三合一SIM卡读卡器*1桌面指纹识别器*1蓝光DVD刻录机 *1高拍仪*1键鼠*1显示器：分辨率不低于3440X1440 34寸曲面*2，分辨率不低于1920*1080 11.6寸触控屏*1</w:t>
            </w:r>
          </w:p>
          <w:p w14:paraId="5CE129B7">
            <w:pPr>
              <w:widowControl/>
              <w:spacing w:line="360" w:lineRule="auto"/>
              <w:jc w:val="left"/>
              <w:textAlignment w:val="center"/>
              <w:rPr>
                <w:rFonts w:hint="eastAsia" w:ascii="宋体" w:hAnsi="宋体" w:cs="宋体"/>
                <w:color w:val="000000"/>
                <w:szCs w:val="21"/>
              </w:rPr>
            </w:pPr>
            <w:r>
              <w:rPr>
                <w:rFonts w:hint="eastAsia" w:ascii="宋体" w:hAnsi="宋体" w:cs="宋体"/>
                <w:sz w:val="24"/>
              </w:rPr>
              <w:t>▲</w:t>
            </w:r>
            <w:commentRangeStart w:id="0"/>
            <w:r>
              <w:rPr>
                <w:rFonts w:ascii="宋体" w:hAnsi="宋体" w:cs="宋体"/>
                <w:color w:val="000000"/>
                <w:kern w:val="0"/>
                <w:szCs w:val="21"/>
                <w:lang w:bidi="ar"/>
              </w:rPr>
              <w:t>需提供所投产品的原厂授权并加盖原厂公章。</w:t>
            </w:r>
            <w:commentRangeEnd w:id="0"/>
            <w:r>
              <w:rPr>
                <w:rStyle w:val="23"/>
                <w:rFonts w:hint="eastAsia" w:ascii="宋体" w:hAnsi="宋体" w:cs="宋体"/>
                <w:color w:val="000000"/>
              </w:rPr>
              <w:commentReference w:id="0"/>
            </w:r>
          </w:p>
        </w:tc>
        <w:tc>
          <w:tcPr>
            <w:tcW w:w="366" w:type="pct"/>
            <w:vAlign w:val="center"/>
          </w:tcPr>
          <w:p w14:paraId="450A434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c>
          <w:tcPr>
            <w:tcW w:w="389" w:type="pct"/>
            <w:gridSpan w:val="2"/>
            <w:vAlign w:val="center"/>
          </w:tcPr>
          <w:p w14:paraId="35C4911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5F9E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trHeight w:val="1200" w:hRule="atLeast"/>
        </w:trPr>
        <w:tc>
          <w:tcPr>
            <w:tcW w:w="359" w:type="pct"/>
            <w:gridSpan w:val="2"/>
            <w:vAlign w:val="center"/>
          </w:tcPr>
          <w:p w14:paraId="4D32651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c>
          <w:tcPr>
            <w:tcW w:w="366" w:type="pct"/>
            <w:gridSpan w:val="2"/>
            <w:vAlign w:val="center"/>
          </w:tcPr>
          <w:p w14:paraId="215CE0B9">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电子数据现场勘查取证设备</w:t>
            </w:r>
          </w:p>
        </w:tc>
        <w:tc>
          <w:tcPr>
            <w:tcW w:w="3514" w:type="pct"/>
            <w:gridSpan w:val="3"/>
            <w:vAlign w:val="center"/>
          </w:tcPr>
          <w:p w14:paraId="418AAB33">
            <w:pPr>
              <w:widowControl/>
              <w:spacing w:line="360" w:lineRule="auto"/>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电子数据现场勘查取证设备支持案件现场电子数据取证的多功能设备。主要集成了包括支持案件现场计算机取证、硬盘复制、手机取证分析、系统仿真、汽车娱乐导航系统取证、路由器等物联网设备取证、视频采集、快速分析等功能，高效、便携。</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硬件参数要求：显示器：11.6英寸电容触控显示屏CPU：≥20核内存：≥32GB硬盘：≥系统盘SSD 2TB配置1个SATA/SAS硬盘只读仓、1个SATA/SAS硬盘读写仓配置1个USB3.0只读接口，3个手机取证专用USB接口，1个路由器专用USB口，3个普通USB3.0读写口，1个USB3.1 Type-C接口，1个M.2接口，1个万兆网口和千兆网口，1个HDMI显示接口</w:t>
            </w:r>
          </w:p>
          <w:p w14:paraId="0325E9FC">
            <w:pPr>
              <w:widowControl/>
              <w:spacing w:line="360" w:lineRule="auto"/>
              <w:jc w:val="left"/>
              <w:textAlignment w:val="center"/>
              <w:rPr>
                <w:rFonts w:hint="eastAsia" w:ascii="宋体" w:hAnsi="宋体" w:cs="宋体"/>
                <w:color w:val="000000"/>
                <w:szCs w:val="21"/>
              </w:rPr>
            </w:pPr>
            <w:r>
              <w:rPr>
                <w:rFonts w:ascii="宋体" w:hAnsi="宋体" w:cs="宋体"/>
                <w:color w:val="000000"/>
                <w:kern w:val="0"/>
                <w:szCs w:val="21"/>
                <w:lang w:bidi="ar"/>
              </w:rPr>
              <w:t>▲需提供所投产品的原厂授权并加盖原厂公章。</w:t>
            </w:r>
          </w:p>
        </w:tc>
        <w:tc>
          <w:tcPr>
            <w:tcW w:w="366" w:type="pct"/>
            <w:vAlign w:val="center"/>
          </w:tcPr>
          <w:p w14:paraId="608E14A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台</w:t>
            </w:r>
          </w:p>
        </w:tc>
        <w:tc>
          <w:tcPr>
            <w:tcW w:w="389" w:type="pct"/>
            <w:gridSpan w:val="2"/>
            <w:vAlign w:val="center"/>
          </w:tcPr>
          <w:p w14:paraId="45BC308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4D7DA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trHeight w:val="2160" w:hRule="atLeast"/>
        </w:trPr>
        <w:tc>
          <w:tcPr>
            <w:tcW w:w="359" w:type="pct"/>
            <w:gridSpan w:val="2"/>
            <w:vMerge w:val="restart"/>
            <w:vAlign w:val="center"/>
          </w:tcPr>
          <w:p w14:paraId="60063C2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366" w:type="pct"/>
            <w:gridSpan w:val="2"/>
            <w:vMerge w:val="restart"/>
            <w:vAlign w:val="center"/>
          </w:tcPr>
          <w:p w14:paraId="6A3E23D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智能声纹综合数据处理设备</w:t>
            </w:r>
          </w:p>
        </w:tc>
        <w:tc>
          <w:tcPr>
            <w:tcW w:w="3514" w:type="pct"/>
            <w:gridSpan w:val="3"/>
            <w:vAlign w:val="center"/>
          </w:tcPr>
          <w:p w14:paraId="6CF2DFFA">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1.声纹专用计算平台CPU: 配置1颗国产CPU，每颗CPU物理核心数≥8核，每颗CPU主频≥2.8GHz，每颗CPU三级缓存≥16MB，支持超线程技术，线程数量≥16内存：64GB硬盘：1T显卡：2GB独立显卡接口：USB3.0 8个，HDMI VGA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2.网络接口操作系统：国产桌面操作系统屏幕规格：≥15寸，16:9 比例，1920x1080分辨率；专业音频声卡频响范围：20Hz-22000Hz动态范围：≥100dB可调增益：≥50dB2.多源数据处理:系统支持语音质量检测、声道分离、有效音提取、语音分离、声纹聚类、语音合并、智能降噪、频谱降噪、语音增益、一键处理、流程化处理能力。</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3.与部省级声纹数据库系统双向传输:与声纹库对接，获取声纹库案件数据、案件展示、提交案件、优化检材比对、语音快速比对功能。</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其他功能:支持语音背景噪声分析、变声还原分析、波形叠加分析功能。5.声纹比对及鉴定:长期提供技术及软件支持声纹比对鉴定工作，包含共振峰提取、共振峰参数设置、LPC曲线绘制、LPC实时窗口叠加和偏差比例计算功能;支持FFT、LPC、FFT+LPC三种谱分析类型计算、支持音素测量比对功能、支持1:1、1:N、N:N 等多种声纹比对功能。</w:t>
            </w:r>
          </w:p>
        </w:tc>
        <w:tc>
          <w:tcPr>
            <w:tcW w:w="366" w:type="pct"/>
            <w:vAlign w:val="center"/>
          </w:tcPr>
          <w:p w14:paraId="3C875BF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c>
          <w:tcPr>
            <w:tcW w:w="389" w:type="pct"/>
            <w:gridSpan w:val="2"/>
            <w:vAlign w:val="center"/>
          </w:tcPr>
          <w:p w14:paraId="2FE05DD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60EAB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trHeight w:val="285" w:hRule="atLeast"/>
        </w:trPr>
        <w:tc>
          <w:tcPr>
            <w:tcW w:w="359" w:type="pct"/>
            <w:gridSpan w:val="2"/>
            <w:vMerge w:val="continue"/>
            <w:vAlign w:val="center"/>
          </w:tcPr>
          <w:p w14:paraId="691C8030">
            <w:pPr>
              <w:spacing w:line="360" w:lineRule="auto"/>
              <w:jc w:val="center"/>
              <w:rPr>
                <w:rFonts w:hint="eastAsia" w:ascii="宋体" w:hAnsi="宋体" w:cs="宋体"/>
                <w:color w:val="000000"/>
                <w:szCs w:val="21"/>
              </w:rPr>
            </w:pPr>
          </w:p>
        </w:tc>
        <w:tc>
          <w:tcPr>
            <w:tcW w:w="366" w:type="pct"/>
            <w:gridSpan w:val="2"/>
            <w:vMerge w:val="continue"/>
            <w:vAlign w:val="center"/>
          </w:tcPr>
          <w:p w14:paraId="056E9D0A">
            <w:pPr>
              <w:spacing w:line="360" w:lineRule="auto"/>
              <w:jc w:val="center"/>
              <w:rPr>
                <w:rFonts w:hint="eastAsia" w:ascii="宋体" w:hAnsi="宋体" w:cs="宋体"/>
                <w:color w:val="000000"/>
                <w:szCs w:val="21"/>
              </w:rPr>
            </w:pPr>
          </w:p>
        </w:tc>
        <w:tc>
          <w:tcPr>
            <w:tcW w:w="3514" w:type="pct"/>
            <w:gridSpan w:val="3"/>
            <w:vAlign w:val="center"/>
          </w:tcPr>
          <w:p w14:paraId="7F8B35D0">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专用监听耳机频响范围：10Hz-36kHz声压：≥95dB</w:t>
            </w:r>
          </w:p>
        </w:tc>
        <w:tc>
          <w:tcPr>
            <w:tcW w:w="366" w:type="pct"/>
            <w:vAlign w:val="center"/>
          </w:tcPr>
          <w:p w14:paraId="1A9C5AB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只</w:t>
            </w:r>
          </w:p>
        </w:tc>
        <w:tc>
          <w:tcPr>
            <w:tcW w:w="389" w:type="pct"/>
            <w:gridSpan w:val="2"/>
            <w:vAlign w:val="center"/>
          </w:tcPr>
          <w:p w14:paraId="7B50AC3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r>
      <w:tr w14:paraId="58127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trHeight w:val="285" w:hRule="atLeast"/>
        </w:trPr>
        <w:tc>
          <w:tcPr>
            <w:tcW w:w="359" w:type="pct"/>
            <w:gridSpan w:val="2"/>
            <w:vMerge w:val="continue"/>
            <w:vAlign w:val="center"/>
          </w:tcPr>
          <w:p w14:paraId="2775CE7F">
            <w:pPr>
              <w:spacing w:line="360" w:lineRule="auto"/>
              <w:jc w:val="center"/>
              <w:rPr>
                <w:rFonts w:hint="eastAsia" w:ascii="宋体" w:hAnsi="宋体" w:cs="宋体"/>
                <w:color w:val="000000"/>
                <w:szCs w:val="21"/>
              </w:rPr>
            </w:pPr>
          </w:p>
        </w:tc>
        <w:tc>
          <w:tcPr>
            <w:tcW w:w="366" w:type="pct"/>
            <w:gridSpan w:val="2"/>
            <w:vMerge w:val="continue"/>
            <w:vAlign w:val="center"/>
          </w:tcPr>
          <w:p w14:paraId="6D7F96EE">
            <w:pPr>
              <w:spacing w:line="360" w:lineRule="auto"/>
              <w:jc w:val="center"/>
              <w:rPr>
                <w:rFonts w:hint="eastAsia" w:ascii="宋体" w:hAnsi="宋体" w:cs="宋体"/>
                <w:color w:val="000000"/>
                <w:szCs w:val="21"/>
              </w:rPr>
            </w:pPr>
          </w:p>
        </w:tc>
        <w:tc>
          <w:tcPr>
            <w:tcW w:w="3514" w:type="pct"/>
            <w:gridSpan w:val="3"/>
            <w:vAlign w:val="center"/>
          </w:tcPr>
          <w:p w14:paraId="52CE1C86">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电容式麦克风灵敏度：-38dB±3dB频响范围：20Hz-20000Hz</w:t>
            </w:r>
          </w:p>
        </w:tc>
        <w:tc>
          <w:tcPr>
            <w:tcW w:w="366" w:type="pct"/>
            <w:vAlign w:val="center"/>
          </w:tcPr>
          <w:p w14:paraId="4829287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只</w:t>
            </w:r>
          </w:p>
        </w:tc>
        <w:tc>
          <w:tcPr>
            <w:tcW w:w="389" w:type="pct"/>
            <w:gridSpan w:val="2"/>
            <w:vAlign w:val="center"/>
          </w:tcPr>
          <w:p w14:paraId="6E01D9E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r>
      <w:tr w14:paraId="3BAD4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trHeight w:val="480" w:hRule="atLeast"/>
        </w:trPr>
        <w:tc>
          <w:tcPr>
            <w:tcW w:w="359" w:type="pct"/>
            <w:gridSpan w:val="2"/>
            <w:vMerge w:val="continue"/>
            <w:vAlign w:val="center"/>
          </w:tcPr>
          <w:p w14:paraId="58C3EDFC">
            <w:pPr>
              <w:spacing w:line="360" w:lineRule="auto"/>
              <w:jc w:val="center"/>
              <w:rPr>
                <w:rFonts w:hint="eastAsia" w:ascii="宋体" w:hAnsi="宋体" w:cs="宋体"/>
                <w:color w:val="000000"/>
                <w:szCs w:val="21"/>
              </w:rPr>
            </w:pPr>
          </w:p>
        </w:tc>
        <w:tc>
          <w:tcPr>
            <w:tcW w:w="366" w:type="pct"/>
            <w:gridSpan w:val="2"/>
            <w:vMerge w:val="continue"/>
            <w:vAlign w:val="center"/>
          </w:tcPr>
          <w:p w14:paraId="6F8DD2C8">
            <w:pPr>
              <w:spacing w:line="360" w:lineRule="auto"/>
              <w:jc w:val="center"/>
              <w:rPr>
                <w:rFonts w:hint="eastAsia" w:ascii="宋体" w:hAnsi="宋体" w:cs="宋体"/>
                <w:color w:val="000000"/>
                <w:szCs w:val="21"/>
              </w:rPr>
            </w:pPr>
          </w:p>
        </w:tc>
        <w:tc>
          <w:tcPr>
            <w:tcW w:w="3514" w:type="pct"/>
            <w:gridSpan w:val="3"/>
            <w:vAlign w:val="center"/>
          </w:tcPr>
          <w:p w14:paraId="2EDC34A0">
            <w:pPr>
              <w:widowControl/>
              <w:spacing w:line="360" w:lineRule="auto"/>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声纹鉴定工作站主机设备CPU: ≥4核 GHz内存：≥128GB硬盘：≥1T显卡：≥2GB独立显卡接口：USB3.0 8个，HDMI VGA  网络接口操作系统：国产操作系统</w:t>
            </w:r>
          </w:p>
        </w:tc>
        <w:tc>
          <w:tcPr>
            <w:tcW w:w="366" w:type="pct"/>
            <w:vAlign w:val="center"/>
          </w:tcPr>
          <w:p w14:paraId="50DB9C3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台</w:t>
            </w:r>
          </w:p>
        </w:tc>
        <w:tc>
          <w:tcPr>
            <w:tcW w:w="389" w:type="pct"/>
            <w:gridSpan w:val="2"/>
            <w:vAlign w:val="center"/>
          </w:tcPr>
          <w:p w14:paraId="1405C04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117DB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trHeight w:val="285" w:hRule="atLeast"/>
        </w:trPr>
        <w:tc>
          <w:tcPr>
            <w:tcW w:w="359" w:type="pct"/>
            <w:gridSpan w:val="2"/>
            <w:vMerge w:val="continue"/>
            <w:vAlign w:val="center"/>
          </w:tcPr>
          <w:p w14:paraId="0279E068">
            <w:pPr>
              <w:spacing w:line="360" w:lineRule="auto"/>
              <w:jc w:val="center"/>
              <w:rPr>
                <w:rFonts w:hint="eastAsia" w:ascii="宋体" w:hAnsi="宋体" w:cs="宋体"/>
                <w:color w:val="000000"/>
                <w:szCs w:val="21"/>
              </w:rPr>
            </w:pPr>
          </w:p>
        </w:tc>
        <w:tc>
          <w:tcPr>
            <w:tcW w:w="366" w:type="pct"/>
            <w:gridSpan w:val="2"/>
            <w:vMerge w:val="continue"/>
            <w:vAlign w:val="center"/>
          </w:tcPr>
          <w:p w14:paraId="18A299D3">
            <w:pPr>
              <w:spacing w:line="360" w:lineRule="auto"/>
              <w:jc w:val="center"/>
              <w:rPr>
                <w:rFonts w:hint="eastAsia" w:ascii="宋体" w:hAnsi="宋体" w:cs="宋体"/>
                <w:color w:val="000000"/>
                <w:szCs w:val="21"/>
              </w:rPr>
            </w:pPr>
          </w:p>
        </w:tc>
        <w:tc>
          <w:tcPr>
            <w:tcW w:w="3514" w:type="pct"/>
            <w:gridSpan w:val="3"/>
            <w:vAlign w:val="center"/>
          </w:tcPr>
          <w:p w14:paraId="30F3F54B">
            <w:pPr>
              <w:widowControl/>
              <w:spacing w:line="360" w:lineRule="auto"/>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声纹专用显示设备显示技术：LED分辨率：1920*1080刷新率：60HzVGA接口：1HDMI接口：1尺寸：23.8英寸</w:t>
            </w:r>
          </w:p>
        </w:tc>
        <w:tc>
          <w:tcPr>
            <w:tcW w:w="366" w:type="pct"/>
            <w:vAlign w:val="center"/>
          </w:tcPr>
          <w:p w14:paraId="1A160D39">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台</w:t>
            </w:r>
          </w:p>
        </w:tc>
        <w:tc>
          <w:tcPr>
            <w:tcW w:w="389" w:type="pct"/>
            <w:gridSpan w:val="2"/>
            <w:vAlign w:val="center"/>
          </w:tcPr>
          <w:p w14:paraId="5B06086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374A5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trHeight w:val="285" w:hRule="atLeast"/>
        </w:trPr>
        <w:tc>
          <w:tcPr>
            <w:tcW w:w="359" w:type="pct"/>
            <w:gridSpan w:val="2"/>
            <w:vMerge w:val="continue"/>
            <w:vAlign w:val="center"/>
          </w:tcPr>
          <w:p w14:paraId="1F5576A2">
            <w:pPr>
              <w:spacing w:line="360" w:lineRule="auto"/>
              <w:jc w:val="center"/>
              <w:rPr>
                <w:rFonts w:hint="eastAsia" w:ascii="宋体" w:hAnsi="宋体" w:cs="宋体"/>
                <w:color w:val="000000"/>
                <w:szCs w:val="21"/>
              </w:rPr>
            </w:pPr>
          </w:p>
        </w:tc>
        <w:tc>
          <w:tcPr>
            <w:tcW w:w="366" w:type="pct"/>
            <w:gridSpan w:val="2"/>
            <w:vMerge w:val="continue"/>
            <w:vAlign w:val="center"/>
          </w:tcPr>
          <w:p w14:paraId="2CB4D628">
            <w:pPr>
              <w:spacing w:line="360" w:lineRule="auto"/>
              <w:jc w:val="center"/>
              <w:rPr>
                <w:rFonts w:hint="eastAsia" w:ascii="宋体" w:hAnsi="宋体" w:cs="宋体"/>
                <w:color w:val="000000"/>
                <w:szCs w:val="21"/>
              </w:rPr>
            </w:pPr>
          </w:p>
        </w:tc>
        <w:tc>
          <w:tcPr>
            <w:tcW w:w="3514" w:type="pct"/>
            <w:gridSpan w:val="3"/>
            <w:vAlign w:val="center"/>
          </w:tcPr>
          <w:p w14:paraId="308883F0">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有源监听音箱频响范围：45Hz-20KHz高低功率：30-120W声压：≥100dB</w:t>
            </w:r>
          </w:p>
        </w:tc>
        <w:tc>
          <w:tcPr>
            <w:tcW w:w="366" w:type="pct"/>
            <w:vAlign w:val="center"/>
          </w:tcPr>
          <w:p w14:paraId="003A6C0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对</w:t>
            </w:r>
          </w:p>
        </w:tc>
        <w:tc>
          <w:tcPr>
            <w:tcW w:w="389" w:type="pct"/>
            <w:gridSpan w:val="2"/>
            <w:vAlign w:val="center"/>
          </w:tcPr>
          <w:p w14:paraId="5C4DFF5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35E8D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trHeight w:val="1440" w:hRule="atLeast"/>
        </w:trPr>
        <w:tc>
          <w:tcPr>
            <w:tcW w:w="359" w:type="pct"/>
            <w:gridSpan w:val="2"/>
            <w:vAlign w:val="center"/>
          </w:tcPr>
          <w:p w14:paraId="392864D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4</w:t>
            </w:r>
          </w:p>
        </w:tc>
        <w:tc>
          <w:tcPr>
            <w:tcW w:w="366" w:type="pct"/>
            <w:gridSpan w:val="2"/>
            <w:vAlign w:val="center"/>
          </w:tcPr>
          <w:p w14:paraId="5DB28B23">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智能分析设备</w:t>
            </w:r>
          </w:p>
        </w:tc>
        <w:tc>
          <w:tcPr>
            <w:tcW w:w="3514" w:type="pct"/>
            <w:gridSpan w:val="3"/>
            <w:vAlign w:val="center"/>
          </w:tcPr>
          <w:p w14:paraId="0D7C382D">
            <w:pPr>
              <w:widowControl/>
              <w:spacing w:line="360" w:lineRule="auto"/>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处理器：配置2颗国产CPU，核数≥24核，主频≥2.2GHz；内存：配置32G DDR4；最大支持扩展至32根DDR4内存，最大可扩展至2TB内存硬盘：配置1块240G SSD硬盘，最大支持12个3.5寸/2.5寸硬盘，可选兼容8个NVMe硬盘独显&amp;GPU扩展：配置4张高性能GPU卡，单卡提供64TOPS INT8算力；阵列卡：可选SAS_HBA 卡，支持RAID 0/1/10，可选RAID 1G、2G或4G 卡, 支持RAID 0/1/5/6/10/50/60 ，可选支持断电保护网口：配置4个千兆电口，标配1个IPMI RJ45管理接口；OCP专用扩展槽位，采用标准OPC 3.0模块，可选支持1G、10G、25G网络PCI E扩展槽：最大可支持11个PCIe 3.0扩展插槽，其中8个标准PCIe插槽、1个阵列卡专用插槽和2个OCP专用插槽电源：配置1200W(1+1)冗余电源；可选800W，1200W 或1600W CRPS高效冗余电源配置国产操作系统</w:t>
            </w:r>
          </w:p>
          <w:p w14:paraId="2590AC89">
            <w:pPr>
              <w:widowControl/>
              <w:spacing w:line="360" w:lineRule="auto"/>
              <w:jc w:val="left"/>
              <w:textAlignment w:val="center"/>
              <w:rPr>
                <w:rFonts w:hint="eastAsia" w:ascii="宋体" w:hAnsi="宋体" w:cs="宋体"/>
                <w:color w:val="000000"/>
                <w:szCs w:val="21"/>
              </w:rPr>
            </w:pPr>
            <w:r>
              <w:rPr>
                <w:rFonts w:ascii="宋体" w:hAnsi="宋体" w:cs="宋体"/>
                <w:color w:val="000000"/>
                <w:kern w:val="0"/>
                <w:szCs w:val="21"/>
                <w:lang w:bidi="ar"/>
              </w:rPr>
              <w:t>▲需提供所投产品的原厂授权并加盖原厂公章。</w:t>
            </w:r>
          </w:p>
        </w:tc>
        <w:tc>
          <w:tcPr>
            <w:tcW w:w="366" w:type="pct"/>
            <w:vAlign w:val="center"/>
          </w:tcPr>
          <w:p w14:paraId="3A37D00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台</w:t>
            </w:r>
          </w:p>
        </w:tc>
        <w:tc>
          <w:tcPr>
            <w:tcW w:w="389" w:type="pct"/>
            <w:gridSpan w:val="2"/>
            <w:vAlign w:val="center"/>
          </w:tcPr>
          <w:p w14:paraId="0A3532C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63B64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pct"/>
          <w:trHeight w:val="1920" w:hRule="atLeast"/>
        </w:trPr>
        <w:tc>
          <w:tcPr>
            <w:tcW w:w="359" w:type="pct"/>
            <w:gridSpan w:val="2"/>
            <w:vAlign w:val="center"/>
          </w:tcPr>
          <w:p w14:paraId="4105BAF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366" w:type="pct"/>
            <w:gridSpan w:val="2"/>
            <w:vAlign w:val="center"/>
          </w:tcPr>
          <w:p w14:paraId="13E1B94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对象存储设备</w:t>
            </w:r>
          </w:p>
        </w:tc>
        <w:tc>
          <w:tcPr>
            <w:tcW w:w="3514" w:type="pct"/>
            <w:gridSpan w:val="3"/>
            <w:vAlign w:val="center"/>
          </w:tcPr>
          <w:p w14:paraId="4417542B">
            <w:pPr>
              <w:widowControl/>
              <w:spacing w:line="360" w:lineRule="auto"/>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处理器：2颗国产64位多核处理器系统内存：32GB系统盘：240GB SSD数据盘：960GB SSD存储接口：24个SATA接口，支持硬盘热插拔，已配置24块8TB硬盘，总容量达192TB网络接口：2个千兆数据网口，2个万兆数据网口，1个千兆管理口其他接口：4×USB3.0，1*VGA，1*IPMI整机电源：1+1冗余电源视频性能：最大支持接入650路支持视频流、图片流直存支持ONVIF、GB/T 28181、RTSP等标准协议采用非全对称式架构，集群化部署，对外提供存储服务的唯一IP支持纠删码数据保护技术，具备设备级和磁盘级容错模式，实现历史数据不丢失、实时业务不中断支持云存储节点在线无缝扩容，容量和性能线性增长支持云存储节点间的容量及业务负载均衡支持存储空间按需分配，分配的存储空间在线扩大或缩小，不影响读写业务支持多种存储覆盖策略，周期覆盖、容量覆盖、不覆盖支持视频检索功能，按照监控点编号、录像类型、时间组合等条件查询支持视频回放功能：正序/倒序回放、定位回放、高倍速回放、关键帧回放等功能支持视频锁定、视频封面、视频备份等视频功能支持图片上传，下载，锁定功能。</w:t>
            </w:r>
          </w:p>
          <w:p w14:paraId="558D605C">
            <w:pPr>
              <w:widowControl/>
              <w:spacing w:line="360" w:lineRule="auto"/>
              <w:jc w:val="left"/>
              <w:textAlignment w:val="center"/>
              <w:rPr>
                <w:rFonts w:hint="eastAsia" w:ascii="宋体" w:hAnsi="宋体" w:cs="宋体"/>
                <w:color w:val="000000"/>
                <w:szCs w:val="21"/>
              </w:rPr>
            </w:pPr>
            <w:r>
              <w:rPr>
                <w:rFonts w:ascii="宋体" w:hAnsi="宋体" w:cs="宋体"/>
                <w:color w:val="000000"/>
                <w:kern w:val="0"/>
                <w:szCs w:val="21"/>
                <w:lang w:bidi="ar"/>
              </w:rPr>
              <w:t>▲需提供所投产品的原厂授权并加盖原厂公章。</w:t>
            </w:r>
          </w:p>
        </w:tc>
        <w:tc>
          <w:tcPr>
            <w:tcW w:w="366" w:type="pct"/>
            <w:vAlign w:val="center"/>
          </w:tcPr>
          <w:p w14:paraId="2BB6908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台</w:t>
            </w:r>
          </w:p>
        </w:tc>
        <w:tc>
          <w:tcPr>
            <w:tcW w:w="389" w:type="pct"/>
            <w:gridSpan w:val="2"/>
            <w:vAlign w:val="center"/>
          </w:tcPr>
          <w:p w14:paraId="15D33C2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263A5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5000" w:type="pct"/>
            <w:gridSpan w:val="11"/>
            <w:vAlign w:val="center"/>
          </w:tcPr>
          <w:p w14:paraId="634697CC">
            <w:pPr>
              <w:widowControl/>
              <w:spacing w:line="360" w:lineRule="auto"/>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三、商品化应用软件</w:t>
            </w:r>
          </w:p>
        </w:tc>
      </w:tr>
      <w:tr w14:paraId="26F99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354" w:type="pct"/>
            <w:vAlign w:val="center"/>
          </w:tcPr>
          <w:p w14:paraId="26F6F079">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序号</w:t>
            </w:r>
          </w:p>
        </w:tc>
        <w:tc>
          <w:tcPr>
            <w:tcW w:w="353" w:type="pct"/>
            <w:gridSpan w:val="2"/>
            <w:vAlign w:val="center"/>
          </w:tcPr>
          <w:p w14:paraId="6A742520">
            <w:pPr>
              <w:widowControl/>
              <w:spacing w:line="360" w:lineRule="auto"/>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系统</w:t>
            </w:r>
          </w:p>
          <w:p w14:paraId="04C12E4C">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名称</w:t>
            </w:r>
          </w:p>
        </w:tc>
        <w:tc>
          <w:tcPr>
            <w:tcW w:w="356" w:type="pct"/>
            <w:gridSpan w:val="2"/>
            <w:vAlign w:val="center"/>
          </w:tcPr>
          <w:p w14:paraId="0219BBC8">
            <w:pPr>
              <w:widowControl/>
              <w:spacing w:line="360" w:lineRule="auto"/>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功能</w:t>
            </w:r>
          </w:p>
          <w:p w14:paraId="3045948A">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模块</w:t>
            </w:r>
          </w:p>
        </w:tc>
        <w:tc>
          <w:tcPr>
            <w:tcW w:w="3177" w:type="pct"/>
            <w:gridSpan w:val="2"/>
            <w:vAlign w:val="center"/>
          </w:tcPr>
          <w:p w14:paraId="78604467">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技术要求</w:t>
            </w:r>
          </w:p>
        </w:tc>
        <w:tc>
          <w:tcPr>
            <w:tcW w:w="366" w:type="pct"/>
            <w:vAlign w:val="center"/>
          </w:tcPr>
          <w:p w14:paraId="202D2532">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单位</w:t>
            </w:r>
          </w:p>
        </w:tc>
        <w:tc>
          <w:tcPr>
            <w:tcW w:w="391" w:type="pct"/>
            <w:gridSpan w:val="3"/>
            <w:vAlign w:val="center"/>
          </w:tcPr>
          <w:p w14:paraId="7EF8B9B7">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数量</w:t>
            </w:r>
          </w:p>
        </w:tc>
      </w:tr>
      <w:tr w14:paraId="3E956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354" w:type="pct"/>
            <w:vAlign w:val="center"/>
          </w:tcPr>
          <w:p w14:paraId="5032BA1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353" w:type="pct"/>
            <w:gridSpan w:val="2"/>
            <w:vMerge w:val="restart"/>
            <w:vAlign w:val="center"/>
          </w:tcPr>
          <w:p w14:paraId="451AC6F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涉案视频侦查应用</w:t>
            </w:r>
          </w:p>
        </w:tc>
        <w:tc>
          <w:tcPr>
            <w:tcW w:w="356" w:type="pct"/>
            <w:gridSpan w:val="2"/>
            <w:vAlign w:val="center"/>
          </w:tcPr>
          <w:p w14:paraId="2F51040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案件中心-涉案视频管理</w:t>
            </w:r>
          </w:p>
        </w:tc>
        <w:tc>
          <w:tcPr>
            <w:tcW w:w="3177" w:type="pct"/>
            <w:gridSpan w:val="2"/>
            <w:vAlign w:val="center"/>
          </w:tcPr>
          <w:p w14:paraId="5214166C">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1、个案管理：支持案件及线索管理；线索图片智能标注和身份确认；支持一图多标；支持将嫌疑人直接导入刑嫌人员库；支持一键导出涉案视图线索；支持通过关键字检索线索；支持一个或多个嫌疑人记录的同时展示。</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2、案件智搜：支持通过案件名称等关键字检索案件；支持通过案件状态等属性的过滤检索；支持通过图片检索具有相似目标线索的案件。</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3、串并管理：支持串并案件的新建、修改、查询和删除操作。支持将案件加入预串并架，进行目标的人工比对确认，并完成案件串并；支持根据串并案名称关键字检索串并案件。支持对串并案进行分享。</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4、案件审核：支持对上传的案件进行摘要信息和线索信息的质量审核，评定案件信息等级，并对线索标记出无嫌疑人影像等问题原因。</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5、串并审核：支持对串并案件进行审核，审核通过后串并案可以在部门内查看。</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6、案件考核：支持以列表或图表方式，对各单位的案件提交情况、线索调取情况、线索质量情况、破案情况等进行统计考核。</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7、刑嫌人员管理：支持对刑嫌人员信息的新建、删除、修改和查询操作。包括照片、姓名、性别、身份证号、户籍地、现居住地、人员标签以及关联案件编号等。同时支持以图搜人。</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8、案件地图：支持按照时间段、案发区域和案件类别过滤展示案件的分布；支持各类案件占比情况统计；串并案推荐统计；视侦案件总数和已破案情况。</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9、案件报告：支持一键生成案件研判报告。报告包含案件基本信息，案件研判结果和案件线索图片，按照时间先后进排序。</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10、案件工作台：展示针对刑侦日常案件管理工作的个性化界面，包括案件总数、串并总数、待办案件、最新案件、我的消息等等。</w:t>
            </w:r>
          </w:p>
        </w:tc>
        <w:tc>
          <w:tcPr>
            <w:tcW w:w="366" w:type="pct"/>
            <w:vAlign w:val="center"/>
          </w:tcPr>
          <w:p w14:paraId="67AD089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c>
          <w:tcPr>
            <w:tcW w:w="391" w:type="pct"/>
            <w:gridSpan w:val="3"/>
            <w:vAlign w:val="center"/>
          </w:tcPr>
          <w:p w14:paraId="742EB2F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291FC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54" w:type="pct"/>
            <w:vAlign w:val="center"/>
          </w:tcPr>
          <w:p w14:paraId="04B47B1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c>
          <w:tcPr>
            <w:tcW w:w="353" w:type="pct"/>
            <w:gridSpan w:val="2"/>
            <w:vMerge w:val="continue"/>
            <w:vAlign w:val="center"/>
          </w:tcPr>
          <w:p w14:paraId="1AE36D76">
            <w:pPr>
              <w:spacing w:line="360" w:lineRule="auto"/>
              <w:jc w:val="center"/>
              <w:rPr>
                <w:rFonts w:hint="eastAsia" w:ascii="宋体" w:hAnsi="宋体" w:cs="宋体"/>
                <w:color w:val="000000"/>
                <w:szCs w:val="21"/>
              </w:rPr>
            </w:pPr>
          </w:p>
        </w:tc>
        <w:tc>
          <w:tcPr>
            <w:tcW w:w="356" w:type="pct"/>
            <w:gridSpan w:val="2"/>
            <w:vAlign w:val="center"/>
          </w:tcPr>
          <w:p w14:paraId="21EB199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案件中心-线索智推</w:t>
            </w:r>
          </w:p>
        </w:tc>
        <w:tc>
          <w:tcPr>
            <w:tcW w:w="3177" w:type="pct"/>
            <w:gridSpan w:val="2"/>
            <w:vAlign w:val="center"/>
          </w:tcPr>
          <w:p w14:paraId="53427C64">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1、任务设置：支持对案件线索设置近一个月，近三个月的分析任务。</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2、线索智推：支持通过涉案目标和动态抓拍库的自动比对，实现嫌疑人线索的自动推送</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3、研判比对：支持对嫌疑人和动态线索的比对研判分析。确认动态抓拍图中是否是嫌疑人。</w:t>
            </w:r>
          </w:p>
        </w:tc>
        <w:tc>
          <w:tcPr>
            <w:tcW w:w="366" w:type="pct"/>
            <w:vAlign w:val="center"/>
          </w:tcPr>
          <w:p w14:paraId="38AAF8C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c>
          <w:tcPr>
            <w:tcW w:w="391" w:type="pct"/>
            <w:gridSpan w:val="3"/>
            <w:vAlign w:val="center"/>
          </w:tcPr>
          <w:p w14:paraId="1217763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083C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54" w:type="pct"/>
            <w:vAlign w:val="center"/>
          </w:tcPr>
          <w:p w14:paraId="43ACDBA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353" w:type="pct"/>
            <w:gridSpan w:val="2"/>
            <w:vMerge w:val="continue"/>
            <w:vAlign w:val="center"/>
          </w:tcPr>
          <w:p w14:paraId="5974523D">
            <w:pPr>
              <w:spacing w:line="360" w:lineRule="auto"/>
              <w:jc w:val="center"/>
              <w:rPr>
                <w:rFonts w:hint="eastAsia" w:ascii="宋体" w:hAnsi="宋体" w:cs="宋体"/>
                <w:color w:val="000000"/>
                <w:szCs w:val="21"/>
              </w:rPr>
            </w:pPr>
          </w:p>
        </w:tc>
        <w:tc>
          <w:tcPr>
            <w:tcW w:w="356" w:type="pct"/>
            <w:gridSpan w:val="2"/>
            <w:vAlign w:val="center"/>
          </w:tcPr>
          <w:p w14:paraId="5E83D88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案件中心-人员串并</w:t>
            </w:r>
          </w:p>
        </w:tc>
        <w:tc>
          <w:tcPr>
            <w:tcW w:w="3177" w:type="pct"/>
            <w:gridSpan w:val="2"/>
            <w:vAlign w:val="center"/>
          </w:tcPr>
          <w:p w14:paraId="0317BD18">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1、串并推荐：支持根据涉案嫌疑人的人脸或人体特征相似度，自动推送出疑似串并案件的信息。</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2、串并比对：支持对疑似串并案件比对研判，包括案件五要素信息和人员图片比对。</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3、串并确认：支持对串并案件的确定和否定。</w:t>
            </w:r>
          </w:p>
        </w:tc>
        <w:tc>
          <w:tcPr>
            <w:tcW w:w="366" w:type="pct"/>
            <w:vAlign w:val="center"/>
          </w:tcPr>
          <w:p w14:paraId="40BDFEB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c>
          <w:tcPr>
            <w:tcW w:w="391" w:type="pct"/>
            <w:gridSpan w:val="3"/>
            <w:vAlign w:val="center"/>
          </w:tcPr>
          <w:p w14:paraId="53E1606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72F18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54" w:type="pct"/>
            <w:vAlign w:val="center"/>
          </w:tcPr>
          <w:p w14:paraId="17F657A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4</w:t>
            </w:r>
          </w:p>
        </w:tc>
        <w:tc>
          <w:tcPr>
            <w:tcW w:w="353" w:type="pct"/>
            <w:gridSpan w:val="2"/>
            <w:vMerge w:val="continue"/>
            <w:vAlign w:val="center"/>
          </w:tcPr>
          <w:p w14:paraId="608C6ED0">
            <w:pPr>
              <w:spacing w:line="360" w:lineRule="auto"/>
              <w:jc w:val="center"/>
              <w:rPr>
                <w:rFonts w:hint="eastAsia" w:ascii="宋体" w:hAnsi="宋体" w:cs="宋体"/>
                <w:color w:val="000000"/>
                <w:szCs w:val="21"/>
              </w:rPr>
            </w:pPr>
          </w:p>
        </w:tc>
        <w:tc>
          <w:tcPr>
            <w:tcW w:w="356" w:type="pct"/>
            <w:gridSpan w:val="2"/>
            <w:vAlign w:val="center"/>
          </w:tcPr>
          <w:p w14:paraId="06840BA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案件中心-车辆串并</w:t>
            </w:r>
          </w:p>
        </w:tc>
        <w:tc>
          <w:tcPr>
            <w:tcW w:w="3177" w:type="pct"/>
            <w:gridSpan w:val="2"/>
            <w:vAlign w:val="center"/>
          </w:tcPr>
          <w:p w14:paraId="12C03407">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1、串并推荐：提供通过涉案嫌疑车辆特征相似度，自动推送疑似串并案件的信息。</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2、串并比对：支持对疑似串并案件比对研判，包括案件五要素信息和车辆图片比对。</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3、串并确认：支持对串并案件的确定和否定。</w:t>
            </w:r>
          </w:p>
        </w:tc>
        <w:tc>
          <w:tcPr>
            <w:tcW w:w="366" w:type="pct"/>
            <w:vAlign w:val="center"/>
          </w:tcPr>
          <w:p w14:paraId="7298BE0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c>
          <w:tcPr>
            <w:tcW w:w="391" w:type="pct"/>
            <w:gridSpan w:val="3"/>
            <w:vAlign w:val="center"/>
          </w:tcPr>
          <w:p w14:paraId="68BE989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4BE02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54" w:type="pct"/>
            <w:vAlign w:val="center"/>
          </w:tcPr>
          <w:p w14:paraId="37DEEDE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353" w:type="pct"/>
            <w:gridSpan w:val="2"/>
            <w:vMerge w:val="continue"/>
            <w:vAlign w:val="center"/>
          </w:tcPr>
          <w:p w14:paraId="7E5A90B5">
            <w:pPr>
              <w:spacing w:line="360" w:lineRule="auto"/>
              <w:jc w:val="center"/>
              <w:rPr>
                <w:rFonts w:hint="eastAsia" w:ascii="宋体" w:hAnsi="宋体" w:cs="宋体"/>
                <w:color w:val="000000"/>
                <w:szCs w:val="21"/>
              </w:rPr>
            </w:pPr>
          </w:p>
        </w:tc>
        <w:tc>
          <w:tcPr>
            <w:tcW w:w="356" w:type="pct"/>
            <w:gridSpan w:val="2"/>
            <w:vAlign w:val="center"/>
          </w:tcPr>
          <w:p w14:paraId="736E7A5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案件中心-案件要素串并</w:t>
            </w:r>
          </w:p>
        </w:tc>
        <w:tc>
          <w:tcPr>
            <w:tcW w:w="3177" w:type="pct"/>
            <w:gridSpan w:val="2"/>
            <w:vAlign w:val="center"/>
          </w:tcPr>
          <w:p w14:paraId="705969D9">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1、串并推荐：支持根据案件类型、作案手段、作案地点、作案时间要素信息推送疑似串并案件的信息。</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2、串并比对：支持疑似串并案件比对研判，包括案件五要素信息和人员图片比对。</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3、串并确认：支持对串并案件的确定和否定。</w:t>
            </w:r>
          </w:p>
        </w:tc>
        <w:tc>
          <w:tcPr>
            <w:tcW w:w="366" w:type="pct"/>
            <w:vAlign w:val="center"/>
          </w:tcPr>
          <w:p w14:paraId="313E93D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c>
          <w:tcPr>
            <w:tcW w:w="391" w:type="pct"/>
            <w:gridSpan w:val="3"/>
            <w:vAlign w:val="center"/>
          </w:tcPr>
          <w:p w14:paraId="48BB134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25792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354" w:type="pct"/>
            <w:vAlign w:val="center"/>
          </w:tcPr>
          <w:p w14:paraId="70B243A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6</w:t>
            </w:r>
          </w:p>
        </w:tc>
        <w:tc>
          <w:tcPr>
            <w:tcW w:w="353" w:type="pct"/>
            <w:gridSpan w:val="2"/>
            <w:vMerge w:val="continue"/>
            <w:vAlign w:val="center"/>
          </w:tcPr>
          <w:p w14:paraId="01DA0A08">
            <w:pPr>
              <w:spacing w:line="360" w:lineRule="auto"/>
              <w:jc w:val="center"/>
              <w:rPr>
                <w:rFonts w:hint="eastAsia" w:ascii="宋体" w:hAnsi="宋体" w:cs="宋体"/>
                <w:color w:val="000000"/>
                <w:szCs w:val="21"/>
              </w:rPr>
            </w:pPr>
          </w:p>
        </w:tc>
        <w:tc>
          <w:tcPr>
            <w:tcW w:w="356" w:type="pct"/>
            <w:gridSpan w:val="2"/>
            <w:vAlign w:val="center"/>
          </w:tcPr>
          <w:p w14:paraId="24BF766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案件中心-市级门户</w:t>
            </w:r>
          </w:p>
        </w:tc>
        <w:tc>
          <w:tcPr>
            <w:tcW w:w="3177" w:type="pct"/>
            <w:gridSpan w:val="2"/>
            <w:vAlign w:val="center"/>
          </w:tcPr>
          <w:p w14:paraId="602E0850">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1、支持发布最新案件、已破案件、新闻动态、经验案例等。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2、支持通过网络学院发布内部教学文案。</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3、支持友情链接。</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4、可自定义配置新增内容版本。</w:t>
            </w:r>
          </w:p>
        </w:tc>
        <w:tc>
          <w:tcPr>
            <w:tcW w:w="366" w:type="pct"/>
            <w:vAlign w:val="center"/>
          </w:tcPr>
          <w:p w14:paraId="6101CD1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c>
          <w:tcPr>
            <w:tcW w:w="391" w:type="pct"/>
            <w:gridSpan w:val="3"/>
            <w:vAlign w:val="center"/>
          </w:tcPr>
          <w:p w14:paraId="1D24BD2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5EC4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54" w:type="pct"/>
            <w:vAlign w:val="center"/>
          </w:tcPr>
          <w:p w14:paraId="3416A47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7</w:t>
            </w:r>
          </w:p>
        </w:tc>
        <w:tc>
          <w:tcPr>
            <w:tcW w:w="353" w:type="pct"/>
            <w:gridSpan w:val="2"/>
            <w:vMerge w:val="continue"/>
            <w:vAlign w:val="center"/>
          </w:tcPr>
          <w:p w14:paraId="63AF1B07">
            <w:pPr>
              <w:spacing w:line="360" w:lineRule="auto"/>
              <w:jc w:val="center"/>
              <w:rPr>
                <w:rFonts w:hint="eastAsia" w:ascii="宋体" w:hAnsi="宋体" w:cs="宋体"/>
                <w:color w:val="000000"/>
                <w:szCs w:val="21"/>
              </w:rPr>
            </w:pPr>
          </w:p>
        </w:tc>
        <w:tc>
          <w:tcPr>
            <w:tcW w:w="356" w:type="pct"/>
            <w:gridSpan w:val="2"/>
            <w:vAlign w:val="center"/>
          </w:tcPr>
          <w:p w14:paraId="4FACBA2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案件中心-案件协查协作</w:t>
            </w:r>
          </w:p>
        </w:tc>
        <w:tc>
          <w:tcPr>
            <w:tcW w:w="3177" w:type="pct"/>
            <w:gridSpan w:val="2"/>
            <w:vAlign w:val="center"/>
          </w:tcPr>
          <w:p w14:paraId="306F39FF">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1、支持发布待协查案件选择全部公开或指定人员。</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2、支持对协查案件的审核。</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3、支持对收到的协查案件进行信息反馈。</w:t>
            </w:r>
          </w:p>
        </w:tc>
        <w:tc>
          <w:tcPr>
            <w:tcW w:w="366" w:type="pct"/>
            <w:vAlign w:val="center"/>
          </w:tcPr>
          <w:p w14:paraId="3610C9D3">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c>
          <w:tcPr>
            <w:tcW w:w="391" w:type="pct"/>
            <w:gridSpan w:val="3"/>
            <w:vAlign w:val="center"/>
          </w:tcPr>
          <w:p w14:paraId="3D1B637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6B198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54" w:type="pct"/>
            <w:vAlign w:val="center"/>
          </w:tcPr>
          <w:p w14:paraId="39A092B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8</w:t>
            </w:r>
          </w:p>
        </w:tc>
        <w:tc>
          <w:tcPr>
            <w:tcW w:w="353" w:type="pct"/>
            <w:gridSpan w:val="2"/>
            <w:vMerge w:val="continue"/>
            <w:vAlign w:val="center"/>
          </w:tcPr>
          <w:p w14:paraId="602A68B3">
            <w:pPr>
              <w:spacing w:line="360" w:lineRule="auto"/>
              <w:jc w:val="center"/>
              <w:rPr>
                <w:rFonts w:hint="eastAsia" w:ascii="宋体" w:hAnsi="宋体" w:cs="宋体"/>
                <w:color w:val="000000"/>
                <w:szCs w:val="21"/>
              </w:rPr>
            </w:pPr>
          </w:p>
        </w:tc>
        <w:tc>
          <w:tcPr>
            <w:tcW w:w="356" w:type="pct"/>
            <w:gridSpan w:val="2"/>
            <w:vAlign w:val="center"/>
          </w:tcPr>
          <w:p w14:paraId="55FF8786">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线索快筛-海量视频快速分析检索</w:t>
            </w:r>
          </w:p>
        </w:tc>
        <w:tc>
          <w:tcPr>
            <w:tcW w:w="3177" w:type="pct"/>
            <w:gridSpan w:val="2"/>
            <w:vAlign w:val="center"/>
          </w:tcPr>
          <w:p w14:paraId="46FEFA1E">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一、视频分析任务-任务管理</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1、支持新建案件目录，删除案件目录后同步删除视频文件。</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2、支持按关键字筛选案件目录。</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3、支持展示本地视频上传进度。</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4、支持按创建时间顺序、倒序排列解析任务。</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5、支持按全部文件或者只显示视频过滤解析任务。</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6、支持展示视频大小、创建人、视频解析进度、解析状态等分析任务信息。</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7、支持查看单个视频或单个案件目录下所有视频的解析结果数。</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8、支持边上传、边解析、边出结果、边查看。</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9、支持显示剩余存储资源/总存储资源情况。</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10、支持显示剩余解析资源/总解析资源情况。</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11、系统管理员支持查看整个系统的资源使用详情，查看不同部门用户视频分析数以及存储资源使用情况。</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12、支持批量手动停止分析任务，批量开启分析任务。</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二、视频分析任务-本地视频分析</w:t>
            </w:r>
            <w:r>
              <w:rPr>
                <w:rFonts w:hint="eastAsia" w:ascii="宋体" w:hAnsi="宋体" w:cs="宋体"/>
                <w:color w:val="000000"/>
                <w:kern w:val="0"/>
                <w:szCs w:val="21"/>
                <w:lang w:bidi="ar"/>
              </w:rPr>
              <w:br w:type="textWrapping"/>
            </w:r>
            <w:r>
              <w:rPr>
                <w:rFonts w:ascii="宋体" w:hAnsi="宋体" w:cs="宋体"/>
                <w:color w:val="000000"/>
                <w:kern w:val="0"/>
                <w:szCs w:val="21"/>
                <w:lang w:bidi="ar"/>
              </w:rPr>
              <w:t>▲1、支持批量选择本地视频，每次最多选择500个视频片段。（需提供第三方权威机构出具的检测报告复印件）</w:t>
            </w:r>
            <w:r>
              <w:rPr>
                <w:rFonts w:hint="eastAsia" w:ascii="宋体" w:hAnsi="宋体" w:cs="宋体"/>
                <w:color w:val="000000"/>
                <w:kern w:val="0"/>
                <w:szCs w:val="21"/>
                <w:lang w:bidi="ar"/>
              </w:rPr>
              <w:br w:type="textWrapping"/>
            </w:r>
            <w:r>
              <w:rPr>
                <w:rFonts w:ascii="宋体" w:hAnsi="宋体" w:cs="宋体"/>
                <w:color w:val="000000"/>
                <w:kern w:val="0"/>
                <w:szCs w:val="21"/>
                <w:lang w:bidi="ar"/>
              </w:rPr>
              <w:t>▲2、支持mp4、dav、ts、asf、nsf、sdv、avi、avx、dat、wmv等视频格式的解析。（需提供第三方权威机构出具的检测报告复印件）</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3、支持批量上传文件夹，文件夹名称自动作为案件名称，且子文件及文件夹会同步创建。</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三、视频分析任务-联网录像分析</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1、支持选择多个联网点位后进行录像分析。选点方式包括地图选点和目录树关键字搜点。</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2、支持单次最多选择50个有录像计划的点位进行分析。</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3、支持自动检测监控点位是否有录像计划，并在分析任务中自动过滤掉没有录像计划的监控。</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四、图片分析任务-本地图片集分析</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1、支持上传zip和rar格式压缩包内的图片集。</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2、支持单次最多可上传的图片集大小为1G。</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五、海量视频保存管理</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1、支持在新建案件时选择“仅上传视频”。</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2、支持单次最多可选择500个本地视频片段批量上传。</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3、支持mp4、dav、ts、asf、nsf、sdv、avi、avx、dat、wmv等格式视频的上传管理。</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4、支持批量上传文件夹，文件夹名称自动作为案件名称，且子文件及文件夹会同步创建。</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5、支持点击播放视频。</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6、支持下载视频到本地电脑。</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六、个案分析-目标研判</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1、支持从案件目录查看解析结果进行目标筛选。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2、支持从视频分析任务列表查看解析结果进行目标筛选。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3、支持快捷切换不同视频的解析结果进行目标筛选。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4、支持选择多个案件目录或多个视频进行目标筛选。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5、支持按时间顺序、倒序进行目标筛选。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6、支持切换小图、中图和大图方式进行目标筛选。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7、支持对已查看图片标记已读便于目标筛选。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8、支持点击刷新查看更多图片进行目标筛选。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9、支持通过类型结合时间段进行筛选，筛选结果默认按时间顺序排序。</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10、支持通过特征属性结合时间段进行筛选。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11、支持通过目标相似度，搜索更多相似的目标，支持最多30个目标批量搜索。</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12、支持搜索结果按相似度由高到底排序。</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13、支持对相似目标的形态视频比对</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14、支持对相似目标图片进行大图比对、细节放大和快速切换。</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15、支持查看图片关联前后10s录像。</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16、支持将目标图片加入线索栏或下载至本地。</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17、支持将目标图片图片上传案件库，支持关联多个案件。</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28、支持批量选择导出已筛选的目标图片。</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七、个案分析-浓缩播放</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1、支持视频中人、车目标的检测，有目标部分通过颜色区分。</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2、支持进行浓缩播放，无目标的视频自动8倍速播放。</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3、支持在视频播放过程中截图，并选择图片中的目标加入线索栏。</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八、个案分析-案件报告</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1、支持一键生成案件在线视频侦查报告。</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2、报告中包括案件名称、侦查员名称、视频侦查涉及的摄像头总数、总视频片段数、视频总时长和视频分析时长。</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3、报告中还支持通过地图+图片+视频三种可视化方式联动展示包括目标轨迹展示。</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4、支持手动补充目标轨迹点。</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5、支持一键播放目标轨迹，并自动切换关联的视频和图片，进行案件回溯。</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6、支持目标轨迹的暂停和重播。</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7、支持一键导出视频侦查报告生成本地word文件。</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九、案件协办</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1、支持添加案件协办人员，形成案件研判小组。</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2、案件研判小组内成员具备相同的研判权限，包括视频上传、解析结果查看、 筛选、比对、线索碰撞、同行分析、人员分组等操作。</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3、支持线索栏中的目标图片在案件研判小组成员间即时共享</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4、支持显示线索图片共享者的名称。</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十、同行分析</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1、支持一个或多个目标的同行人员分析，分析规则默认为目标出现前5分钟和后30分钟内人员。</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2、支持按单个点位或多个点位展示分析结果。</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3、支持导出同行人员分析结果。</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4、支持将确定的同行人员加入线索栏，进一步的筛选研判。</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5、支持导出同行人员分析结果。</w:t>
            </w:r>
          </w:p>
        </w:tc>
        <w:tc>
          <w:tcPr>
            <w:tcW w:w="366" w:type="pct"/>
            <w:vAlign w:val="center"/>
          </w:tcPr>
          <w:p w14:paraId="3ECE33F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c>
          <w:tcPr>
            <w:tcW w:w="391" w:type="pct"/>
            <w:gridSpan w:val="3"/>
            <w:vAlign w:val="center"/>
          </w:tcPr>
          <w:p w14:paraId="07ABF66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44A28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354" w:type="pct"/>
            <w:vAlign w:val="center"/>
          </w:tcPr>
          <w:p w14:paraId="4D09423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9</w:t>
            </w:r>
          </w:p>
        </w:tc>
        <w:tc>
          <w:tcPr>
            <w:tcW w:w="353" w:type="pct"/>
            <w:gridSpan w:val="2"/>
            <w:vMerge w:val="restart"/>
            <w:vAlign w:val="center"/>
          </w:tcPr>
          <w:p w14:paraId="773EB87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资源管理调度</w:t>
            </w:r>
          </w:p>
        </w:tc>
        <w:tc>
          <w:tcPr>
            <w:tcW w:w="356" w:type="pct"/>
            <w:gridSpan w:val="2"/>
            <w:vAlign w:val="center"/>
          </w:tcPr>
          <w:p w14:paraId="3C37575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GPU调度数量</w:t>
            </w:r>
          </w:p>
        </w:tc>
        <w:tc>
          <w:tcPr>
            <w:tcW w:w="3177" w:type="pct"/>
            <w:gridSpan w:val="2"/>
            <w:vAlign w:val="center"/>
          </w:tcPr>
          <w:p w14:paraId="321E81BE">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平台提供对GPU调度的能力，提供计算资源池化管理与高可用调度，提供按照计算单元粒度进行调度能力。</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1.支持计算资源新增后，自动加入计算资源池，可用GPU总数纳入新增算力。</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2.支持基于池化的计算资源，提供算力资源预分配能力，为特定算法预留算力资源。</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3.提供异常迁移能力，有效保证任务的稳定运行：支持异常容错与高可用，某台算力不在线或者异常后，能自动迁移任务到其它可用算力资源。</w:t>
            </w:r>
          </w:p>
        </w:tc>
        <w:tc>
          <w:tcPr>
            <w:tcW w:w="366" w:type="pct"/>
            <w:vAlign w:val="center"/>
          </w:tcPr>
          <w:p w14:paraId="5764276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卡</w:t>
            </w:r>
          </w:p>
        </w:tc>
        <w:tc>
          <w:tcPr>
            <w:tcW w:w="391" w:type="pct"/>
            <w:gridSpan w:val="3"/>
            <w:vAlign w:val="center"/>
          </w:tcPr>
          <w:p w14:paraId="3848319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4</w:t>
            </w:r>
          </w:p>
        </w:tc>
      </w:tr>
      <w:tr w14:paraId="2EFAF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354" w:type="pct"/>
            <w:vAlign w:val="center"/>
          </w:tcPr>
          <w:p w14:paraId="2AFE6C0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353" w:type="pct"/>
            <w:gridSpan w:val="2"/>
            <w:vMerge w:val="continue"/>
            <w:vAlign w:val="center"/>
          </w:tcPr>
          <w:p w14:paraId="7D823C6C">
            <w:pPr>
              <w:spacing w:line="360" w:lineRule="auto"/>
              <w:jc w:val="center"/>
              <w:rPr>
                <w:rFonts w:hint="eastAsia" w:ascii="宋体" w:hAnsi="宋体" w:cs="宋体"/>
                <w:color w:val="000000"/>
                <w:szCs w:val="21"/>
              </w:rPr>
            </w:pPr>
          </w:p>
        </w:tc>
        <w:tc>
          <w:tcPr>
            <w:tcW w:w="356" w:type="pct"/>
            <w:gridSpan w:val="2"/>
            <w:vAlign w:val="center"/>
          </w:tcPr>
          <w:p w14:paraId="0855082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解析调度视频</w:t>
            </w:r>
          </w:p>
        </w:tc>
        <w:tc>
          <w:tcPr>
            <w:tcW w:w="3177" w:type="pct"/>
            <w:gridSpan w:val="2"/>
            <w:vAlign w:val="center"/>
          </w:tcPr>
          <w:p w14:paraId="41277373">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平台提供对视频分析任务的调度能力，提供本级实时视频、在线录像，级联视频等视频的的智能分析调度能力，按照最大同时分析路数计算，不区分算法，可以按照所有视频算法的路数之和计算，即按照峰值解析并发量。</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1.支持视频解析任务按照200W、400W、500W、800W等不同分辨率的视频点位混合调度，根据视频、算法等因子自动计算本次任务所需要的算力，实现算力的最佳组合，有效提供算力使用效率。</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2.支持视频任解析任务执行时因异常自动恢复的能力，例如网络抖动造成的取流失败，自动重试取流，有效保障系统运行的稳定性。</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3.支持视频点位录像解析任务中，相同的视频点位自动合并去重，有效的降低取流的带宽压力，降低算力的消耗。</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4.支持录像任务的异常容错，录像解码失败等无法解析情况，自动跳过异常帧，确保任务能正常执行。</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5.支持基于视频结构化的分析结果，给点位打智能能力集的标签，上层应用可以根据能力集进行视频搜索。</w:t>
            </w:r>
          </w:p>
        </w:tc>
        <w:tc>
          <w:tcPr>
            <w:tcW w:w="366" w:type="pct"/>
            <w:vAlign w:val="center"/>
          </w:tcPr>
          <w:p w14:paraId="2184D919">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路</w:t>
            </w:r>
          </w:p>
        </w:tc>
        <w:tc>
          <w:tcPr>
            <w:tcW w:w="391" w:type="pct"/>
            <w:gridSpan w:val="3"/>
            <w:vAlign w:val="center"/>
          </w:tcPr>
          <w:p w14:paraId="0089512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r>
      <w:tr w14:paraId="68DEE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54" w:type="pct"/>
            <w:vAlign w:val="center"/>
          </w:tcPr>
          <w:p w14:paraId="6D584128">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11</w:t>
            </w:r>
          </w:p>
        </w:tc>
        <w:tc>
          <w:tcPr>
            <w:tcW w:w="353" w:type="pct"/>
            <w:gridSpan w:val="2"/>
            <w:vMerge w:val="restart"/>
            <w:vAlign w:val="center"/>
          </w:tcPr>
          <w:p w14:paraId="6DC87ED9">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算法管理</w:t>
            </w:r>
          </w:p>
        </w:tc>
        <w:tc>
          <w:tcPr>
            <w:tcW w:w="356" w:type="pct"/>
            <w:gridSpan w:val="2"/>
            <w:vAlign w:val="center"/>
          </w:tcPr>
          <w:p w14:paraId="3FB72ED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全目标视频抓拍</w:t>
            </w:r>
          </w:p>
        </w:tc>
        <w:tc>
          <w:tcPr>
            <w:tcW w:w="3177" w:type="pct"/>
            <w:gridSpan w:val="2"/>
            <w:vAlign w:val="center"/>
          </w:tcPr>
          <w:p w14:paraId="718D9AA4">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通过视频图像分析技术，对治安视频中的人脸、人体、机动车、非机动车等活动目标进行检测抓拍。</w:t>
            </w:r>
          </w:p>
        </w:tc>
        <w:tc>
          <w:tcPr>
            <w:tcW w:w="366" w:type="pct"/>
            <w:vAlign w:val="center"/>
          </w:tcPr>
          <w:p w14:paraId="607274E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路</w:t>
            </w:r>
          </w:p>
        </w:tc>
        <w:tc>
          <w:tcPr>
            <w:tcW w:w="391" w:type="pct"/>
            <w:gridSpan w:val="3"/>
            <w:vAlign w:val="center"/>
          </w:tcPr>
          <w:p w14:paraId="21FC589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r>
      <w:tr w14:paraId="4E0C7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54" w:type="pct"/>
            <w:vAlign w:val="center"/>
          </w:tcPr>
          <w:p w14:paraId="4B406EA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12</w:t>
            </w:r>
          </w:p>
        </w:tc>
        <w:tc>
          <w:tcPr>
            <w:tcW w:w="353" w:type="pct"/>
            <w:gridSpan w:val="2"/>
            <w:vMerge w:val="continue"/>
            <w:vAlign w:val="center"/>
          </w:tcPr>
          <w:p w14:paraId="01E2555D">
            <w:pPr>
              <w:spacing w:line="360" w:lineRule="auto"/>
              <w:jc w:val="center"/>
              <w:rPr>
                <w:rFonts w:hint="eastAsia" w:ascii="宋体" w:hAnsi="宋体" w:cs="宋体"/>
                <w:color w:val="000000"/>
                <w:szCs w:val="21"/>
              </w:rPr>
            </w:pPr>
          </w:p>
        </w:tc>
        <w:tc>
          <w:tcPr>
            <w:tcW w:w="356" w:type="pct"/>
            <w:gridSpan w:val="2"/>
            <w:vAlign w:val="center"/>
          </w:tcPr>
          <w:p w14:paraId="62F18FF3">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人脸图片分析</w:t>
            </w:r>
          </w:p>
        </w:tc>
        <w:tc>
          <w:tcPr>
            <w:tcW w:w="3177" w:type="pct"/>
            <w:gridSpan w:val="2"/>
            <w:vAlign w:val="center"/>
          </w:tcPr>
          <w:p w14:paraId="682C3BD6">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对人脸图片进行检测、建模，生成人脸特征值，并进行识别。</w:t>
            </w:r>
          </w:p>
        </w:tc>
        <w:tc>
          <w:tcPr>
            <w:tcW w:w="366" w:type="pct"/>
            <w:vAlign w:val="center"/>
          </w:tcPr>
          <w:p w14:paraId="04007A6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张/秒</w:t>
            </w:r>
          </w:p>
        </w:tc>
        <w:tc>
          <w:tcPr>
            <w:tcW w:w="391" w:type="pct"/>
            <w:gridSpan w:val="3"/>
            <w:vAlign w:val="center"/>
          </w:tcPr>
          <w:p w14:paraId="216580D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20</w:t>
            </w:r>
          </w:p>
        </w:tc>
      </w:tr>
      <w:tr w14:paraId="3DB0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54" w:type="pct"/>
            <w:vAlign w:val="center"/>
          </w:tcPr>
          <w:p w14:paraId="4F738EA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13</w:t>
            </w:r>
          </w:p>
        </w:tc>
        <w:tc>
          <w:tcPr>
            <w:tcW w:w="353" w:type="pct"/>
            <w:gridSpan w:val="2"/>
            <w:vMerge w:val="continue"/>
            <w:vAlign w:val="center"/>
          </w:tcPr>
          <w:p w14:paraId="1F35C12B">
            <w:pPr>
              <w:spacing w:line="360" w:lineRule="auto"/>
              <w:jc w:val="center"/>
              <w:rPr>
                <w:rFonts w:hint="eastAsia" w:ascii="宋体" w:hAnsi="宋体" w:cs="宋体"/>
                <w:color w:val="000000"/>
                <w:szCs w:val="21"/>
              </w:rPr>
            </w:pPr>
          </w:p>
        </w:tc>
        <w:tc>
          <w:tcPr>
            <w:tcW w:w="356" w:type="pct"/>
            <w:gridSpan w:val="2"/>
            <w:vAlign w:val="center"/>
          </w:tcPr>
          <w:p w14:paraId="6C40502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图片结构化分析</w:t>
            </w:r>
          </w:p>
        </w:tc>
        <w:tc>
          <w:tcPr>
            <w:tcW w:w="3177" w:type="pct"/>
            <w:gridSpan w:val="2"/>
            <w:vAlign w:val="center"/>
          </w:tcPr>
          <w:p w14:paraId="7A50F270">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支持治安和卡口场景下，对图片中的人体、机动车、非机动车进行检测、属性分析、建模，提取人体、机动车、非机动车的相关属性和向量化特征。</w:t>
            </w:r>
          </w:p>
        </w:tc>
        <w:tc>
          <w:tcPr>
            <w:tcW w:w="366" w:type="pct"/>
            <w:vAlign w:val="center"/>
          </w:tcPr>
          <w:p w14:paraId="0E71AB1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万张/天</w:t>
            </w:r>
          </w:p>
        </w:tc>
        <w:tc>
          <w:tcPr>
            <w:tcW w:w="391" w:type="pct"/>
            <w:gridSpan w:val="3"/>
            <w:vAlign w:val="center"/>
          </w:tcPr>
          <w:p w14:paraId="39BDB40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r>
      <w:tr w14:paraId="63B7E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3" w:hRule="atLeast"/>
        </w:trPr>
        <w:tc>
          <w:tcPr>
            <w:tcW w:w="354" w:type="pct"/>
            <w:vAlign w:val="center"/>
          </w:tcPr>
          <w:p w14:paraId="2B59AED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14</w:t>
            </w:r>
          </w:p>
        </w:tc>
        <w:tc>
          <w:tcPr>
            <w:tcW w:w="353" w:type="pct"/>
            <w:gridSpan w:val="2"/>
            <w:vMerge w:val="continue"/>
            <w:vAlign w:val="center"/>
          </w:tcPr>
          <w:p w14:paraId="2A95E8AB">
            <w:pPr>
              <w:spacing w:line="360" w:lineRule="auto"/>
              <w:jc w:val="center"/>
              <w:rPr>
                <w:rFonts w:hint="eastAsia" w:ascii="宋体" w:hAnsi="宋体" w:cs="宋体"/>
                <w:color w:val="000000"/>
                <w:szCs w:val="21"/>
              </w:rPr>
            </w:pPr>
          </w:p>
        </w:tc>
        <w:tc>
          <w:tcPr>
            <w:tcW w:w="356" w:type="pct"/>
            <w:gridSpan w:val="2"/>
            <w:vAlign w:val="center"/>
          </w:tcPr>
          <w:p w14:paraId="540BAB2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全分析软件引擎版</w:t>
            </w:r>
          </w:p>
        </w:tc>
        <w:tc>
          <w:tcPr>
            <w:tcW w:w="3177" w:type="pct"/>
            <w:gridSpan w:val="2"/>
            <w:vAlign w:val="center"/>
          </w:tcPr>
          <w:p w14:paraId="5EB2F35A">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一、基础运行环境</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1、支持多种CPU类型、多种GPU计算平台、多种操作系统、多种形态部署、不同运行环境设备支持集群部署。</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二、核心功能</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1、支持rtsp协议取流处理视频数据，支持实时流、历史流，像素范围200万~800万；</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2、支持http协议取图处理图片数据，支持标准jpg/jpeg、bmp等；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3、支持分析任务调度，分析任务与算法引擎自动匹配，视频任务支持单GPU卡不同分辨率混跑，图片任务支持单张分析和批量分析；</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4、支持GPU硬件资源调度，算法包与硬件资源自动匹配，算法副本数量根据业务要求灵活调配；</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5、支持云存储对接，从云存储获取需要分析的图片数据，以及分析过程中图片数据存储到云存储；</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6、支持分析结果通过kafka中间件推送；</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7、支持运行多种智能分析算法，包含人脸、人体、车辆、城管、行为分析等；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8、支持多种算法授权控制机制，可根据业务场景支按并发或总量方式控制；</w:t>
            </w:r>
          </w:p>
        </w:tc>
        <w:tc>
          <w:tcPr>
            <w:tcW w:w="366" w:type="pct"/>
            <w:vAlign w:val="center"/>
          </w:tcPr>
          <w:p w14:paraId="122EB64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c>
          <w:tcPr>
            <w:tcW w:w="391" w:type="pct"/>
            <w:gridSpan w:val="3"/>
            <w:vAlign w:val="center"/>
          </w:tcPr>
          <w:p w14:paraId="2512F7C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6268E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54" w:type="pct"/>
            <w:vAlign w:val="center"/>
          </w:tcPr>
          <w:p w14:paraId="2073BA3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15</w:t>
            </w:r>
          </w:p>
        </w:tc>
        <w:tc>
          <w:tcPr>
            <w:tcW w:w="353" w:type="pct"/>
            <w:gridSpan w:val="2"/>
            <w:vMerge w:val="continue"/>
            <w:vAlign w:val="center"/>
          </w:tcPr>
          <w:p w14:paraId="12BAAA51">
            <w:pPr>
              <w:spacing w:line="360" w:lineRule="auto"/>
              <w:jc w:val="center"/>
              <w:rPr>
                <w:rFonts w:hint="eastAsia" w:ascii="宋体" w:hAnsi="宋体" w:cs="宋体"/>
                <w:color w:val="000000"/>
                <w:szCs w:val="21"/>
              </w:rPr>
            </w:pPr>
          </w:p>
        </w:tc>
        <w:tc>
          <w:tcPr>
            <w:tcW w:w="356" w:type="pct"/>
            <w:gridSpan w:val="2"/>
            <w:vAlign w:val="center"/>
          </w:tcPr>
          <w:p w14:paraId="1E24A7F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智能节点授权</w:t>
            </w:r>
          </w:p>
        </w:tc>
        <w:tc>
          <w:tcPr>
            <w:tcW w:w="3177" w:type="pct"/>
            <w:gridSpan w:val="2"/>
            <w:vAlign w:val="center"/>
          </w:tcPr>
          <w:p w14:paraId="7F4C6D97">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智能节点授权。</w:t>
            </w:r>
          </w:p>
        </w:tc>
        <w:tc>
          <w:tcPr>
            <w:tcW w:w="366" w:type="pct"/>
            <w:vAlign w:val="center"/>
          </w:tcPr>
          <w:p w14:paraId="3215494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个</w:t>
            </w:r>
          </w:p>
        </w:tc>
        <w:tc>
          <w:tcPr>
            <w:tcW w:w="391" w:type="pct"/>
            <w:gridSpan w:val="3"/>
            <w:vAlign w:val="center"/>
          </w:tcPr>
          <w:p w14:paraId="75A8A90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4149B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354" w:type="pct"/>
            <w:vAlign w:val="center"/>
          </w:tcPr>
          <w:p w14:paraId="6E6082F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16</w:t>
            </w:r>
          </w:p>
        </w:tc>
        <w:tc>
          <w:tcPr>
            <w:tcW w:w="353" w:type="pct"/>
            <w:gridSpan w:val="2"/>
            <w:vMerge w:val="continue"/>
            <w:vAlign w:val="center"/>
          </w:tcPr>
          <w:p w14:paraId="078DE600">
            <w:pPr>
              <w:spacing w:line="360" w:lineRule="auto"/>
              <w:jc w:val="center"/>
              <w:rPr>
                <w:rFonts w:hint="eastAsia" w:ascii="宋体" w:hAnsi="宋体" w:cs="宋体"/>
                <w:color w:val="000000"/>
                <w:szCs w:val="21"/>
              </w:rPr>
            </w:pPr>
          </w:p>
        </w:tc>
        <w:tc>
          <w:tcPr>
            <w:tcW w:w="356" w:type="pct"/>
            <w:gridSpan w:val="2"/>
            <w:vAlign w:val="center"/>
          </w:tcPr>
          <w:p w14:paraId="69BD499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算法仓库</w:t>
            </w:r>
          </w:p>
        </w:tc>
        <w:tc>
          <w:tcPr>
            <w:tcW w:w="3177" w:type="pct"/>
            <w:gridSpan w:val="2"/>
            <w:vAlign w:val="center"/>
          </w:tcPr>
          <w:p w14:paraId="1DBC2907">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支持直接通过算法名称关键字检索算法支持按行业分类、分析源类型、分析目标类型、算法分组标签对算法进行筛选支持查看算法的基本介绍，包含算法封面、算法名称、算法描述、算法版本切换、授权信息、上架时间等支持查看算法的可用范围、技术指标等详情信息，包含技术类型、分析源类型、分析目标、适用行业、场所、计算平台等支持查看图片格式、目标像素要求、目标遮挡粘连、画面质量、其他要求等算法应用条件信息。</w:t>
            </w:r>
          </w:p>
        </w:tc>
        <w:tc>
          <w:tcPr>
            <w:tcW w:w="366" w:type="pct"/>
            <w:vAlign w:val="center"/>
          </w:tcPr>
          <w:p w14:paraId="567EB3D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c>
          <w:tcPr>
            <w:tcW w:w="391" w:type="pct"/>
            <w:gridSpan w:val="3"/>
            <w:vAlign w:val="center"/>
          </w:tcPr>
          <w:p w14:paraId="55C6A8E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4FECC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354" w:type="pct"/>
            <w:vAlign w:val="center"/>
          </w:tcPr>
          <w:p w14:paraId="43B764D8">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17</w:t>
            </w:r>
          </w:p>
        </w:tc>
        <w:tc>
          <w:tcPr>
            <w:tcW w:w="353" w:type="pct"/>
            <w:gridSpan w:val="2"/>
            <w:vAlign w:val="center"/>
          </w:tcPr>
          <w:p w14:paraId="6DA49DD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数据集成</w:t>
            </w:r>
          </w:p>
        </w:tc>
        <w:tc>
          <w:tcPr>
            <w:tcW w:w="356" w:type="pct"/>
            <w:gridSpan w:val="2"/>
            <w:vAlign w:val="center"/>
          </w:tcPr>
          <w:p w14:paraId="5F48261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数据源适配授权</w:t>
            </w:r>
          </w:p>
        </w:tc>
        <w:tc>
          <w:tcPr>
            <w:tcW w:w="3177" w:type="pct"/>
            <w:gridSpan w:val="2"/>
            <w:vAlign w:val="center"/>
          </w:tcPr>
          <w:p w14:paraId="23551061">
            <w:pPr>
              <w:widowControl/>
              <w:spacing w:line="360" w:lineRule="auto"/>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1、支持在画布中拖拉拽输入插件、处理插件、输出插件形成数据流，输入插件和输出插件选择对应的数据源以及属性配置完成数据集成任务的开发。</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2、支持通过导入已有任务模板的方式快速生成数据集成任务。</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3、支持将数据集成任务根据不同的文件夹实现分组管理，支持修改数据集成任务的文件夹。</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4、支持查看所有数据集成任务，包括任务名称、运行状态、增量激活状态、节点数、创建者、创建时间、最近修改人、修改时间等信息。</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5、支持导出数据集成任务文件到本地和从本地导入数据集成任务到系统中。</w:t>
            </w:r>
          </w:p>
          <w:p w14:paraId="365D59C1">
            <w:pPr>
              <w:widowControl/>
              <w:spacing w:line="360" w:lineRule="auto"/>
              <w:jc w:val="left"/>
              <w:textAlignment w:val="center"/>
              <w:rPr>
                <w:rFonts w:hint="eastAsia" w:ascii="宋体" w:hAnsi="宋体" w:cs="宋体"/>
                <w:color w:val="000000"/>
                <w:szCs w:val="21"/>
              </w:rPr>
            </w:pPr>
            <w:r>
              <w:rPr>
                <w:rFonts w:ascii="宋体" w:hAnsi="宋体" w:cs="宋体"/>
                <w:color w:val="000000"/>
                <w:szCs w:val="21"/>
              </w:rPr>
              <w:t>▲6、系统接入国产数据库的数据，包含达梦（DM）、人大金仓(KING BASE)、南大通用(GBASE)。（需提供第三方权威机构出具的检测报告复印件）</w:t>
            </w:r>
          </w:p>
          <w:p w14:paraId="6DEAD450">
            <w:pPr>
              <w:widowControl/>
              <w:spacing w:line="360" w:lineRule="auto"/>
              <w:jc w:val="left"/>
              <w:textAlignment w:val="center"/>
              <w:rPr>
                <w:rFonts w:hint="eastAsia" w:ascii="宋体" w:hAnsi="宋体" w:cs="宋体"/>
                <w:color w:val="000000"/>
                <w:szCs w:val="21"/>
              </w:rPr>
            </w:pPr>
            <w:r>
              <w:rPr>
                <w:rFonts w:ascii="宋体" w:hAnsi="宋体" w:cs="宋体"/>
                <w:color w:val="000000"/>
                <w:szCs w:val="21"/>
              </w:rPr>
              <w:t>▲7、系统按数字、日期等业务字段进行数据增量字段的配置，可实现断点续传，指定偏移量进行数据增量抽取。（需提供第三方权威机构出具的检测报告复印件）</w:t>
            </w:r>
          </w:p>
        </w:tc>
        <w:tc>
          <w:tcPr>
            <w:tcW w:w="366" w:type="pct"/>
            <w:vAlign w:val="center"/>
          </w:tcPr>
          <w:p w14:paraId="64E0009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c>
          <w:tcPr>
            <w:tcW w:w="391" w:type="pct"/>
            <w:gridSpan w:val="3"/>
            <w:vAlign w:val="center"/>
          </w:tcPr>
          <w:p w14:paraId="008380B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r>
      <w:tr w14:paraId="4848E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54" w:type="pct"/>
            <w:vAlign w:val="center"/>
          </w:tcPr>
          <w:p w14:paraId="497463E3">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18</w:t>
            </w:r>
          </w:p>
        </w:tc>
        <w:tc>
          <w:tcPr>
            <w:tcW w:w="353" w:type="pct"/>
            <w:gridSpan w:val="2"/>
            <w:vMerge w:val="restart"/>
            <w:vAlign w:val="center"/>
          </w:tcPr>
          <w:p w14:paraId="1128CCC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对象存储平台</w:t>
            </w:r>
          </w:p>
        </w:tc>
        <w:tc>
          <w:tcPr>
            <w:tcW w:w="356" w:type="pct"/>
            <w:gridSpan w:val="2"/>
            <w:vAlign w:val="center"/>
          </w:tcPr>
          <w:p w14:paraId="654431C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存储系统管理服务</w:t>
            </w:r>
          </w:p>
        </w:tc>
        <w:tc>
          <w:tcPr>
            <w:tcW w:w="3177" w:type="pct"/>
            <w:gridSpan w:val="2"/>
            <w:vAlign w:val="center"/>
          </w:tcPr>
          <w:p w14:paraId="04357596">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1、基础管理服务，主要包括存储节点管理、负载均衡、弹性扩展等系统管理能力。</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2、对象存储服务，主要包含对象上传、下载、查询、拷贝等，支持跨节点数据存储安全保障。</w:t>
            </w:r>
          </w:p>
        </w:tc>
        <w:tc>
          <w:tcPr>
            <w:tcW w:w="366" w:type="pct"/>
            <w:vAlign w:val="center"/>
          </w:tcPr>
          <w:p w14:paraId="11EC9F03">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套</w:t>
            </w:r>
          </w:p>
        </w:tc>
        <w:tc>
          <w:tcPr>
            <w:tcW w:w="391" w:type="pct"/>
            <w:gridSpan w:val="3"/>
            <w:vAlign w:val="center"/>
          </w:tcPr>
          <w:p w14:paraId="3D9CED5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r>
      <w:tr w14:paraId="1759E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54" w:type="pct"/>
            <w:vAlign w:val="center"/>
          </w:tcPr>
          <w:p w14:paraId="3067AB4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19</w:t>
            </w:r>
          </w:p>
        </w:tc>
        <w:tc>
          <w:tcPr>
            <w:tcW w:w="353" w:type="pct"/>
            <w:gridSpan w:val="2"/>
            <w:vMerge w:val="continue"/>
            <w:vAlign w:val="center"/>
          </w:tcPr>
          <w:p w14:paraId="1421BD93">
            <w:pPr>
              <w:spacing w:line="360" w:lineRule="auto"/>
              <w:jc w:val="center"/>
              <w:rPr>
                <w:rFonts w:hint="eastAsia" w:ascii="宋体" w:hAnsi="宋体" w:cs="宋体"/>
                <w:color w:val="000000"/>
                <w:szCs w:val="21"/>
              </w:rPr>
            </w:pPr>
          </w:p>
        </w:tc>
        <w:tc>
          <w:tcPr>
            <w:tcW w:w="356" w:type="pct"/>
            <w:gridSpan w:val="2"/>
            <w:vAlign w:val="center"/>
          </w:tcPr>
          <w:p w14:paraId="6D72658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存储虚拟化服务授权</w:t>
            </w:r>
          </w:p>
        </w:tc>
        <w:tc>
          <w:tcPr>
            <w:tcW w:w="3177" w:type="pct"/>
            <w:gridSpan w:val="2"/>
            <w:vAlign w:val="center"/>
          </w:tcPr>
          <w:p w14:paraId="58ADBD90">
            <w:pPr>
              <w:widowControl/>
              <w:spacing w:line="360" w:lineRule="auto"/>
              <w:jc w:val="left"/>
              <w:textAlignment w:val="center"/>
              <w:rPr>
                <w:rFonts w:hint="eastAsia" w:ascii="宋体" w:hAnsi="宋体" w:cs="宋体"/>
                <w:color w:val="000000"/>
                <w:szCs w:val="21"/>
              </w:rPr>
            </w:pPr>
            <w:r>
              <w:rPr>
                <w:rFonts w:hint="eastAsia" w:ascii="宋体" w:hAnsi="宋体" w:cs="宋体"/>
                <w:color w:val="000000"/>
                <w:kern w:val="0"/>
                <w:szCs w:val="21"/>
                <w:lang w:bidi="ar"/>
              </w:rPr>
              <w:t>存储资源虚拟化功能，为应用提供池化资源服务。</w:t>
            </w:r>
          </w:p>
        </w:tc>
        <w:tc>
          <w:tcPr>
            <w:tcW w:w="366" w:type="pct"/>
            <w:vAlign w:val="center"/>
          </w:tcPr>
          <w:p w14:paraId="1C4E2F2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TB</w:t>
            </w:r>
          </w:p>
        </w:tc>
        <w:tc>
          <w:tcPr>
            <w:tcW w:w="391" w:type="pct"/>
            <w:gridSpan w:val="3"/>
            <w:vAlign w:val="center"/>
          </w:tcPr>
          <w:p w14:paraId="7E72DB7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192</w:t>
            </w:r>
          </w:p>
        </w:tc>
      </w:tr>
    </w:tbl>
    <w:p w14:paraId="6E536852">
      <w:pPr>
        <w:pStyle w:val="10"/>
        <w:rPr>
          <w:rFonts w:hint="eastAsia" w:ascii="宋体" w:hAnsi="宋体" w:cs="宋体"/>
          <w:b/>
          <w:bCs/>
          <w:color w:val="FF0000"/>
          <w:sz w:val="24"/>
          <w:szCs w:val="24"/>
        </w:rPr>
      </w:pPr>
    </w:p>
    <w:p w14:paraId="10D5FC7D">
      <w:pPr>
        <w:spacing w:line="360" w:lineRule="auto"/>
        <w:ind w:firstLine="420"/>
        <w:rPr>
          <w:rFonts w:hint="eastAsia" w:asciiTheme="minorEastAsia" w:hAnsiTheme="minorEastAsia" w:eastAsiaTheme="minorEastAsia" w:cstheme="minorEastAsia"/>
          <w:sz w:val="28"/>
          <w:szCs w:val="28"/>
        </w:rPr>
        <w:sectPr>
          <w:pgSz w:w="16838" w:h="11906" w:orient="landscape"/>
          <w:pgMar w:top="1321" w:right="1559" w:bottom="1134" w:left="1020" w:header="851" w:footer="397" w:gutter="0"/>
          <w:cols w:space="720" w:num="1"/>
          <w:docGrid w:type="lines" w:linePitch="315" w:charSpace="0"/>
        </w:sectPr>
      </w:pPr>
      <w:r>
        <w:rPr>
          <w:rFonts w:hint="eastAsia" w:asciiTheme="minorEastAsia" w:hAnsiTheme="minorEastAsia" w:eastAsiaTheme="minorEastAsia" w:cstheme="minorEastAsia"/>
          <w:b/>
          <w:color w:val="000000"/>
          <w:sz w:val="22"/>
          <w:szCs w:val="28"/>
        </w:rPr>
        <w:t>注：本采购文件的采购内容及参数要求由采购人提供。</w:t>
      </w:r>
    </w:p>
    <w:p w14:paraId="7C44140F">
      <w:pPr>
        <w:numPr>
          <w:ilvl w:val="0"/>
          <w:numId w:val="5"/>
        </w:numPr>
        <w:snapToGrid w:val="0"/>
        <w:spacing w:line="360" w:lineRule="auto"/>
        <w:jc w:val="center"/>
        <w:rPr>
          <w:rFonts w:hint="eastAsia" w:ascii="宋体" w:hAnsi="宋体" w:cs="宋体"/>
          <w:b/>
          <w:sz w:val="32"/>
          <w:szCs w:val="32"/>
        </w:rPr>
      </w:pPr>
      <w:r>
        <w:rPr>
          <w:rFonts w:hint="eastAsia" w:ascii="宋体" w:hAnsi="宋体" w:cs="宋体"/>
          <w:b/>
          <w:sz w:val="32"/>
          <w:szCs w:val="32"/>
        </w:rPr>
        <w:t xml:space="preserve"> 商务及合同主要条款</w:t>
      </w:r>
    </w:p>
    <w:p w14:paraId="5AC27CAF">
      <w:pPr>
        <w:pStyle w:val="10"/>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（最终以双方签订的合同为准）</w:t>
      </w:r>
    </w:p>
    <w:p w14:paraId="72361B84">
      <w:pPr>
        <w:tabs>
          <w:tab w:val="left" w:pos="600"/>
          <w:tab w:val="left" w:pos="1140"/>
        </w:tabs>
        <w:spacing w:line="360" w:lineRule="auto"/>
        <w:ind w:firstLine="482" w:firstLineChars="200"/>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甲方：</w:t>
      </w:r>
      <w:r>
        <w:rPr>
          <w:rFonts w:hint="eastAsia" w:asciiTheme="minorEastAsia" w:hAnsiTheme="minorEastAsia" w:eastAsiaTheme="minorEastAsia" w:cstheme="minorEastAsia"/>
          <w:b/>
          <w:bCs/>
          <w:sz w:val="24"/>
          <w:u w:val="single"/>
        </w:rPr>
        <w:t xml:space="preserve">延安市公安局 </w:t>
      </w:r>
      <w:r>
        <w:rPr>
          <w:rFonts w:hint="eastAsia" w:asciiTheme="minorEastAsia" w:hAnsiTheme="minorEastAsia" w:eastAsiaTheme="minorEastAsia" w:cstheme="minorEastAsia"/>
          <w:b/>
          <w:bCs/>
          <w:sz w:val="24"/>
        </w:rPr>
        <w:t xml:space="preserve">                      签订日期：2026年  月   日</w:t>
      </w:r>
    </w:p>
    <w:p w14:paraId="20CA7DE8">
      <w:pPr>
        <w:spacing w:line="360" w:lineRule="auto"/>
        <w:ind w:firstLine="482" w:firstLineChars="200"/>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乙方：</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                     签订地点：</w:t>
      </w:r>
      <w:r>
        <w:rPr>
          <w:rFonts w:hint="eastAsia" w:asciiTheme="minorEastAsia" w:hAnsiTheme="minorEastAsia" w:eastAsiaTheme="minorEastAsia" w:cstheme="minorEastAsia"/>
          <w:b/>
          <w:bCs/>
          <w:sz w:val="24"/>
          <w:u w:val="single"/>
        </w:rPr>
        <w:t xml:space="preserve">                    </w:t>
      </w:r>
    </w:p>
    <w:p w14:paraId="134CF6F0">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根据《中华人民共和国政府采购法》、《中华人民共和国民法典》及相关规定，为明确甲、乙双方责任，经甲、乙双方充分协商，特订立本合同，以便共同遵守。 </w:t>
      </w:r>
      <w:bookmarkStart w:id="0" w:name="f_gp191"/>
      <w:bookmarkEnd w:id="0"/>
      <w:bookmarkStart w:id="1" w:name="f_gp190"/>
      <w:bookmarkEnd w:id="1"/>
      <w:bookmarkStart w:id="2" w:name="f_gp192"/>
      <w:bookmarkEnd w:id="2"/>
      <w:bookmarkStart w:id="3" w:name="f_gp193"/>
      <w:bookmarkEnd w:id="3"/>
    </w:p>
    <w:p w14:paraId="0AAA1DDF">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一、合同价款：</w:t>
      </w:r>
    </w:p>
    <w:p w14:paraId="3B48AED5">
      <w:pPr>
        <w:adjustRightInd w:val="0"/>
        <w:snapToGrid w:val="0"/>
        <w:spacing w:line="360" w:lineRule="auto"/>
        <w:ind w:firstLine="480" w:firstLineChars="200"/>
        <w:rPr>
          <w:rFonts w:hint="eastAsia" w:asciiTheme="minorEastAsia" w:hAnsiTheme="minorEastAsia" w:eastAsiaTheme="minorEastAsia" w:cstheme="minorEastAsia"/>
          <w:bCs/>
          <w:sz w:val="24"/>
        </w:rPr>
      </w:pPr>
      <w:bookmarkStart w:id="4" w:name="_Toc1340"/>
      <w:r>
        <w:rPr>
          <w:rFonts w:hint="eastAsia" w:asciiTheme="minorEastAsia" w:hAnsiTheme="minorEastAsia" w:eastAsiaTheme="minorEastAsia" w:cstheme="minorEastAsia"/>
          <w:bCs/>
          <w:sz w:val="24"/>
          <w:lang w:bidi="ar"/>
        </w:rPr>
        <w:t>（一）合同总价款为人民币（大写）</w:t>
      </w:r>
      <w:bookmarkEnd w:id="4"/>
      <w:r>
        <w:rPr>
          <w:rFonts w:hint="eastAsia" w:asciiTheme="minorEastAsia" w:hAnsiTheme="minorEastAsia" w:eastAsiaTheme="minorEastAsia" w:cstheme="minorEastAsia"/>
          <w:bCs/>
          <w:sz w:val="24"/>
          <w:u w:val="single"/>
          <w:lang w:bidi="ar"/>
        </w:rPr>
        <w:t xml:space="preserve">        </w:t>
      </w:r>
      <w:r>
        <w:rPr>
          <w:rFonts w:hint="eastAsia" w:asciiTheme="minorEastAsia" w:hAnsiTheme="minorEastAsia" w:eastAsiaTheme="minorEastAsia" w:cstheme="minorEastAsia"/>
          <w:bCs/>
          <w:sz w:val="24"/>
          <w:lang w:bidi="ar"/>
        </w:rPr>
        <w:t>（￥</w:t>
      </w:r>
      <w:r>
        <w:rPr>
          <w:rFonts w:hint="eastAsia" w:asciiTheme="minorEastAsia" w:hAnsiTheme="minorEastAsia" w:eastAsiaTheme="minorEastAsia" w:cstheme="minorEastAsia"/>
          <w:bCs/>
          <w:sz w:val="24"/>
          <w:u w:val="single"/>
          <w:lang w:bidi="ar"/>
        </w:rPr>
        <w:t xml:space="preserve">      </w:t>
      </w:r>
      <w:r>
        <w:rPr>
          <w:rFonts w:hint="eastAsia" w:asciiTheme="minorEastAsia" w:hAnsiTheme="minorEastAsia" w:eastAsiaTheme="minorEastAsia" w:cstheme="minorEastAsia"/>
          <w:bCs/>
          <w:sz w:val="24"/>
          <w:lang w:bidi="ar"/>
        </w:rPr>
        <w:t>）。</w:t>
      </w:r>
    </w:p>
    <w:p w14:paraId="6E67EB68">
      <w:pPr>
        <w:adjustRightInd w:val="0"/>
        <w:snapToGrid w:val="0"/>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bidi="ar"/>
        </w:rPr>
        <w:t>（二）合同总价包括：包括但不限于完成本次招标所要求的货物、服务至验收合格的其他一切相关费用。</w:t>
      </w:r>
    </w:p>
    <w:p w14:paraId="23BEE04E">
      <w:pPr>
        <w:adjustRightInd w:val="0"/>
        <w:snapToGrid w:val="0"/>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bidi="ar"/>
        </w:rPr>
        <w:t>（三）合同总价为固定总价，不受市场价格变化因素的影响。</w:t>
      </w:r>
    </w:p>
    <w:p w14:paraId="6CAFDCFC">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二、款项结算</w:t>
      </w:r>
    </w:p>
    <w:p w14:paraId="31BDA8C8">
      <w:pPr>
        <w:pStyle w:val="29"/>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（一）付款方式：合同签订后支付合同价款的</w:t>
      </w:r>
      <w:r>
        <w:rPr>
          <w:rFonts w:hint="eastAsia" w:asciiTheme="minorEastAsia" w:hAnsiTheme="minorEastAsia" w:eastAsiaTheme="minorEastAsia" w:cstheme="minorEastAsia"/>
          <w:sz w:val="24"/>
          <w:szCs w:val="24"/>
          <w:u w:val="single"/>
        </w:rPr>
        <w:t xml:space="preserve"> 40 </w:t>
      </w:r>
      <w:r>
        <w:rPr>
          <w:rFonts w:hint="eastAsia" w:asciiTheme="minorEastAsia" w:hAnsiTheme="minorEastAsia" w:eastAsiaTheme="minorEastAsia" w:cstheme="minorEastAsia"/>
          <w:sz w:val="24"/>
          <w:szCs w:val="24"/>
        </w:rPr>
        <w:t>%，项目验收合格后支付合同价款的</w:t>
      </w:r>
      <w:r>
        <w:rPr>
          <w:rFonts w:hint="eastAsia" w:asciiTheme="minorEastAsia" w:hAnsiTheme="minorEastAsia" w:eastAsiaTheme="minorEastAsia" w:cstheme="minorEastAsia"/>
          <w:sz w:val="24"/>
          <w:szCs w:val="24"/>
          <w:u w:val="single"/>
        </w:rPr>
        <w:t xml:space="preserve"> 30 </w:t>
      </w:r>
      <w:r>
        <w:rPr>
          <w:rFonts w:hint="eastAsia" w:asciiTheme="minorEastAsia" w:hAnsiTheme="minorEastAsia" w:eastAsiaTheme="minorEastAsia" w:cstheme="minorEastAsia"/>
          <w:sz w:val="24"/>
          <w:szCs w:val="24"/>
        </w:rPr>
        <w:t>%，剩余尾款经第三方审计并出具审计报告，待财政资金拨付后以最终审定金额一次性结清。</w:t>
      </w:r>
    </w:p>
    <w:p w14:paraId="5400D699">
      <w:pPr>
        <w:pStyle w:val="29"/>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（二）支付方式：银行转账。</w:t>
      </w:r>
    </w:p>
    <w:p w14:paraId="3F359289">
      <w:pPr>
        <w:pStyle w:val="29"/>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（三）结算方式：甲方结算，在付款前乙方必须开具增值税发票给甲方。</w:t>
      </w:r>
    </w:p>
    <w:p w14:paraId="05435B47">
      <w:pPr>
        <w:pStyle w:val="26"/>
        <w:spacing w:line="360" w:lineRule="auto"/>
        <w:ind w:firstLine="48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szCs w:val="24"/>
        </w:rPr>
        <w:t>三、交付期：合同签订之日起60日历天</w:t>
      </w:r>
      <w:r>
        <w:rPr>
          <w:rFonts w:hint="eastAsia" w:asciiTheme="minorEastAsia" w:hAnsiTheme="minorEastAsia" w:eastAsiaTheme="minorEastAsia" w:cstheme="minorEastAsia"/>
          <w:bCs/>
          <w:sz w:val="24"/>
        </w:rPr>
        <w:t>。</w:t>
      </w:r>
    </w:p>
    <w:p w14:paraId="04116D8A">
      <w:pPr>
        <w:pStyle w:val="26"/>
        <w:spacing w:line="360" w:lineRule="auto"/>
        <w:ind w:firstLine="48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四、质保期：1年</w:t>
      </w:r>
    </w:p>
    <w:p w14:paraId="2BA40A32">
      <w:pPr>
        <w:pStyle w:val="26"/>
        <w:spacing w:line="360" w:lineRule="auto"/>
        <w:ind w:firstLine="48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五、质量目标：满足</w:t>
      </w:r>
      <w:r>
        <w:rPr>
          <w:rFonts w:hint="eastAsia" w:asciiTheme="minorEastAsia" w:hAnsiTheme="minorEastAsia" w:eastAsiaTheme="minorEastAsia" w:cstheme="minorEastAsia"/>
          <w:sz w:val="24"/>
          <w:szCs w:val="24"/>
        </w:rPr>
        <w:t>甲方</w:t>
      </w:r>
      <w:r>
        <w:rPr>
          <w:rFonts w:hint="eastAsia" w:asciiTheme="minorEastAsia" w:hAnsiTheme="minorEastAsia" w:eastAsiaTheme="minorEastAsia" w:cstheme="minorEastAsia"/>
          <w:bCs/>
          <w:sz w:val="24"/>
        </w:rPr>
        <w:t>实际需求及国家和行业现行标准。</w:t>
      </w:r>
    </w:p>
    <w:p w14:paraId="4F27E971">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六、实施区域：</w:t>
      </w:r>
      <w:r>
        <w:rPr>
          <w:rFonts w:hint="eastAsia" w:asciiTheme="minorEastAsia" w:hAnsiTheme="minorEastAsia" w:eastAsiaTheme="minorEastAsia" w:cstheme="minorEastAsia"/>
          <w:bCs/>
          <w:sz w:val="24"/>
          <w:szCs w:val="22"/>
        </w:rPr>
        <w:t>延安市公安局指定地点</w:t>
      </w:r>
    </w:p>
    <w:p w14:paraId="4933869E">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七、采购内容和要求：详见第三部分招标内容及技术要求</w:t>
      </w:r>
    </w:p>
    <w:p w14:paraId="58C02AD2">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八、质保措施</w:t>
      </w:r>
    </w:p>
    <w:p w14:paraId="5F37A8CF">
      <w:pPr>
        <w:adjustRightInd w:val="0"/>
        <w:spacing w:line="360" w:lineRule="auto"/>
        <w:ind w:firstLine="480" w:firstLineChars="200"/>
        <w:rPr>
          <w:rFonts w:hint="eastAsia" w:ascii="宋体" w:hAnsi="宋体" w:cs="宋体"/>
          <w:sz w:val="24"/>
        </w:rPr>
      </w:pPr>
      <w:r>
        <w:rPr>
          <w:rFonts w:hint="eastAsia" w:asciiTheme="minorEastAsia" w:hAnsiTheme="minorEastAsia" w:eastAsiaTheme="minorEastAsia" w:cstheme="minorEastAsia"/>
          <w:sz w:val="24"/>
        </w:rPr>
        <w:t>乙方应根据招标内容保质保量完成任务，</w:t>
      </w:r>
      <w:r>
        <w:rPr>
          <w:rFonts w:hint="eastAsia" w:ascii="宋体" w:hAnsi="宋体" w:cs="宋体"/>
          <w:sz w:val="24"/>
        </w:rPr>
        <w:t>若因</w:t>
      </w:r>
      <w:r>
        <w:rPr>
          <w:rFonts w:hint="eastAsia" w:asciiTheme="minorEastAsia" w:hAnsiTheme="minorEastAsia" w:eastAsiaTheme="minorEastAsia" w:cstheme="minorEastAsia"/>
          <w:sz w:val="24"/>
        </w:rPr>
        <w:t>乙方</w:t>
      </w:r>
      <w:r>
        <w:rPr>
          <w:rFonts w:hint="eastAsia" w:ascii="宋体" w:hAnsi="宋体" w:cs="宋体"/>
          <w:sz w:val="24"/>
        </w:rPr>
        <w:t>原因未能在合同履约期内完成规定的义务，由此对</w:t>
      </w:r>
      <w:r>
        <w:rPr>
          <w:rFonts w:hint="eastAsia" w:asciiTheme="minorEastAsia" w:hAnsiTheme="minorEastAsia" w:eastAsiaTheme="minorEastAsia" w:cstheme="minorEastAsia"/>
          <w:sz w:val="24"/>
        </w:rPr>
        <w:t>甲方</w:t>
      </w:r>
      <w:r>
        <w:rPr>
          <w:rFonts w:hint="eastAsia" w:ascii="宋体" w:hAnsi="宋体" w:cs="宋体"/>
          <w:sz w:val="24"/>
        </w:rPr>
        <w:t>造成的延误和一切损失，由</w:t>
      </w:r>
      <w:r>
        <w:rPr>
          <w:rFonts w:hint="eastAsia" w:asciiTheme="minorEastAsia" w:hAnsiTheme="minorEastAsia" w:eastAsiaTheme="minorEastAsia" w:cstheme="minorEastAsia"/>
          <w:sz w:val="24"/>
        </w:rPr>
        <w:t>乙方</w:t>
      </w:r>
      <w:r>
        <w:rPr>
          <w:rFonts w:hint="eastAsia" w:ascii="宋体" w:hAnsi="宋体" w:cs="宋体"/>
          <w:sz w:val="24"/>
        </w:rPr>
        <w:t>承担并赔偿甲方。</w:t>
      </w:r>
    </w:p>
    <w:p w14:paraId="7553E3F7">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九、违约责任：</w:t>
      </w:r>
    </w:p>
    <w:p w14:paraId="2E5D619C">
      <w:pPr>
        <w:kinsoku w:val="0"/>
        <w:spacing w:line="360" w:lineRule="auto"/>
        <w:ind w:firstLine="480" w:firstLineChars="200"/>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9.1按照《中华人民共和国民法典》中的相关条款执行；</w:t>
      </w:r>
    </w:p>
    <w:p w14:paraId="4F766048">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9.2未按合同要求提供相关服务或货物的质量不能满足技术要求的，甲方会同有关单位，有权终止合同和对乙方违约进行追究。</w:t>
      </w:r>
    </w:p>
    <w:p w14:paraId="0B58965B">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十、验收：</w:t>
      </w:r>
    </w:p>
    <w:p w14:paraId="608CDF9F">
      <w:pPr>
        <w:pStyle w:val="26"/>
        <w:spacing w:line="360" w:lineRule="auto"/>
        <w:ind w:firstLine="42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10.1.所有软硬件产品安装、调试完毕，正常使用10个日历日后，由甲方进行验收（最终验收），合格后签发《终验合格单》；</w:t>
      </w:r>
    </w:p>
    <w:p w14:paraId="176BCA4E">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验收不合格的软件产品或硬件设备，乙方必须在接到通知后7个日历日内确保产品通过验收。如接到通知后7个日历日内验收仍不合格，甲方可提出索赔或取消其服务合同，由此带来的一切后果由乙方承担，甲方将把中标资格授予评审排序下一名的投标单位或重新组织采购；</w:t>
      </w:r>
    </w:p>
    <w:p w14:paraId="1D3CC943">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10.3验收依据</w:t>
      </w:r>
      <w:bookmarkStart w:id="5" w:name="_Toc167712847"/>
      <w:bookmarkStart w:id="6" w:name="_Toc167715242"/>
      <w:bookmarkStart w:id="7" w:name="_Toc167714045"/>
    </w:p>
    <w:p w14:paraId="4001C849">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（1）合同文本及合同补充文件（条款）</w:t>
      </w:r>
      <w:bookmarkEnd w:id="5"/>
      <w:bookmarkEnd w:id="6"/>
      <w:bookmarkEnd w:id="7"/>
      <w:r>
        <w:rPr>
          <w:rFonts w:hint="eastAsia" w:asciiTheme="minorEastAsia" w:hAnsiTheme="minorEastAsia" w:eastAsiaTheme="minorEastAsia" w:cstheme="minorEastAsia"/>
          <w:sz w:val="24"/>
          <w:szCs w:val="24"/>
        </w:rPr>
        <w:t>；</w:t>
      </w:r>
    </w:p>
    <w:p w14:paraId="1F6D7429">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（2）售后服务承诺函；</w:t>
      </w:r>
    </w:p>
    <w:p w14:paraId="450E01FD">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（3）符合招投标文件的技术规范和标准；</w:t>
      </w:r>
    </w:p>
    <w:p w14:paraId="456F307C">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（4）合同服务清单内容；</w:t>
      </w:r>
    </w:p>
    <w:p w14:paraId="55A3DC43">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（5）中标单位资质、产品检验报告等；</w:t>
      </w:r>
    </w:p>
    <w:p w14:paraId="0A45E0AB">
      <w:pPr>
        <w:pStyle w:val="26"/>
        <w:spacing w:line="360" w:lineRule="auto"/>
        <w:ind w:firstLine="480"/>
        <w:rPr>
          <w:rFonts w:hint="eastAsia" w:asciiTheme="minorEastAsia" w:hAnsiTheme="minorEastAsia" w:eastAsiaTheme="minorEastAsia" w:cstheme="minorEastAsia"/>
          <w:sz w:val="24"/>
          <w:szCs w:val="24"/>
        </w:rPr>
      </w:pPr>
      <w:bookmarkStart w:id="8" w:name="_Toc167714062"/>
      <w:bookmarkStart w:id="9" w:name="_Toc167715259"/>
      <w:bookmarkStart w:id="10" w:name="_Toc167712864"/>
      <w:bookmarkStart w:id="11" w:name="_Toc167714065"/>
      <w:bookmarkStart w:id="12" w:name="_Toc167715262"/>
      <w:bookmarkStart w:id="13" w:name="_Toc167712867"/>
      <w:r>
        <w:rPr>
          <w:rFonts w:hint="eastAsia" w:asciiTheme="minorEastAsia" w:hAnsiTheme="minorEastAsia" w:eastAsiaTheme="minorEastAsia" w:cstheme="minorEastAsia"/>
          <w:sz w:val="24"/>
          <w:szCs w:val="24"/>
        </w:rPr>
        <w:t>（6）软硬件产品安装调试完毕后，乙方必须安排技术人员对使用单位的管理人员进行维护保养方面的技能培训</w:t>
      </w:r>
      <w:bookmarkEnd w:id="8"/>
      <w:bookmarkEnd w:id="9"/>
      <w:bookmarkEnd w:id="10"/>
      <w:r>
        <w:rPr>
          <w:rFonts w:hint="eastAsia" w:asciiTheme="minorEastAsia" w:hAnsiTheme="minorEastAsia" w:eastAsiaTheme="minorEastAsia" w:cstheme="minorEastAsia"/>
          <w:sz w:val="24"/>
          <w:szCs w:val="24"/>
        </w:rPr>
        <w:t>。</w:t>
      </w:r>
      <w:bookmarkEnd w:id="11"/>
      <w:bookmarkEnd w:id="12"/>
      <w:bookmarkEnd w:id="13"/>
    </w:p>
    <w:p w14:paraId="35C8A9EF">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十一、合同争议的解决：合同执行中发生争议的，当事人双方应协商解决，协商达不成一致时，可向延安市仲裁委员会申请仲裁或者向甲方所在地的人民法院提请诉讼。</w:t>
      </w:r>
    </w:p>
    <w:p w14:paraId="6E2BF6EF">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十二、合同一经签订，不得擅自变更、中止或者终止合同。对确需变更、调整或者中止、终止合同的，应按规定履行相应的手续。</w:t>
      </w:r>
    </w:p>
    <w:p w14:paraId="27AD291C">
      <w:pPr>
        <w:pStyle w:val="26"/>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十三、合同期内，未尽事宜，双方可根据服务需要，另立补充协议，补充协议是本合同的重要组成部分，具有同等法律效力。</w:t>
      </w:r>
    </w:p>
    <w:p w14:paraId="390EDB6F">
      <w:pPr>
        <w:tabs>
          <w:tab w:val="left" w:pos="980"/>
        </w:tabs>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十四、本合同一式肆份，甲方、乙方各执贰份，签字盖章后生效，合同执行完毕自动失效（合同的服务承诺则长期有效）。</w:t>
      </w:r>
    </w:p>
    <w:p w14:paraId="0A04F703">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十五、招标文件、投标文件、澄清资料、评审资料、国家相应的标准、规范等为合同的必要构件。</w:t>
      </w:r>
    </w:p>
    <w:p w14:paraId="7B84DEB7">
      <w:pPr>
        <w:spacing w:line="360" w:lineRule="auto"/>
        <w:ind w:firstLine="480" w:firstLineChars="200"/>
        <w:rPr>
          <w:rFonts w:hint="eastAsia" w:asciiTheme="minorEastAsia" w:hAnsiTheme="minorEastAsia" w:eastAsiaTheme="minorEastAsia" w:cstheme="minorEastAsia"/>
          <w:sz w:val="24"/>
        </w:rPr>
      </w:pPr>
    </w:p>
    <w:p w14:paraId="33610E43">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p>
    <w:p w14:paraId="2D6CFCE1">
      <w:pPr>
        <w:spacing w:line="360" w:lineRule="auto"/>
        <w:ind w:firstLine="480" w:firstLineChars="200"/>
        <w:rPr>
          <w:rFonts w:hint="eastAsia" w:asciiTheme="minorEastAsia" w:hAnsiTheme="minorEastAsia" w:eastAsiaTheme="minorEastAsia" w:cstheme="minorEastAsia"/>
          <w:sz w:val="24"/>
        </w:rPr>
      </w:pPr>
    </w:p>
    <w:tbl>
      <w:tblPr>
        <w:tblStyle w:val="18"/>
        <w:tblW w:w="474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90"/>
        <w:gridCol w:w="4588"/>
      </w:tblGrid>
      <w:tr w14:paraId="2F675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2500" w:type="pct"/>
            <w:vAlign w:val="center"/>
          </w:tcPr>
          <w:p w14:paraId="492E03BA">
            <w:pPr>
              <w:spacing w:line="420" w:lineRule="exact"/>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甲  方</w:t>
            </w:r>
          </w:p>
        </w:tc>
        <w:tc>
          <w:tcPr>
            <w:tcW w:w="2499" w:type="pct"/>
            <w:vAlign w:val="center"/>
          </w:tcPr>
          <w:p w14:paraId="0551D50F">
            <w:pPr>
              <w:spacing w:line="420" w:lineRule="exact"/>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乙  方</w:t>
            </w:r>
          </w:p>
        </w:tc>
      </w:tr>
      <w:tr w14:paraId="0891F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9" w:hRule="atLeast"/>
        </w:trPr>
        <w:tc>
          <w:tcPr>
            <w:tcW w:w="2500" w:type="pct"/>
            <w:vAlign w:val="center"/>
          </w:tcPr>
          <w:p w14:paraId="2A53598A">
            <w:pPr>
              <w:spacing w:line="420" w:lineRule="exact"/>
              <w:jc w:val="center"/>
              <w:rPr>
                <w:rFonts w:hint="eastAsia" w:asciiTheme="minorEastAsia" w:hAnsiTheme="minorEastAsia" w:eastAsiaTheme="minorEastAsia" w:cstheme="minorEastAsia"/>
                <w:bCs/>
                <w:sz w:val="24"/>
              </w:rPr>
            </w:pPr>
          </w:p>
          <w:p w14:paraId="5A9EC239">
            <w:pPr>
              <w:spacing w:line="420" w:lineRule="exact"/>
              <w:jc w:val="center"/>
              <w:rPr>
                <w:rFonts w:hint="eastAsia" w:asciiTheme="minorEastAsia" w:hAnsiTheme="minorEastAsia" w:eastAsiaTheme="minorEastAsia" w:cstheme="minorEastAsia"/>
                <w:bCs/>
                <w:sz w:val="24"/>
              </w:rPr>
            </w:pPr>
          </w:p>
          <w:p w14:paraId="178DDC4D">
            <w:pPr>
              <w:spacing w:line="420" w:lineRule="exact"/>
              <w:jc w:val="center"/>
              <w:rPr>
                <w:rFonts w:hint="eastAsia" w:asciiTheme="minorEastAsia" w:hAnsiTheme="minorEastAsia" w:eastAsiaTheme="minorEastAsia" w:cstheme="minorEastAsia"/>
                <w:bCs/>
                <w:sz w:val="24"/>
              </w:rPr>
            </w:pPr>
          </w:p>
          <w:p w14:paraId="38493669">
            <w:pPr>
              <w:pStyle w:val="16"/>
              <w:rPr>
                <w:rFonts w:hint="eastAsia" w:asciiTheme="minorEastAsia" w:hAnsiTheme="minorEastAsia" w:eastAsiaTheme="minorEastAsia" w:cstheme="minorEastAsia"/>
                <w:bCs/>
              </w:rPr>
            </w:pPr>
          </w:p>
          <w:p w14:paraId="6BB93C13">
            <w:pPr>
              <w:pStyle w:val="16"/>
              <w:rPr>
                <w:rFonts w:hint="eastAsia" w:asciiTheme="minorEastAsia" w:hAnsiTheme="minorEastAsia" w:eastAsiaTheme="minorEastAsia" w:cstheme="minorEastAsia"/>
                <w:bCs/>
              </w:rPr>
            </w:pPr>
          </w:p>
          <w:p w14:paraId="3C428E41">
            <w:pPr>
              <w:pStyle w:val="16"/>
              <w:rPr>
                <w:rFonts w:hint="eastAsia" w:asciiTheme="minorEastAsia" w:hAnsiTheme="minorEastAsia" w:eastAsiaTheme="minorEastAsia" w:cstheme="minorEastAsia"/>
                <w:bCs/>
              </w:rPr>
            </w:pPr>
          </w:p>
          <w:p w14:paraId="60581613">
            <w:pPr>
              <w:spacing w:line="420" w:lineRule="exact"/>
              <w:jc w:val="center"/>
              <w:rPr>
                <w:rFonts w:hint="eastAsia" w:asciiTheme="minorEastAsia" w:hAnsiTheme="minorEastAsia" w:eastAsiaTheme="minorEastAsia" w:cstheme="minorEastAsia"/>
                <w:bCs/>
                <w:sz w:val="24"/>
              </w:rPr>
            </w:pPr>
          </w:p>
          <w:p w14:paraId="2E53B52A">
            <w:pPr>
              <w:spacing w:line="420" w:lineRule="exact"/>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（盖章）</w:t>
            </w:r>
          </w:p>
        </w:tc>
        <w:tc>
          <w:tcPr>
            <w:tcW w:w="2499" w:type="pct"/>
            <w:vAlign w:val="center"/>
          </w:tcPr>
          <w:p w14:paraId="5C59D310">
            <w:pPr>
              <w:spacing w:line="420" w:lineRule="exact"/>
              <w:jc w:val="center"/>
              <w:rPr>
                <w:rFonts w:hint="eastAsia" w:asciiTheme="minorEastAsia" w:hAnsiTheme="minorEastAsia" w:eastAsiaTheme="minorEastAsia" w:cstheme="minorEastAsia"/>
                <w:bCs/>
                <w:sz w:val="24"/>
              </w:rPr>
            </w:pPr>
          </w:p>
          <w:p w14:paraId="7D02FF99">
            <w:pPr>
              <w:spacing w:line="420" w:lineRule="exact"/>
              <w:jc w:val="center"/>
              <w:rPr>
                <w:rFonts w:hint="eastAsia" w:asciiTheme="minorEastAsia" w:hAnsiTheme="minorEastAsia" w:eastAsiaTheme="minorEastAsia" w:cstheme="minorEastAsia"/>
                <w:bCs/>
                <w:sz w:val="24"/>
              </w:rPr>
            </w:pPr>
          </w:p>
          <w:p w14:paraId="77149B45">
            <w:pPr>
              <w:spacing w:line="420" w:lineRule="exact"/>
              <w:jc w:val="center"/>
              <w:rPr>
                <w:rFonts w:hint="eastAsia" w:asciiTheme="minorEastAsia" w:hAnsiTheme="minorEastAsia" w:eastAsiaTheme="minorEastAsia" w:cstheme="minorEastAsia"/>
                <w:bCs/>
                <w:sz w:val="24"/>
              </w:rPr>
            </w:pPr>
          </w:p>
          <w:p w14:paraId="6C95AEA9">
            <w:pPr>
              <w:spacing w:line="420" w:lineRule="exact"/>
              <w:jc w:val="center"/>
              <w:rPr>
                <w:rFonts w:hint="eastAsia" w:asciiTheme="minorEastAsia" w:hAnsiTheme="minorEastAsia" w:eastAsiaTheme="minorEastAsia" w:cstheme="minorEastAsia"/>
                <w:bCs/>
                <w:sz w:val="24"/>
              </w:rPr>
            </w:pPr>
          </w:p>
          <w:p w14:paraId="455A6854">
            <w:pPr>
              <w:spacing w:line="420" w:lineRule="exact"/>
              <w:jc w:val="center"/>
              <w:rPr>
                <w:rFonts w:hint="eastAsia" w:asciiTheme="minorEastAsia" w:hAnsiTheme="minorEastAsia" w:eastAsiaTheme="minorEastAsia" w:cstheme="minorEastAsia"/>
                <w:bCs/>
                <w:sz w:val="24"/>
              </w:rPr>
            </w:pPr>
          </w:p>
          <w:p w14:paraId="38613DC0">
            <w:pPr>
              <w:spacing w:line="420" w:lineRule="exact"/>
              <w:jc w:val="center"/>
              <w:rPr>
                <w:rFonts w:hint="eastAsia" w:asciiTheme="minorEastAsia" w:hAnsiTheme="minorEastAsia" w:eastAsiaTheme="minorEastAsia" w:cstheme="minorEastAsia"/>
                <w:bCs/>
                <w:sz w:val="24"/>
              </w:rPr>
            </w:pPr>
          </w:p>
          <w:p w14:paraId="058AC36C">
            <w:pPr>
              <w:spacing w:line="420" w:lineRule="exact"/>
              <w:jc w:val="center"/>
              <w:rPr>
                <w:rFonts w:hint="eastAsia" w:asciiTheme="minorEastAsia" w:hAnsiTheme="minorEastAsia" w:eastAsiaTheme="minorEastAsia" w:cstheme="minorEastAsia"/>
                <w:bCs/>
                <w:sz w:val="24"/>
              </w:rPr>
            </w:pPr>
          </w:p>
          <w:p w14:paraId="3777C374">
            <w:pPr>
              <w:spacing w:line="420" w:lineRule="exact"/>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（盖章）</w:t>
            </w:r>
          </w:p>
        </w:tc>
      </w:tr>
      <w:tr w14:paraId="14388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2500" w:type="pct"/>
          </w:tcPr>
          <w:p w14:paraId="637C808E">
            <w:pPr>
              <w:spacing w:line="420" w:lineRule="exact"/>
              <w:rPr>
                <w:rFonts w:hint="eastAsia" w:asciiTheme="minorEastAsia" w:hAnsiTheme="minorEastAsia" w:eastAsiaTheme="minorEastAsia" w:cstheme="minorEastAsia"/>
                <w:bCs/>
              </w:rPr>
            </w:pPr>
            <w:r>
              <w:rPr>
                <w:rFonts w:hint="eastAsia" w:asciiTheme="minorEastAsia" w:hAnsiTheme="minorEastAsia" w:eastAsiaTheme="minorEastAsia" w:cstheme="minorEastAsia"/>
              </w:rPr>
              <w:t>地址：</w:t>
            </w:r>
          </w:p>
        </w:tc>
        <w:tc>
          <w:tcPr>
            <w:tcW w:w="2499" w:type="pct"/>
          </w:tcPr>
          <w:p w14:paraId="3A5CC684">
            <w:pPr>
              <w:spacing w:line="42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地址：</w:t>
            </w:r>
          </w:p>
        </w:tc>
      </w:tr>
      <w:tr w14:paraId="78076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2500" w:type="pct"/>
          </w:tcPr>
          <w:p w14:paraId="57368455">
            <w:pPr>
              <w:spacing w:line="42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邮编：</w:t>
            </w:r>
          </w:p>
        </w:tc>
        <w:tc>
          <w:tcPr>
            <w:tcW w:w="2499" w:type="pct"/>
          </w:tcPr>
          <w:p w14:paraId="617F9F19">
            <w:pPr>
              <w:spacing w:line="42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邮编：</w:t>
            </w:r>
          </w:p>
        </w:tc>
      </w:tr>
      <w:tr w14:paraId="082C4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2500" w:type="pct"/>
          </w:tcPr>
          <w:p w14:paraId="4E7AD19A">
            <w:pPr>
              <w:spacing w:line="42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法定代表人： </w:t>
            </w:r>
          </w:p>
        </w:tc>
        <w:tc>
          <w:tcPr>
            <w:tcW w:w="2499" w:type="pct"/>
          </w:tcPr>
          <w:p w14:paraId="58C7E86C">
            <w:pPr>
              <w:spacing w:line="42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法定代表人：</w:t>
            </w:r>
          </w:p>
        </w:tc>
      </w:tr>
      <w:tr w14:paraId="507D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2500" w:type="pct"/>
          </w:tcPr>
          <w:p w14:paraId="264C01CB">
            <w:pPr>
              <w:spacing w:line="42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被授权代表：</w:t>
            </w:r>
          </w:p>
        </w:tc>
        <w:tc>
          <w:tcPr>
            <w:tcW w:w="2499" w:type="pct"/>
          </w:tcPr>
          <w:p w14:paraId="4CED8E6E">
            <w:pPr>
              <w:spacing w:line="42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被授权代表：</w:t>
            </w:r>
          </w:p>
        </w:tc>
      </w:tr>
      <w:tr w14:paraId="417E1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2500" w:type="pct"/>
          </w:tcPr>
          <w:p w14:paraId="095EAE10">
            <w:pPr>
              <w:spacing w:line="42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电话：</w:t>
            </w:r>
          </w:p>
        </w:tc>
        <w:tc>
          <w:tcPr>
            <w:tcW w:w="2499" w:type="pct"/>
          </w:tcPr>
          <w:p w14:paraId="104851FD">
            <w:pPr>
              <w:spacing w:line="42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电话：</w:t>
            </w:r>
          </w:p>
        </w:tc>
      </w:tr>
      <w:tr w14:paraId="7BAEC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500" w:type="pct"/>
          </w:tcPr>
          <w:p w14:paraId="1D41540B">
            <w:pPr>
              <w:spacing w:line="42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开户银行：</w:t>
            </w:r>
          </w:p>
          <w:p w14:paraId="6E41DF58">
            <w:pPr>
              <w:spacing w:line="420" w:lineRule="exact"/>
              <w:rPr>
                <w:rFonts w:hint="eastAsia" w:asciiTheme="minorEastAsia" w:hAnsiTheme="minorEastAsia" w:eastAsiaTheme="minorEastAsia" w:cstheme="minorEastAsia"/>
                <w:bCs/>
              </w:rPr>
            </w:pPr>
          </w:p>
        </w:tc>
        <w:tc>
          <w:tcPr>
            <w:tcW w:w="2499" w:type="pct"/>
          </w:tcPr>
          <w:p w14:paraId="70221965">
            <w:pPr>
              <w:spacing w:line="42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开户银行：</w:t>
            </w:r>
          </w:p>
          <w:p w14:paraId="67351D38">
            <w:pPr>
              <w:spacing w:line="420" w:lineRule="exact"/>
              <w:rPr>
                <w:rFonts w:hint="eastAsia" w:asciiTheme="minorEastAsia" w:hAnsiTheme="minorEastAsia" w:eastAsiaTheme="minorEastAsia" w:cstheme="minorEastAsia"/>
                <w:bCs/>
                <w:sz w:val="24"/>
              </w:rPr>
            </w:pPr>
          </w:p>
        </w:tc>
      </w:tr>
      <w:tr w14:paraId="7F0A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2500" w:type="pct"/>
          </w:tcPr>
          <w:p w14:paraId="7BD41F77">
            <w:pPr>
              <w:spacing w:line="420" w:lineRule="exact"/>
              <w:rPr>
                <w:rFonts w:hint="eastAsia" w:asciiTheme="minorEastAsia" w:hAnsiTheme="minorEastAsia" w:eastAsiaTheme="minorEastAsia" w:cstheme="minorEastAsia"/>
                <w:bCs/>
              </w:rPr>
            </w:pPr>
            <w:r>
              <w:rPr>
                <w:rFonts w:hint="eastAsia" w:asciiTheme="minorEastAsia" w:hAnsiTheme="minorEastAsia" w:eastAsiaTheme="minorEastAsia" w:cstheme="minorEastAsia"/>
                <w:bCs/>
                <w:sz w:val="24"/>
              </w:rPr>
              <w:t>帐号：</w:t>
            </w:r>
          </w:p>
        </w:tc>
        <w:tc>
          <w:tcPr>
            <w:tcW w:w="2499" w:type="pct"/>
          </w:tcPr>
          <w:p w14:paraId="13C81CEE">
            <w:pPr>
              <w:spacing w:line="42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帐号：</w:t>
            </w:r>
          </w:p>
        </w:tc>
      </w:tr>
      <w:tr w14:paraId="06E97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trPr>
        <w:tc>
          <w:tcPr>
            <w:tcW w:w="2500" w:type="pct"/>
          </w:tcPr>
          <w:p w14:paraId="564E6056">
            <w:pPr>
              <w:spacing w:line="42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日期：     年   月   日</w:t>
            </w:r>
          </w:p>
        </w:tc>
        <w:tc>
          <w:tcPr>
            <w:tcW w:w="2499" w:type="pct"/>
          </w:tcPr>
          <w:p w14:paraId="17D2A3FA">
            <w:pPr>
              <w:spacing w:line="42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日期：     年   月   日</w:t>
            </w:r>
          </w:p>
        </w:tc>
      </w:tr>
    </w:tbl>
    <w:p w14:paraId="4523714E">
      <w:pPr>
        <w:rPr>
          <w:rFonts w:hint="eastAsia" w:ascii="宋体" w:hAnsi="宋体" w:cs="宋体"/>
          <w:b/>
          <w:sz w:val="44"/>
          <w:szCs w:val="44"/>
        </w:rPr>
      </w:pPr>
      <w:r>
        <w:rPr>
          <w:rFonts w:hint="eastAsia" w:ascii="宋体" w:hAnsi="宋体" w:cs="宋体"/>
          <w:b/>
          <w:sz w:val="44"/>
          <w:szCs w:val="44"/>
        </w:rPr>
        <w:br w:type="page"/>
      </w:r>
    </w:p>
    <w:p w14:paraId="7BBE87A9">
      <w:pPr>
        <w:tabs>
          <w:tab w:val="left" w:pos="840"/>
        </w:tabs>
        <w:kinsoku w:val="0"/>
        <w:spacing w:line="360" w:lineRule="auto"/>
        <w:jc w:val="center"/>
        <w:rPr>
          <w:rFonts w:hint="eastAsia" w:ascii="宋体" w:hAnsi="宋体" w:cs="宋体"/>
          <w:b/>
          <w:sz w:val="44"/>
          <w:szCs w:val="44"/>
        </w:rPr>
      </w:pPr>
      <w:r>
        <w:rPr>
          <w:rFonts w:hint="eastAsia" w:ascii="宋体" w:hAnsi="宋体" w:cs="宋体"/>
          <w:b/>
          <w:sz w:val="44"/>
          <w:szCs w:val="44"/>
        </w:rPr>
        <w:t>第 五 部 分  投标文件格式</w:t>
      </w:r>
    </w:p>
    <w:p w14:paraId="576765CA">
      <w:pPr>
        <w:spacing w:line="360" w:lineRule="atLeast"/>
        <w:ind w:firstLine="6887" w:firstLineChars="2450"/>
        <w:rPr>
          <w:rFonts w:hint="eastAsia" w:ascii="宋体" w:hAnsi="宋体" w:cs="宋体"/>
          <w:b/>
          <w:sz w:val="28"/>
          <w:szCs w:val="28"/>
        </w:rPr>
      </w:pPr>
    </w:p>
    <w:p w14:paraId="34B8D8EA">
      <w:pPr>
        <w:spacing w:line="360" w:lineRule="auto"/>
        <w:ind w:firstLine="480" w:firstLineChars="200"/>
        <w:rPr>
          <w:rFonts w:hint="eastAsia" w:ascii="宋体" w:hAnsi="宋体" w:cs="宋体"/>
          <w:sz w:val="24"/>
        </w:rPr>
      </w:pPr>
      <w:r>
        <w:rPr>
          <w:rFonts w:hint="eastAsia" w:ascii="宋体" w:hAnsi="宋体" w:cs="宋体"/>
          <w:bCs/>
          <w:kern w:val="0"/>
          <w:sz w:val="24"/>
          <w:lang w:val="zh-CN"/>
        </w:rPr>
        <w:t>投标人应严格按照本格式要求编制投标文件，</w:t>
      </w:r>
      <w:r>
        <w:rPr>
          <w:rFonts w:hint="eastAsia" w:ascii="宋体" w:hAnsi="宋体" w:cs="宋体"/>
          <w:sz w:val="24"/>
        </w:rPr>
        <w:t>编制投标文件前，请详细阅读招标文件，理解文件中的每一项要求。全部编制完成，并加盖公章后，</w:t>
      </w:r>
      <w:r>
        <w:rPr>
          <w:rFonts w:hint="eastAsia" w:ascii="宋体" w:hAnsi="宋体" w:cs="宋体"/>
          <w:bCs/>
          <w:kern w:val="0"/>
          <w:sz w:val="24"/>
          <w:lang w:val="zh-CN"/>
        </w:rPr>
        <w:t>编制相应页码，胶装成册，按规定分别封装（每一项内容必须在目录中注明具体页码，便于评标委员会评审）。</w:t>
      </w:r>
      <w:r>
        <w:rPr>
          <w:rFonts w:hint="eastAsia" w:ascii="宋体" w:hAnsi="宋体" w:cs="宋体"/>
          <w:sz w:val="24"/>
        </w:rPr>
        <w:br w:type="page"/>
      </w:r>
    </w:p>
    <w:p w14:paraId="32665D61">
      <w:pP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bCs/>
          <w:sz w:val="28"/>
          <w:szCs w:val="28"/>
        </w:rPr>
        <w:t>项目编号:MSXDYA-2026027</w:t>
      </w:r>
    </w:p>
    <w:p w14:paraId="1C1919F2">
      <w:pPr>
        <w:spacing w:line="360" w:lineRule="auto"/>
        <w:ind w:firstLine="6887" w:firstLineChars="245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 w:val="28"/>
          <w:szCs w:val="28"/>
        </w:rPr>
        <w:t>（正本或副本）</w:t>
      </w:r>
    </w:p>
    <w:p w14:paraId="0A052C3D">
      <w:pPr>
        <w:rPr>
          <w:rFonts w:hint="eastAsia" w:asciiTheme="minorEastAsia" w:hAnsiTheme="minorEastAsia" w:eastAsiaTheme="minorEastAsia" w:cstheme="minorEastAsia"/>
        </w:rPr>
      </w:pPr>
    </w:p>
    <w:p w14:paraId="037ED30A">
      <w:pPr>
        <w:widowControl/>
        <w:spacing w:line="360" w:lineRule="auto"/>
        <w:jc w:val="center"/>
        <w:rPr>
          <w:rFonts w:hint="eastAsia" w:asciiTheme="minorEastAsia" w:hAnsiTheme="minorEastAsia" w:eastAsiaTheme="minorEastAsia" w:cstheme="minorEastAsia"/>
          <w:b/>
          <w:bCs/>
          <w:kern w:val="0"/>
          <w:sz w:val="56"/>
          <w:szCs w:val="56"/>
        </w:rPr>
      </w:pPr>
    </w:p>
    <w:p w14:paraId="3372E6EC">
      <w:pPr>
        <w:widowControl/>
        <w:spacing w:line="360" w:lineRule="auto"/>
        <w:jc w:val="center"/>
        <w:rPr>
          <w:rFonts w:hint="eastAsia" w:asciiTheme="minorEastAsia" w:hAnsiTheme="minorEastAsia" w:eastAsiaTheme="minorEastAsia" w:cstheme="minorEastAsia"/>
          <w:b/>
          <w:bCs/>
          <w:kern w:val="0"/>
          <w:sz w:val="56"/>
          <w:szCs w:val="56"/>
        </w:rPr>
      </w:pPr>
      <w:r>
        <w:rPr>
          <w:rFonts w:hint="eastAsia" w:asciiTheme="minorEastAsia" w:hAnsiTheme="minorEastAsia" w:eastAsiaTheme="minorEastAsia" w:cstheme="minorEastAsia"/>
          <w:b/>
          <w:bCs/>
          <w:kern w:val="0"/>
          <w:sz w:val="56"/>
          <w:szCs w:val="56"/>
        </w:rPr>
        <w:t>延安市公安局侦查中心建设</w:t>
      </w:r>
    </w:p>
    <w:p w14:paraId="5A11BFBA">
      <w:pPr>
        <w:spacing w:line="360" w:lineRule="auto"/>
        <w:rPr>
          <w:rFonts w:hint="eastAsia" w:asciiTheme="minorEastAsia" w:hAnsiTheme="minorEastAsia" w:eastAsiaTheme="minorEastAsia" w:cstheme="minorEastAsia"/>
        </w:rPr>
      </w:pPr>
    </w:p>
    <w:p w14:paraId="75F53429">
      <w:pPr>
        <w:spacing w:line="360" w:lineRule="auto"/>
        <w:rPr>
          <w:rFonts w:hint="eastAsia" w:asciiTheme="minorEastAsia" w:hAnsiTheme="minorEastAsia" w:eastAsiaTheme="minorEastAsia" w:cstheme="minorEastAsia"/>
        </w:rPr>
      </w:pPr>
    </w:p>
    <w:p w14:paraId="5ADEF0D2">
      <w:pPr>
        <w:spacing w:line="360" w:lineRule="auto"/>
        <w:jc w:val="center"/>
        <w:rPr>
          <w:rFonts w:hint="eastAsia" w:asciiTheme="minorEastAsia" w:hAnsiTheme="minorEastAsia" w:eastAsiaTheme="minorEastAsia" w:cstheme="minorEastAsia"/>
          <w:b/>
          <w:spacing w:val="4"/>
          <w:sz w:val="72"/>
          <w:szCs w:val="72"/>
        </w:rPr>
      </w:pPr>
    </w:p>
    <w:p w14:paraId="35C97FBB">
      <w:pPr>
        <w:spacing w:line="360" w:lineRule="auto"/>
        <w:jc w:val="center"/>
        <w:rPr>
          <w:rFonts w:hint="eastAsia" w:asciiTheme="minorEastAsia" w:hAnsiTheme="minorEastAsia" w:eastAsiaTheme="minorEastAsia" w:cstheme="minorEastAsia"/>
          <w:b/>
          <w:spacing w:val="4"/>
          <w:sz w:val="72"/>
          <w:szCs w:val="72"/>
        </w:rPr>
      </w:pPr>
    </w:p>
    <w:p w14:paraId="0E3601CD">
      <w:pPr>
        <w:spacing w:line="360" w:lineRule="auto"/>
        <w:jc w:val="center"/>
        <w:rPr>
          <w:rFonts w:hint="eastAsia" w:asciiTheme="minorEastAsia" w:hAnsiTheme="minorEastAsia" w:eastAsiaTheme="minorEastAsia" w:cstheme="minorEastAsia"/>
          <w:b/>
          <w:spacing w:val="4"/>
          <w:sz w:val="72"/>
          <w:szCs w:val="72"/>
        </w:rPr>
      </w:pPr>
      <w:r>
        <w:rPr>
          <w:rFonts w:hint="eastAsia" w:asciiTheme="minorEastAsia" w:hAnsiTheme="minorEastAsia" w:eastAsiaTheme="minorEastAsia" w:cstheme="minorEastAsia"/>
          <w:b/>
          <w:spacing w:val="4"/>
          <w:sz w:val="72"/>
          <w:szCs w:val="72"/>
        </w:rPr>
        <w:t>投 标 文 件</w:t>
      </w:r>
    </w:p>
    <w:p w14:paraId="48EFD948">
      <w:pPr>
        <w:spacing w:line="360" w:lineRule="auto"/>
        <w:ind w:firstLine="2811" w:firstLineChars="1000"/>
        <w:rPr>
          <w:rFonts w:hint="eastAsia" w:asciiTheme="minorEastAsia" w:hAnsiTheme="minorEastAsia" w:eastAsiaTheme="minorEastAsia" w:cstheme="minorEastAsia"/>
          <w:b/>
          <w:bCs/>
          <w:sz w:val="28"/>
          <w:szCs w:val="28"/>
        </w:rPr>
      </w:pPr>
    </w:p>
    <w:p w14:paraId="346F87C2">
      <w:pPr>
        <w:pStyle w:val="6"/>
        <w:spacing w:line="360" w:lineRule="auto"/>
        <w:rPr>
          <w:rFonts w:hint="eastAsia" w:asciiTheme="minorEastAsia" w:hAnsiTheme="minorEastAsia" w:eastAsiaTheme="minorEastAsia" w:cstheme="minorEastAsia"/>
        </w:rPr>
      </w:pPr>
    </w:p>
    <w:p w14:paraId="35B7E6D5">
      <w:pPr>
        <w:pStyle w:val="6"/>
        <w:spacing w:line="360" w:lineRule="auto"/>
        <w:rPr>
          <w:rFonts w:hint="eastAsia" w:asciiTheme="minorEastAsia" w:hAnsiTheme="minorEastAsia" w:eastAsiaTheme="minorEastAsia" w:cstheme="minorEastAsia"/>
        </w:rPr>
      </w:pPr>
    </w:p>
    <w:p w14:paraId="6B1F4C8C">
      <w:pPr>
        <w:spacing w:line="360" w:lineRule="auto"/>
        <w:rPr>
          <w:rFonts w:hint="eastAsia" w:asciiTheme="minorEastAsia" w:hAnsiTheme="minorEastAsia" w:eastAsiaTheme="minorEastAsia" w:cstheme="minorEastAsia"/>
        </w:rPr>
      </w:pPr>
    </w:p>
    <w:p w14:paraId="2AC88887">
      <w:pPr>
        <w:pStyle w:val="6"/>
        <w:spacing w:line="360" w:lineRule="auto"/>
        <w:rPr>
          <w:rFonts w:hint="eastAsia" w:asciiTheme="minorEastAsia" w:hAnsiTheme="minorEastAsia" w:eastAsiaTheme="minorEastAsia" w:cstheme="minorEastAsia"/>
        </w:rPr>
      </w:pPr>
    </w:p>
    <w:p w14:paraId="6A2A6BA5">
      <w:pPr>
        <w:pStyle w:val="16"/>
        <w:ind w:firstLine="0"/>
        <w:rPr>
          <w:rFonts w:hint="eastAsia" w:asciiTheme="minorEastAsia" w:hAnsiTheme="minorEastAsia" w:eastAsiaTheme="minorEastAsia" w:cstheme="minorEastAsia"/>
        </w:rPr>
      </w:pPr>
    </w:p>
    <w:p w14:paraId="78709984">
      <w:pPr>
        <w:spacing w:line="360" w:lineRule="auto"/>
        <w:ind w:firstLine="167" w:firstLineChars="49"/>
        <w:rPr>
          <w:rFonts w:hint="eastAsia" w:asciiTheme="minorEastAsia" w:hAnsiTheme="minorEastAsia" w:eastAsiaTheme="minorEastAsia" w:cstheme="minorEastAsia"/>
          <w:b/>
          <w:bCs/>
          <w:spacing w:val="20"/>
          <w:sz w:val="30"/>
          <w:szCs w:val="30"/>
        </w:rPr>
      </w:pPr>
      <w:r>
        <w:rPr>
          <w:rFonts w:hint="eastAsia" w:asciiTheme="minorEastAsia" w:hAnsiTheme="minorEastAsia" w:eastAsiaTheme="minorEastAsia" w:cstheme="minorEastAsia"/>
          <w:b/>
          <w:bCs/>
          <w:spacing w:val="20"/>
          <w:sz w:val="30"/>
          <w:szCs w:val="30"/>
        </w:rPr>
        <w:t>投   标   人：</w:t>
      </w:r>
      <w:r>
        <w:rPr>
          <w:rFonts w:hint="eastAsia" w:asciiTheme="minorEastAsia" w:hAnsiTheme="minorEastAsia" w:eastAsiaTheme="minorEastAsia" w:cstheme="minorEastAsia"/>
          <w:b/>
          <w:bCs/>
          <w:spacing w:val="20"/>
          <w:sz w:val="30"/>
          <w:szCs w:val="30"/>
          <w:u w:val="single"/>
        </w:rPr>
        <w:t xml:space="preserve">                     </w:t>
      </w:r>
      <w:r>
        <w:rPr>
          <w:rFonts w:hint="eastAsia" w:asciiTheme="minorEastAsia" w:hAnsiTheme="minorEastAsia" w:eastAsiaTheme="minorEastAsia" w:cstheme="minorEastAsia"/>
          <w:b/>
          <w:bCs/>
          <w:spacing w:val="20"/>
          <w:sz w:val="30"/>
          <w:szCs w:val="30"/>
        </w:rPr>
        <w:t>（盖单位公章）</w:t>
      </w:r>
    </w:p>
    <w:p w14:paraId="12BE5178">
      <w:pPr>
        <w:spacing w:line="360" w:lineRule="auto"/>
        <w:ind w:firstLine="167" w:firstLineChars="49"/>
        <w:rPr>
          <w:rFonts w:hint="eastAsia" w:asciiTheme="minorEastAsia" w:hAnsiTheme="minorEastAsia" w:eastAsiaTheme="minorEastAsia" w:cstheme="minorEastAsia"/>
          <w:b/>
          <w:bCs/>
          <w:spacing w:val="20"/>
          <w:sz w:val="30"/>
          <w:szCs w:val="30"/>
        </w:rPr>
      </w:pPr>
      <w:r>
        <w:rPr>
          <w:rFonts w:hint="eastAsia" w:asciiTheme="minorEastAsia" w:hAnsiTheme="minorEastAsia" w:eastAsiaTheme="minorEastAsia" w:cstheme="minorEastAsia"/>
          <w:b/>
          <w:bCs/>
          <w:spacing w:val="20"/>
          <w:sz w:val="30"/>
          <w:szCs w:val="30"/>
        </w:rPr>
        <w:t>法定代表人或</w:t>
      </w:r>
    </w:p>
    <w:p w14:paraId="2A482D74">
      <w:pPr>
        <w:spacing w:line="360" w:lineRule="auto"/>
        <w:ind w:firstLine="167" w:firstLineChars="49"/>
        <w:rPr>
          <w:rFonts w:hint="eastAsia" w:asciiTheme="minorEastAsia" w:hAnsiTheme="minorEastAsia" w:eastAsiaTheme="minorEastAsia" w:cstheme="minorEastAsia"/>
          <w:b/>
          <w:bCs/>
          <w:spacing w:val="20"/>
          <w:sz w:val="30"/>
          <w:szCs w:val="30"/>
        </w:rPr>
      </w:pPr>
      <w:r>
        <w:rPr>
          <w:rFonts w:hint="eastAsia" w:asciiTheme="minorEastAsia" w:hAnsiTheme="minorEastAsia" w:eastAsiaTheme="minorEastAsia" w:cstheme="minorEastAsia"/>
          <w:b/>
          <w:bCs/>
          <w:spacing w:val="20"/>
          <w:sz w:val="30"/>
          <w:szCs w:val="30"/>
        </w:rPr>
        <w:t>其委托代理人：</w:t>
      </w:r>
      <w:r>
        <w:rPr>
          <w:rFonts w:hint="eastAsia" w:asciiTheme="minorEastAsia" w:hAnsiTheme="minorEastAsia" w:eastAsiaTheme="minorEastAsia" w:cstheme="minorEastAsia"/>
          <w:b/>
          <w:bCs/>
          <w:spacing w:val="20"/>
          <w:sz w:val="30"/>
          <w:szCs w:val="30"/>
          <w:u w:val="single"/>
        </w:rPr>
        <w:t xml:space="preserve">                    </w:t>
      </w:r>
      <w:r>
        <w:rPr>
          <w:rFonts w:hint="eastAsia" w:asciiTheme="minorEastAsia" w:hAnsiTheme="minorEastAsia" w:eastAsiaTheme="minorEastAsia" w:cstheme="minorEastAsia"/>
          <w:b/>
          <w:bCs/>
          <w:spacing w:val="20"/>
          <w:sz w:val="30"/>
          <w:szCs w:val="30"/>
        </w:rPr>
        <w:t xml:space="preserve"> （签字或盖章）</w:t>
      </w:r>
    </w:p>
    <w:p w14:paraId="2E049235">
      <w:pPr>
        <w:spacing w:line="360" w:lineRule="auto"/>
        <w:ind w:firstLine="167" w:firstLineChars="49"/>
        <w:rPr>
          <w:rFonts w:hint="eastAsia" w:ascii="宋体" w:hAnsi="宋体" w:cs="宋体"/>
          <w:b/>
          <w:sz w:val="44"/>
          <w:szCs w:val="44"/>
        </w:rPr>
      </w:pPr>
      <w:r>
        <w:rPr>
          <w:rFonts w:hint="eastAsia" w:asciiTheme="minorEastAsia" w:hAnsiTheme="minorEastAsia" w:eastAsiaTheme="minorEastAsia" w:cstheme="minorEastAsia"/>
          <w:b/>
          <w:bCs/>
          <w:spacing w:val="20"/>
          <w:sz w:val="30"/>
          <w:szCs w:val="30"/>
        </w:rPr>
        <w:t>日       期：</w:t>
      </w:r>
      <w:r>
        <w:rPr>
          <w:rFonts w:hint="eastAsia" w:asciiTheme="minorEastAsia" w:hAnsiTheme="minorEastAsia" w:eastAsiaTheme="minorEastAsia" w:cstheme="minorEastAsia"/>
          <w:b/>
          <w:bCs/>
          <w:spacing w:val="20"/>
          <w:sz w:val="30"/>
          <w:szCs w:val="30"/>
          <w:u w:val="single"/>
        </w:rPr>
        <w:t xml:space="preserve">      </w:t>
      </w:r>
      <w:r>
        <w:rPr>
          <w:rFonts w:hint="eastAsia" w:asciiTheme="minorEastAsia" w:hAnsiTheme="minorEastAsia" w:eastAsiaTheme="minorEastAsia" w:cstheme="minorEastAsia"/>
          <w:b/>
          <w:bCs/>
          <w:spacing w:val="20"/>
          <w:sz w:val="30"/>
          <w:szCs w:val="30"/>
        </w:rPr>
        <w:t>年</w:t>
      </w:r>
      <w:r>
        <w:rPr>
          <w:rFonts w:hint="eastAsia" w:asciiTheme="minorEastAsia" w:hAnsiTheme="minorEastAsia" w:eastAsiaTheme="minorEastAsia" w:cstheme="minorEastAsia"/>
          <w:b/>
          <w:bCs/>
          <w:spacing w:val="20"/>
          <w:sz w:val="30"/>
          <w:szCs w:val="30"/>
          <w:u w:val="single"/>
        </w:rPr>
        <w:t xml:space="preserve">     </w:t>
      </w:r>
      <w:r>
        <w:rPr>
          <w:rFonts w:hint="eastAsia" w:asciiTheme="minorEastAsia" w:hAnsiTheme="minorEastAsia" w:eastAsiaTheme="minorEastAsia" w:cstheme="minorEastAsia"/>
          <w:b/>
          <w:bCs/>
          <w:spacing w:val="20"/>
          <w:sz w:val="30"/>
          <w:szCs w:val="30"/>
        </w:rPr>
        <w:t>月</w:t>
      </w:r>
      <w:r>
        <w:rPr>
          <w:rFonts w:hint="eastAsia" w:asciiTheme="minorEastAsia" w:hAnsiTheme="minorEastAsia" w:eastAsiaTheme="minorEastAsia" w:cstheme="minorEastAsia"/>
          <w:b/>
          <w:bCs/>
          <w:spacing w:val="20"/>
          <w:sz w:val="30"/>
          <w:szCs w:val="30"/>
          <w:u w:val="single"/>
        </w:rPr>
        <w:t xml:space="preserve">     </w:t>
      </w:r>
      <w:r>
        <w:rPr>
          <w:rFonts w:hint="eastAsia" w:asciiTheme="minorEastAsia" w:hAnsiTheme="minorEastAsia" w:eastAsiaTheme="minorEastAsia" w:cstheme="minorEastAsia"/>
          <w:b/>
          <w:bCs/>
          <w:spacing w:val="20"/>
          <w:sz w:val="30"/>
          <w:szCs w:val="30"/>
        </w:rPr>
        <w:t>日</w:t>
      </w:r>
    </w:p>
    <w:p w14:paraId="0069D7A5">
      <w:pPr>
        <w:rPr>
          <w:rFonts w:hint="eastAsia" w:ascii="宋体" w:hAnsi="宋体" w:cs="宋体"/>
          <w:b/>
          <w:sz w:val="44"/>
          <w:szCs w:val="44"/>
        </w:rPr>
      </w:pPr>
      <w:r>
        <w:rPr>
          <w:rFonts w:hint="eastAsia" w:ascii="宋体" w:hAnsi="宋体" w:cs="宋体"/>
          <w:b/>
          <w:sz w:val="44"/>
          <w:szCs w:val="44"/>
        </w:rPr>
        <w:br w:type="page"/>
      </w:r>
    </w:p>
    <w:p w14:paraId="778286FE">
      <w:pPr>
        <w:spacing w:line="360" w:lineRule="atLeast"/>
        <w:jc w:val="center"/>
        <w:rPr>
          <w:rFonts w:hint="eastAsia" w:ascii="宋体" w:hAnsi="宋体" w:cs="宋体"/>
          <w:b/>
          <w:sz w:val="44"/>
          <w:szCs w:val="44"/>
        </w:rPr>
      </w:pPr>
      <w:r>
        <w:rPr>
          <w:rFonts w:hint="eastAsia" w:ascii="宋体" w:hAnsi="宋体" w:cs="宋体"/>
          <w:b/>
          <w:sz w:val="44"/>
          <w:szCs w:val="44"/>
        </w:rPr>
        <w:t>目     录</w:t>
      </w:r>
    </w:p>
    <w:p w14:paraId="6581A500">
      <w:pPr>
        <w:spacing w:line="360" w:lineRule="atLeast"/>
        <w:rPr>
          <w:rFonts w:hint="eastAsia" w:ascii="宋体" w:hAnsi="宋体" w:cs="宋体"/>
        </w:rPr>
      </w:pPr>
    </w:p>
    <w:p w14:paraId="39A3DA6D">
      <w:pPr>
        <w:pStyle w:val="8"/>
        <w:spacing w:line="480" w:lineRule="auto"/>
        <w:ind w:firstLine="1506" w:firstLineChars="500"/>
        <w:rPr>
          <w:rFonts w:hint="eastAsia" w:hAnsi="宋体" w:cs="宋体"/>
          <w:b/>
          <w:bCs/>
          <w:sz w:val="30"/>
          <w:szCs w:val="30"/>
        </w:rPr>
      </w:pPr>
      <w:r>
        <w:rPr>
          <w:rFonts w:hint="eastAsia" w:hAnsi="宋体" w:cs="宋体"/>
          <w:b/>
          <w:bCs/>
          <w:sz w:val="30"/>
          <w:szCs w:val="30"/>
        </w:rPr>
        <w:t>第一部分  投标函</w:t>
      </w:r>
    </w:p>
    <w:p w14:paraId="5DFF50E0">
      <w:pPr>
        <w:spacing w:line="480" w:lineRule="auto"/>
        <w:ind w:firstLine="1506" w:firstLineChars="500"/>
        <w:rPr>
          <w:rFonts w:hint="eastAsia" w:ascii="宋体" w:hAnsi="宋体" w:cs="宋体"/>
          <w:b/>
          <w:sz w:val="30"/>
          <w:szCs w:val="30"/>
        </w:rPr>
      </w:pPr>
      <w:r>
        <w:rPr>
          <w:rFonts w:hint="eastAsia" w:ascii="宋体" w:hAnsi="宋体" w:cs="宋体"/>
          <w:b/>
          <w:sz w:val="30"/>
          <w:szCs w:val="30"/>
        </w:rPr>
        <w:t>第二部分  开标一览表（报价表）</w:t>
      </w:r>
    </w:p>
    <w:p w14:paraId="26CE93F1">
      <w:pPr>
        <w:pStyle w:val="8"/>
        <w:spacing w:line="480" w:lineRule="auto"/>
        <w:ind w:firstLine="3012" w:firstLineChars="1000"/>
        <w:rPr>
          <w:rFonts w:hint="eastAsia" w:hAnsi="宋体" w:cs="宋体"/>
          <w:b/>
          <w:sz w:val="30"/>
          <w:szCs w:val="30"/>
        </w:rPr>
      </w:pPr>
      <w:r>
        <w:rPr>
          <w:rFonts w:hint="eastAsia" w:hAnsi="宋体" w:cs="宋体"/>
          <w:b/>
          <w:sz w:val="30"/>
          <w:szCs w:val="30"/>
        </w:rPr>
        <w:t>分项报价表</w:t>
      </w:r>
    </w:p>
    <w:p w14:paraId="5E0E53F9">
      <w:pPr>
        <w:pStyle w:val="8"/>
        <w:spacing w:line="480" w:lineRule="auto"/>
        <w:ind w:firstLine="3012" w:firstLineChars="1000"/>
        <w:rPr>
          <w:rFonts w:hint="eastAsia" w:hAnsi="宋体" w:cs="宋体"/>
          <w:b/>
          <w:sz w:val="30"/>
          <w:szCs w:val="30"/>
        </w:rPr>
      </w:pPr>
      <w:r>
        <w:rPr>
          <w:rFonts w:hint="eastAsia" w:hAnsi="宋体" w:cs="宋体"/>
          <w:b/>
          <w:sz w:val="30"/>
          <w:szCs w:val="30"/>
        </w:rPr>
        <w:t>技术规格响应偏离表</w:t>
      </w:r>
    </w:p>
    <w:p w14:paraId="66B865F9">
      <w:pPr>
        <w:pStyle w:val="8"/>
        <w:spacing w:line="480" w:lineRule="auto"/>
        <w:ind w:firstLine="3012" w:firstLineChars="1000"/>
        <w:rPr>
          <w:rFonts w:hint="eastAsia" w:hAnsi="宋体" w:cs="宋体"/>
          <w:b/>
          <w:sz w:val="30"/>
          <w:szCs w:val="30"/>
        </w:rPr>
      </w:pPr>
      <w:r>
        <w:rPr>
          <w:rFonts w:hint="eastAsia" w:hAnsi="宋体" w:cs="宋体"/>
          <w:b/>
          <w:sz w:val="30"/>
          <w:szCs w:val="30"/>
        </w:rPr>
        <w:t>商务及合同主要条款响应说明</w:t>
      </w:r>
    </w:p>
    <w:p w14:paraId="4B2CFE96">
      <w:pPr>
        <w:pStyle w:val="8"/>
        <w:spacing w:line="480" w:lineRule="auto"/>
        <w:ind w:firstLine="1506" w:firstLineChars="500"/>
        <w:rPr>
          <w:rFonts w:hint="eastAsia" w:hAnsi="宋体" w:cs="宋体"/>
          <w:b/>
          <w:bCs/>
          <w:sz w:val="30"/>
          <w:szCs w:val="30"/>
        </w:rPr>
      </w:pPr>
      <w:r>
        <w:rPr>
          <w:rFonts w:hint="eastAsia" w:hAnsi="宋体" w:cs="宋体"/>
          <w:b/>
          <w:bCs/>
          <w:sz w:val="30"/>
          <w:szCs w:val="30"/>
        </w:rPr>
        <w:t xml:space="preserve">第三部分  </w:t>
      </w:r>
      <w:r>
        <w:rPr>
          <w:rFonts w:hint="eastAsia" w:hAnsi="宋体" w:cs="宋体"/>
          <w:b/>
          <w:kern w:val="0"/>
          <w:sz w:val="30"/>
          <w:szCs w:val="30"/>
        </w:rPr>
        <w:t>法定代表人证明书与授权书</w:t>
      </w:r>
    </w:p>
    <w:p w14:paraId="182FA75F">
      <w:pPr>
        <w:pStyle w:val="8"/>
        <w:spacing w:line="480" w:lineRule="auto"/>
        <w:ind w:firstLine="1506" w:firstLineChars="500"/>
        <w:rPr>
          <w:rFonts w:hint="eastAsia" w:hAnsi="宋体" w:cs="宋体"/>
          <w:b/>
          <w:bCs/>
          <w:sz w:val="30"/>
          <w:szCs w:val="30"/>
        </w:rPr>
      </w:pPr>
      <w:r>
        <w:rPr>
          <w:rFonts w:hint="eastAsia" w:hAnsi="宋体" w:cs="宋体"/>
          <w:b/>
          <w:bCs/>
          <w:sz w:val="30"/>
          <w:szCs w:val="30"/>
        </w:rPr>
        <w:t>第四部分  资格证明文件</w:t>
      </w:r>
    </w:p>
    <w:p w14:paraId="7734AA0C">
      <w:pPr>
        <w:spacing w:line="480" w:lineRule="auto"/>
        <w:ind w:firstLine="1506" w:firstLineChars="500"/>
        <w:rPr>
          <w:rFonts w:hint="eastAsia" w:ascii="宋体" w:hAnsi="宋体" w:cs="宋体"/>
          <w:b/>
          <w:bCs/>
          <w:sz w:val="30"/>
          <w:szCs w:val="30"/>
        </w:rPr>
      </w:pPr>
      <w:r>
        <w:rPr>
          <w:rFonts w:hint="eastAsia" w:ascii="宋体" w:hAnsi="宋体" w:cs="宋体"/>
          <w:b/>
          <w:sz w:val="30"/>
          <w:szCs w:val="30"/>
        </w:rPr>
        <w:t>第五部分  投标方案</w:t>
      </w:r>
    </w:p>
    <w:p w14:paraId="3A6C7397">
      <w:pPr>
        <w:pStyle w:val="8"/>
        <w:spacing w:line="480" w:lineRule="auto"/>
        <w:ind w:firstLine="1506" w:firstLineChars="500"/>
        <w:rPr>
          <w:rFonts w:hint="eastAsia" w:hAnsi="宋体" w:cs="宋体"/>
          <w:b/>
          <w:bCs/>
          <w:sz w:val="30"/>
          <w:szCs w:val="30"/>
        </w:rPr>
      </w:pPr>
      <w:r>
        <w:rPr>
          <w:rFonts w:hint="eastAsia" w:hAnsi="宋体" w:cs="宋体"/>
          <w:b/>
          <w:bCs/>
          <w:sz w:val="30"/>
          <w:szCs w:val="30"/>
        </w:rPr>
        <w:t>第六部分  供应商参加政府采购活动承诺书</w:t>
      </w:r>
    </w:p>
    <w:p w14:paraId="6D9B2A9D">
      <w:pPr>
        <w:pStyle w:val="8"/>
        <w:spacing w:line="480" w:lineRule="auto"/>
        <w:ind w:firstLine="3012" w:firstLineChars="1000"/>
        <w:rPr>
          <w:rFonts w:hint="eastAsia" w:hAnsi="宋体" w:cs="宋体"/>
          <w:b/>
          <w:bCs/>
          <w:sz w:val="30"/>
          <w:szCs w:val="30"/>
        </w:rPr>
      </w:pPr>
      <w:r>
        <w:rPr>
          <w:rFonts w:hint="eastAsia" w:hAnsi="宋体" w:cs="宋体"/>
          <w:b/>
          <w:bCs/>
          <w:sz w:val="30"/>
          <w:szCs w:val="30"/>
        </w:rPr>
        <w:t>附件</w:t>
      </w:r>
    </w:p>
    <w:p w14:paraId="74BEC32A">
      <w:pPr>
        <w:rPr>
          <w:rFonts w:hint="eastAsia" w:ascii="宋体" w:hAnsi="宋体" w:cs="宋体"/>
        </w:rPr>
      </w:pPr>
    </w:p>
    <w:p w14:paraId="55522575">
      <w:pPr>
        <w:pStyle w:val="6"/>
        <w:rPr>
          <w:rFonts w:hint="eastAsia" w:ascii="宋体" w:hAnsi="宋体" w:cs="宋体"/>
          <w:color w:val="auto"/>
        </w:rPr>
      </w:pPr>
    </w:p>
    <w:p w14:paraId="4B73D571">
      <w:pPr>
        <w:rPr>
          <w:rFonts w:hint="eastAsia" w:ascii="宋体" w:hAnsi="宋体" w:cs="宋体"/>
        </w:rPr>
      </w:pPr>
      <w:r>
        <w:rPr>
          <w:rFonts w:hint="eastAsia" w:ascii="宋体" w:hAnsi="宋体" w:cs="宋体"/>
        </w:rPr>
        <w:t>注：投标单位自行编制投标文件目录</w:t>
      </w:r>
    </w:p>
    <w:p w14:paraId="35D02505">
      <w:pPr>
        <w:pStyle w:val="8"/>
        <w:spacing w:line="500" w:lineRule="exact"/>
        <w:ind w:firstLine="840" w:firstLineChars="279"/>
        <w:rPr>
          <w:rFonts w:hint="eastAsia" w:hAnsi="宋体" w:cs="宋体"/>
          <w:b/>
          <w:bCs/>
          <w:sz w:val="30"/>
          <w:szCs w:val="30"/>
        </w:rPr>
      </w:pPr>
    </w:p>
    <w:p w14:paraId="0D2909E9">
      <w:pPr>
        <w:pStyle w:val="8"/>
        <w:spacing w:line="500" w:lineRule="exact"/>
        <w:ind w:firstLine="840" w:firstLineChars="279"/>
        <w:rPr>
          <w:rFonts w:hint="eastAsia" w:hAnsi="宋体" w:cs="宋体"/>
          <w:b/>
          <w:bCs/>
          <w:sz w:val="30"/>
          <w:szCs w:val="30"/>
        </w:rPr>
      </w:pPr>
    </w:p>
    <w:p w14:paraId="7A6DE1FE">
      <w:pPr>
        <w:pStyle w:val="8"/>
        <w:spacing w:line="500" w:lineRule="exact"/>
        <w:ind w:firstLine="840" w:firstLineChars="279"/>
        <w:rPr>
          <w:rFonts w:hint="eastAsia" w:hAnsi="宋体" w:cs="宋体"/>
          <w:b/>
          <w:bCs/>
          <w:sz w:val="30"/>
          <w:szCs w:val="30"/>
        </w:rPr>
      </w:pPr>
    </w:p>
    <w:p w14:paraId="6483CFDF">
      <w:pPr>
        <w:pStyle w:val="8"/>
        <w:spacing w:line="500" w:lineRule="exact"/>
        <w:ind w:firstLine="840" w:firstLineChars="279"/>
        <w:rPr>
          <w:rFonts w:hint="eastAsia" w:hAnsi="宋体" w:cs="宋体"/>
          <w:b/>
          <w:bCs/>
          <w:sz w:val="30"/>
          <w:szCs w:val="30"/>
        </w:rPr>
      </w:pPr>
    </w:p>
    <w:p w14:paraId="2FCA8EEE">
      <w:pPr>
        <w:rPr>
          <w:rFonts w:hint="eastAsia" w:ascii="宋体" w:hAnsi="宋体" w:cs="宋体"/>
          <w:b/>
          <w:sz w:val="32"/>
          <w:szCs w:val="32"/>
        </w:rPr>
      </w:pPr>
      <w:r>
        <w:rPr>
          <w:rFonts w:hint="eastAsia" w:ascii="宋体" w:hAnsi="宋体" w:cs="宋体"/>
          <w:b/>
          <w:sz w:val="32"/>
          <w:szCs w:val="32"/>
        </w:rPr>
        <w:br w:type="page"/>
      </w:r>
    </w:p>
    <w:p w14:paraId="08DA100A">
      <w:pPr>
        <w:spacing w:line="440" w:lineRule="exact"/>
        <w:jc w:val="center"/>
        <w:rPr>
          <w:rFonts w:hint="eastAsia" w:ascii="宋体" w:hAnsi="宋体" w:cs="宋体"/>
          <w:b/>
          <w:sz w:val="32"/>
          <w:szCs w:val="32"/>
        </w:rPr>
      </w:pPr>
      <w:r>
        <w:rPr>
          <w:rFonts w:hint="eastAsia" w:ascii="宋体" w:hAnsi="宋体" w:cs="宋体"/>
          <w:b/>
          <w:sz w:val="32"/>
          <w:szCs w:val="32"/>
        </w:rPr>
        <w:t>第一部分   投标函</w:t>
      </w:r>
    </w:p>
    <w:p w14:paraId="30A5FF5D">
      <w:pPr>
        <w:spacing w:line="440" w:lineRule="exact"/>
        <w:jc w:val="center"/>
        <w:rPr>
          <w:rFonts w:hint="eastAsia" w:ascii="宋体" w:hAnsi="宋体" w:cs="宋体"/>
          <w:b/>
          <w:sz w:val="2"/>
          <w:szCs w:val="32"/>
        </w:rPr>
      </w:pPr>
    </w:p>
    <w:p w14:paraId="6B42614F">
      <w:pPr>
        <w:kinsoku w:val="0"/>
        <w:spacing w:line="440" w:lineRule="exact"/>
        <w:rPr>
          <w:rFonts w:hint="eastAsia" w:ascii="宋体" w:hAnsi="宋体" w:cs="宋体"/>
          <w:sz w:val="24"/>
        </w:rPr>
      </w:pPr>
      <w:r>
        <w:rPr>
          <w:rFonts w:hint="eastAsia" w:ascii="宋体" w:hAnsi="宋体" w:cs="宋体"/>
          <w:sz w:val="24"/>
        </w:rPr>
        <w:t>铭森信达（陕西）项目管理有限公司：</w:t>
      </w:r>
    </w:p>
    <w:p w14:paraId="6C9BFB53">
      <w:pPr>
        <w:kinsoku w:val="0"/>
        <w:spacing w:line="440" w:lineRule="exact"/>
        <w:ind w:firstLine="480" w:firstLineChars="200"/>
        <w:rPr>
          <w:rFonts w:hint="eastAsia" w:ascii="宋体" w:hAnsi="宋体" w:cs="宋体"/>
          <w:sz w:val="24"/>
        </w:rPr>
      </w:pPr>
      <w:r>
        <w:rPr>
          <w:rFonts w:hint="eastAsia" w:ascii="宋体" w:hAnsi="宋体" w:cs="宋体"/>
          <w:sz w:val="24"/>
        </w:rPr>
        <w:t>我公司收到贵单位</w:t>
      </w:r>
      <w:r>
        <w:rPr>
          <w:rFonts w:hint="eastAsia" w:ascii="宋体" w:hAnsi="宋体" w:cs="宋体"/>
          <w:sz w:val="24"/>
          <w:u w:val="single"/>
        </w:rPr>
        <w:t xml:space="preserve"> （项目名称、项目编号） </w:t>
      </w:r>
      <w:r>
        <w:rPr>
          <w:rFonts w:hint="eastAsia" w:ascii="宋体" w:hAnsi="宋体" w:cs="宋体"/>
          <w:sz w:val="24"/>
        </w:rPr>
        <w:t>招标文件，经详细研究，决定参加本次投标活动为此，我方郑重声明以下几点，并愿负法律责任。</w:t>
      </w:r>
    </w:p>
    <w:p w14:paraId="37058116">
      <w:pPr>
        <w:kinsoku w:val="0"/>
        <w:spacing w:line="440" w:lineRule="exact"/>
        <w:ind w:firstLine="480" w:firstLineChars="200"/>
        <w:rPr>
          <w:rFonts w:hint="eastAsia" w:ascii="宋体" w:hAnsi="宋体" w:cs="宋体"/>
          <w:sz w:val="24"/>
        </w:rPr>
      </w:pPr>
      <w:r>
        <w:rPr>
          <w:rFonts w:hint="eastAsia" w:ascii="宋体" w:hAnsi="宋体" w:cs="宋体"/>
          <w:sz w:val="24"/>
        </w:rPr>
        <w:t>1.按照招标文件中的一切要求，提供完全满足采购需求的货物和全面技术、售后服务保障；</w:t>
      </w:r>
    </w:p>
    <w:p w14:paraId="6935EC0D">
      <w:pPr>
        <w:kinsoku w:val="0"/>
        <w:spacing w:line="440" w:lineRule="exact"/>
        <w:ind w:firstLine="480" w:firstLineChars="200"/>
        <w:rPr>
          <w:rFonts w:hint="eastAsia" w:ascii="宋体" w:hAnsi="宋体" w:cs="宋体"/>
          <w:sz w:val="24"/>
        </w:rPr>
      </w:pPr>
      <w:r>
        <w:rPr>
          <w:rFonts w:hint="eastAsia" w:ascii="宋体" w:hAnsi="宋体" w:cs="宋体"/>
          <w:sz w:val="24"/>
        </w:rPr>
        <w:t>2.如若中标，将根据招标文件的要求、投标文件及承诺条件，全面签约并履行合同规定的责任和义务；</w:t>
      </w:r>
    </w:p>
    <w:p w14:paraId="54AD9E5D">
      <w:pPr>
        <w:kinsoku w:val="0"/>
        <w:spacing w:line="440" w:lineRule="exact"/>
        <w:ind w:firstLine="480" w:firstLineChars="200"/>
        <w:rPr>
          <w:rFonts w:hint="eastAsia" w:ascii="宋体" w:hAnsi="宋体" w:cs="宋体"/>
          <w:sz w:val="24"/>
        </w:rPr>
      </w:pPr>
      <w:r>
        <w:rPr>
          <w:rFonts w:hint="eastAsia" w:ascii="宋体" w:hAnsi="宋体" w:cs="宋体"/>
          <w:sz w:val="24"/>
        </w:rPr>
        <w:t>3.我方已详细阅读和核实全部招标文件内容，完全理解并同意放弃提出含糊不清和误解问题的权力；</w:t>
      </w:r>
    </w:p>
    <w:p w14:paraId="23A1485A">
      <w:pPr>
        <w:kinsoku w:val="0"/>
        <w:spacing w:line="440" w:lineRule="exact"/>
        <w:ind w:firstLine="480" w:firstLineChars="200"/>
        <w:rPr>
          <w:rFonts w:hint="eastAsia" w:ascii="宋体" w:hAnsi="宋体" w:cs="宋体"/>
          <w:sz w:val="24"/>
        </w:rPr>
      </w:pPr>
      <w:r>
        <w:rPr>
          <w:rFonts w:hint="eastAsia" w:ascii="宋体" w:hAnsi="宋体" w:cs="宋体"/>
          <w:sz w:val="24"/>
        </w:rPr>
        <w:t>4.同意提供贵方要求的与本次招标有关的任何证明资料；</w:t>
      </w:r>
    </w:p>
    <w:p w14:paraId="7D61741E">
      <w:pPr>
        <w:kinsoku w:val="0"/>
        <w:spacing w:line="440" w:lineRule="exact"/>
        <w:ind w:firstLine="480" w:firstLineChars="200"/>
        <w:rPr>
          <w:rFonts w:hint="eastAsia" w:ascii="宋体" w:hAnsi="宋体" w:cs="宋体"/>
          <w:sz w:val="24"/>
        </w:rPr>
      </w:pPr>
      <w:r>
        <w:rPr>
          <w:rFonts w:hint="eastAsia" w:ascii="宋体" w:hAnsi="宋体" w:cs="宋体"/>
          <w:sz w:val="24"/>
        </w:rPr>
        <w:t>5.我方的投标文件在开标大会之日计算有效为</w:t>
      </w:r>
      <w:r>
        <w:rPr>
          <w:rFonts w:hint="eastAsia" w:ascii="宋体" w:hAnsi="宋体" w:cs="宋体"/>
          <w:sz w:val="24"/>
          <w:u w:val="single"/>
        </w:rPr>
        <w:t xml:space="preserve">      </w:t>
      </w:r>
      <w:r>
        <w:rPr>
          <w:rFonts w:hint="eastAsia" w:ascii="宋体" w:hAnsi="宋体" w:cs="宋体"/>
          <w:sz w:val="24"/>
        </w:rPr>
        <w:t>天；</w:t>
      </w:r>
    </w:p>
    <w:p w14:paraId="1EB0916C">
      <w:pPr>
        <w:kinsoku w:val="0"/>
        <w:spacing w:line="440" w:lineRule="exact"/>
        <w:ind w:firstLine="480" w:firstLineChars="200"/>
        <w:rPr>
          <w:rFonts w:hint="eastAsia" w:ascii="宋体" w:hAnsi="宋体" w:cs="宋体"/>
          <w:sz w:val="24"/>
        </w:rPr>
      </w:pPr>
      <w:r>
        <w:rPr>
          <w:rFonts w:hint="eastAsia" w:ascii="宋体" w:hAnsi="宋体" w:cs="宋体"/>
          <w:sz w:val="24"/>
        </w:rPr>
        <w:t>6.所有关于本次投标的函电，请按下列地址、方式联系：</w:t>
      </w:r>
    </w:p>
    <w:p w14:paraId="76C78CB6">
      <w:pPr>
        <w:kinsoku w:val="0"/>
        <w:spacing w:line="440" w:lineRule="exact"/>
        <w:ind w:firstLine="840"/>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 xml:space="preserve">                        </w:t>
      </w:r>
    </w:p>
    <w:p w14:paraId="606E0FF6">
      <w:pPr>
        <w:kinsoku w:val="0"/>
        <w:spacing w:line="440" w:lineRule="exact"/>
        <w:ind w:firstLine="840"/>
        <w:rPr>
          <w:rFonts w:hint="eastAsia" w:ascii="宋体" w:hAnsi="宋体" w:cs="宋体"/>
          <w:sz w:val="24"/>
          <w:u w:val="single"/>
        </w:rPr>
      </w:pPr>
      <w:r>
        <w:rPr>
          <w:rFonts w:hint="eastAsia" w:ascii="宋体" w:hAnsi="宋体" w:cs="宋体"/>
          <w:sz w:val="24"/>
        </w:rPr>
        <w:t>电    话：</w:t>
      </w:r>
      <w:r>
        <w:rPr>
          <w:rFonts w:hint="eastAsia" w:ascii="宋体" w:hAnsi="宋体" w:cs="宋体"/>
          <w:sz w:val="24"/>
          <w:u w:val="single"/>
        </w:rPr>
        <w:t xml:space="preserve">                        </w:t>
      </w:r>
    </w:p>
    <w:p w14:paraId="7967354B">
      <w:pPr>
        <w:kinsoku w:val="0"/>
        <w:spacing w:line="440" w:lineRule="exact"/>
        <w:ind w:firstLine="840"/>
        <w:rPr>
          <w:rFonts w:hint="eastAsia" w:ascii="宋体" w:hAnsi="宋体" w:cs="宋体"/>
          <w:sz w:val="24"/>
          <w:u w:val="single"/>
        </w:rPr>
      </w:pPr>
      <w:r>
        <w:rPr>
          <w:rFonts w:hint="eastAsia" w:ascii="宋体" w:hAnsi="宋体" w:cs="宋体"/>
          <w:sz w:val="24"/>
        </w:rPr>
        <w:t>传    真：</w:t>
      </w:r>
      <w:r>
        <w:rPr>
          <w:rFonts w:hint="eastAsia" w:ascii="宋体" w:hAnsi="宋体" w:cs="宋体"/>
          <w:sz w:val="24"/>
          <w:u w:val="single"/>
        </w:rPr>
        <w:t xml:space="preserve">                        </w:t>
      </w:r>
    </w:p>
    <w:p w14:paraId="077471CA">
      <w:pPr>
        <w:kinsoku w:val="0"/>
        <w:spacing w:line="440" w:lineRule="exact"/>
        <w:ind w:firstLine="840"/>
        <w:rPr>
          <w:rFonts w:hint="eastAsia" w:ascii="宋体" w:hAnsi="宋体" w:cs="宋体"/>
          <w:sz w:val="24"/>
          <w:u w:val="single"/>
        </w:rPr>
      </w:pPr>
      <w:r>
        <w:rPr>
          <w:rFonts w:hint="eastAsia" w:ascii="宋体" w:hAnsi="宋体" w:cs="宋体"/>
          <w:sz w:val="24"/>
        </w:rPr>
        <w:t>邮    编：</w:t>
      </w:r>
      <w:r>
        <w:rPr>
          <w:rFonts w:hint="eastAsia" w:ascii="宋体" w:hAnsi="宋体" w:cs="宋体"/>
          <w:sz w:val="24"/>
          <w:u w:val="single"/>
        </w:rPr>
        <w:t xml:space="preserve">                        </w:t>
      </w:r>
    </w:p>
    <w:p w14:paraId="193E0975">
      <w:pPr>
        <w:kinsoku w:val="0"/>
        <w:spacing w:line="440" w:lineRule="exact"/>
        <w:ind w:firstLine="570"/>
        <w:rPr>
          <w:rFonts w:hint="eastAsia" w:ascii="宋体" w:hAnsi="宋体" w:cs="宋体"/>
          <w:sz w:val="24"/>
        </w:rPr>
      </w:pPr>
    </w:p>
    <w:p w14:paraId="7BFD9462">
      <w:pPr>
        <w:kinsoku w:val="0"/>
        <w:spacing w:line="440" w:lineRule="exact"/>
        <w:ind w:firstLine="808" w:firstLineChars="337"/>
        <w:rPr>
          <w:rFonts w:hint="eastAsia" w:ascii="宋体" w:hAnsi="宋体" w:cs="宋体"/>
          <w:sz w:val="24"/>
        </w:rPr>
      </w:pPr>
      <w:r>
        <w:rPr>
          <w:rFonts w:hint="eastAsia" w:ascii="宋体" w:hAnsi="宋体" w:cs="宋体"/>
          <w:sz w:val="24"/>
        </w:rPr>
        <w:t>投标单位：</w:t>
      </w:r>
      <w:r>
        <w:rPr>
          <w:rFonts w:hint="eastAsia" w:ascii="宋体" w:hAnsi="宋体" w:cs="宋体"/>
          <w:sz w:val="24"/>
          <w:u w:val="single"/>
        </w:rPr>
        <w:t xml:space="preserve">                </w:t>
      </w:r>
      <w:r>
        <w:rPr>
          <w:rFonts w:hint="eastAsia" w:ascii="宋体" w:hAnsi="宋体" w:cs="宋体"/>
          <w:sz w:val="24"/>
        </w:rPr>
        <w:t>（公章）</w:t>
      </w:r>
    </w:p>
    <w:p w14:paraId="4A326D5C">
      <w:pPr>
        <w:kinsoku w:val="0"/>
        <w:spacing w:line="440" w:lineRule="exact"/>
        <w:ind w:firstLine="570"/>
        <w:rPr>
          <w:rFonts w:hint="eastAsia" w:ascii="宋体" w:hAnsi="宋体" w:cs="宋体"/>
          <w:sz w:val="24"/>
        </w:rPr>
      </w:pPr>
    </w:p>
    <w:p w14:paraId="0B9A42B5">
      <w:pPr>
        <w:kinsoku w:val="0"/>
        <w:spacing w:line="440" w:lineRule="exact"/>
        <w:ind w:firstLine="808" w:firstLineChars="337"/>
        <w:rPr>
          <w:rFonts w:hint="eastAsia" w:ascii="宋体" w:hAnsi="宋体" w:cs="宋体"/>
          <w:sz w:val="24"/>
          <w:u w:val="single"/>
        </w:rPr>
      </w:pPr>
      <w:r>
        <w:rPr>
          <w:rFonts w:hint="eastAsia" w:ascii="宋体" w:hAnsi="宋体" w:cs="宋体"/>
          <w:sz w:val="24"/>
        </w:rPr>
        <w:t>法定代表人/被授权人（签字或盖章）：</w:t>
      </w:r>
      <w:r>
        <w:rPr>
          <w:rFonts w:hint="eastAsia" w:ascii="宋体" w:hAnsi="宋体" w:cs="宋体"/>
          <w:sz w:val="24"/>
          <w:u w:val="single"/>
        </w:rPr>
        <w:t xml:space="preserve">                </w:t>
      </w:r>
    </w:p>
    <w:p w14:paraId="37FDDCE4">
      <w:pPr>
        <w:kinsoku w:val="0"/>
        <w:spacing w:line="440" w:lineRule="exact"/>
        <w:rPr>
          <w:rFonts w:hint="eastAsia" w:ascii="宋体" w:hAnsi="宋体" w:cs="宋体"/>
          <w:sz w:val="24"/>
          <w:u w:val="single"/>
        </w:rPr>
      </w:pPr>
    </w:p>
    <w:p w14:paraId="210FE714">
      <w:pPr>
        <w:kinsoku w:val="0"/>
        <w:spacing w:line="440" w:lineRule="exact"/>
        <w:ind w:firstLine="570"/>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A20B258">
      <w:pPr>
        <w:spacing w:line="360" w:lineRule="atLeast"/>
        <w:rPr>
          <w:rFonts w:hint="eastAsia" w:ascii="宋体" w:hAnsi="宋体" w:cs="宋体"/>
          <w:sz w:val="24"/>
        </w:rPr>
        <w:sectPr>
          <w:pgSz w:w="11906" w:h="16838"/>
          <w:pgMar w:top="1559" w:right="1134" w:bottom="1020" w:left="1321" w:header="851" w:footer="397" w:gutter="0"/>
          <w:cols w:space="720" w:num="1"/>
          <w:docGrid w:type="lines" w:linePitch="315" w:charSpace="0"/>
        </w:sectPr>
      </w:pPr>
    </w:p>
    <w:p w14:paraId="5366D021">
      <w:pPr>
        <w:spacing w:line="360" w:lineRule="atLeast"/>
        <w:jc w:val="center"/>
        <w:rPr>
          <w:rFonts w:hint="eastAsia" w:ascii="宋体" w:hAnsi="宋体" w:cs="宋体"/>
          <w:b/>
          <w:sz w:val="32"/>
          <w:szCs w:val="32"/>
        </w:rPr>
      </w:pPr>
      <w:r>
        <w:rPr>
          <w:rFonts w:hint="eastAsia" w:ascii="宋体" w:hAnsi="宋体" w:cs="宋体"/>
          <w:b/>
          <w:sz w:val="32"/>
          <w:szCs w:val="32"/>
        </w:rPr>
        <w:t>第二部分 开标一览表（报价表）</w:t>
      </w:r>
    </w:p>
    <w:p w14:paraId="2A4B6D10">
      <w:pPr>
        <w:kinsoku w:val="0"/>
        <w:spacing w:line="500" w:lineRule="exact"/>
        <w:rPr>
          <w:rFonts w:hint="eastAsia" w:ascii="宋体" w:hAnsi="宋体" w:cs="宋体"/>
        </w:rPr>
      </w:pPr>
    </w:p>
    <w:p w14:paraId="2AA3C7F2">
      <w:pPr>
        <w:kinsoku w:val="0"/>
        <w:spacing w:line="500" w:lineRule="exact"/>
        <w:ind w:firstLine="120" w:firstLineChars="50"/>
        <w:rPr>
          <w:rFonts w:hint="eastAsia" w:ascii="宋体" w:hAnsi="宋体" w:cs="宋体"/>
          <w:sz w:val="24"/>
        </w:rPr>
      </w:pPr>
      <w:r>
        <w:rPr>
          <w:rFonts w:hint="eastAsia" w:ascii="宋体" w:hAnsi="宋体" w:cs="宋体"/>
          <w:sz w:val="24"/>
        </w:rPr>
        <w:t>项目名称：</w:t>
      </w:r>
    </w:p>
    <w:p w14:paraId="683A4D2D">
      <w:pPr>
        <w:kinsoku w:val="0"/>
        <w:spacing w:line="500" w:lineRule="exact"/>
        <w:ind w:firstLine="120" w:firstLineChars="50"/>
        <w:rPr>
          <w:rFonts w:hint="eastAsia" w:ascii="宋体" w:hAnsi="宋体" w:cs="宋体"/>
          <w:sz w:val="24"/>
        </w:rPr>
      </w:pPr>
      <w:r>
        <w:rPr>
          <w:rFonts w:hint="eastAsia" w:ascii="宋体" w:hAnsi="宋体" w:cs="宋体"/>
          <w:sz w:val="24"/>
        </w:rPr>
        <w:t>项目编号：</w:t>
      </w:r>
    </w:p>
    <w:p w14:paraId="1FAFB561">
      <w:pPr>
        <w:kinsoku w:val="0"/>
        <w:spacing w:line="500" w:lineRule="exact"/>
        <w:ind w:firstLine="120" w:firstLineChars="50"/>
        <w:rPr>
          <w:rFonts w:hint="eastAsia" w:ascii="宋体" w:hAnsi="宋体" w:cs="宋体"/>
          <w:sz w:val="24"/>
        </w:rPr>
      </w:pPr>
      <w:r>
        <w:rPr>
          <w:rFonts w:hint="eastAsia" w:ascii="宋体" w:hAnsi="宋体" w:cs="宋体"/>
          <w:sz w:val="24"/>
        </w:rPr>
        <w:t xml:space="preserve">                                                                   单位：元</w:t>
      </w:r>
    </w:p>
    <w:tbl>
      <w:tblPr>
        <w:tblStyle w:val="18"/>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3"/>
        <w:gridCol w:w="1140"/>
        <w:gridCol w:w="1088"/>
        <w:gridCol w:w="1088"/>
        <w:gridCol w:w="1089"/>
        <w:gridCol w:w="1224"/>
        <w:gridCol w:w="1213"/>
        <w:gridCol w:w="1209"/>
      </w:tblGrid>
      <w:tr w14:paraId="12B0A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3" w:hRule="atLeast"/>
          <w:jc w:val="center"/>
        </w:trPr>
        <w:tc>
          <w:tcPr>
            <w:tcW w:w="1553" w:type="dxa"/>
            <w:tcBorders>
              <w:tl2br w:val="single" w:color="auto" w:sz="4" w:space="0"/>
            </w:tcBorders>
          </w:tcPr>
          <w:p w14:paraId="32CE11A5">
            <w:pPr>
              <w:kinsoku w:val="0"/>
              <w:spacing w:line="500" w:lineRule="exact"/>
              <w:ind w:firstLine="240" w:firstLineChars="100"/>
              <w:rPr>
                <w:rFonts w:hint="eastAsia" w:ascii="宋体" w:hAnsi="宋体" w:cs="宋体"/>
                <w:sz w:val="24"/>
              </w:rPr>
            </w:pPr>
            <w:r>
              <w:rPr>
                <w:rFonts w:hint="eastAsia" w:ascii="宋体" w:hAnsi="宋体" w:cs="宋体"/>
                <w:sz w:val="24"/>
              </w:rPr>
              <w:t>报价内容</w:t>
            </w:r>
          </w:p>
          <w:p w14:paraId="2687C4C1">
            <w:pPr>
              <w:kinsoku w:val="0"/>
              <w:spacing w:line="500" w:lineRule="exact"/>
              <w:rPr>
                <w:rFonts w:hint="eastAsia" w:ascii="宋体" w:hAnsi="宋体" w:cs="宋体"/>
                <w:sz w:val="24"/>
              </w:rPr>
            </w:pPr>
          </w:p>
          <w:p w14:paraId="4193E379">
            <w:pPr>
              <w:kinsoku w:val="0"/>
              <w:spacing w:line="500" w:lineRule="exact"/>
              <w:rPr>
                <w:rFonts w:hint="eastAsia" w:ascii="宋体" w:hAnsi="宋体" w:cs="宋体"/>
                <w:sz w:val="24"/>
              </w:rPr>
            </w:pPr>
            <w:r>
              <w:rPr>
                <w:rFonts w:hint="eastAsia" w:ascii="宋体" w:hAnsi="宋体" w:cs="宋体"/>
                <w:sz w:val="24"/>
              </w:rPr>
              <w:t>投标内容</w:t>
            </w:r>
          </w:p>
        </w:tc>
        <w:tc>
          <w:tcPr>
            <w:tcW w:w="1140" w:type="dxa"/>
            <w:vAlign w:val="center"/>
          </w:tcPr>
          <w:p w14:paraId="618A7E1C">
            <w:pPr>
              <w:kinsoku w:val="0"/>
              <w:spacing w:line="500" w:lineRule="exact"/>
              <w:jc w:val="center"/>
              <w:rPr>
                <w:rFonts w:hint="eastAsia" w:ascii="宋体" w:hAnsi="宋体" w:cs="宋体"/>
                <w:sz w:val="24"/>
              </w:rPr>
            </w:pPr>
            <w:r>
              <w:rPr>
                <w:rFonts w:hint="eastAsia" w:ascii="宋体" w:hAnsi="宋体" w:cs="宋体"/>
                <w:sz w:val="24"/>
              </w:rPr>
              <w:t>报价</w:t>
            </w:r>
          </w:p>
        </w:tc>
        <w:tc>
          <w:tcPr>
            <w:tcW w:w="1088" w:type="dxa"/>
            <w:vAlign w:val="center"/>
          </w:tcPr>
          <w:p w14:paraId="1914DA41">
            <w:pPr>
              <w:kinsoku w:val="0"/>
              <w:spacing w:line="500" w:lineRule="exact"/>
              <w:jc w:val="center"/>
              <w:rPr>
                <w:rFonts w:hint="eastAsia" w:ascii="宋体" w:hAnsi="宋体" w:cs="宋体"/>
                <w:sz w:val="24"/>
              </w:rPr>
            </w:pPr>
            <w:r>
              <w:rPr>
                <w:rFonts w:hint="eastAsia" w:ascii="宋体" w:hAnsi="宋体" w:cs="宋体"/>
                <w:sz w:val="24"/>
              </w:rPr>
              <w:t>运杂费</w:t>
            </w:r>
          </w:p>
        </w:tc>
        <w:tc>
          <w:tcPr>
            <w:tcW w:w="1088" w:type="dxa"/>
            <w:vAlign w:val="center"/>
          </w:tcPr>
          <w:p w14:paraId="5005C089">
            <w:pPr>
              <w:kinsoku w:val="0"/>
              <w:spacing w:line="500" w:lineRule="exact"/>
              <w:jc w:val="center"/>
              <w:rPr>
                <w:rFonts w:hint="eastAsia" w:ascii="宋体" w:hAnsi="宋体" w:cs="宋体"/>
                <w:sz w:val="24"/>
              </w:rPr>
            </w:pPr>
            <w:r>
              <w:rPr>
                <w:rFonts w:hint="eastAsia" w:ascii="宋体" w:hAnsi="宋体" w:cs="宋体"/>
                <w:sz w:val="24"/>
              </w:rPr>
              <w:t>其它</w:t>
            </w:r>
          </w:p>
          <w:p w14:paraId="07B82835">
            <w:pPr>
              <w:kinsoku w:val="0"/>
              <w:spacing w:line="500" w:lineRule="exact"/>
              <w:jc w:val="center"/>
              <w:rPr>
                <w:rFonts w:hint="eastAsia" w:ascii="宋体" w:hAnsi="宋体" w:cs="宋体"/>
                <w:sz w:val="24"/>
              </w:rPr>
            </w:pPr>
            <w:r>
              <w:rPr>
                <w:rFonts w:hint="eastAsia" w:ascii="宋体" w:hAnsi="宋体" w:cs="宋体"/>
                <w:sz w:val="24"/>
              </w:rPr>
              <w:t>费用</w:t>
            </w:r>
          </w:p>
        </w:tc>
        <w:tc>
          <w:tcPr>
            <w:tcW w:w="1089" w:type="dxa"/>
            <w:vAlign w:val="center"/>
          </w:tcPr>
          <w:p w14:paraId="3EEB23F7">
            <w:pPr>
              <w:kinsoku w:val="0"/>
              <w:spacing w:line="500" w:lineRule="exact"/>
              <w:jc w:val="center"/>
              <w:rPr>
                <w:rFonts w:hint="eastAsia" w:ascii="宋体" w:hAnsi="宋体" w:cs="宋体"/>
                <w:sz w:val="24"/>
              </w:rPr>
            </w:pPr>
            <w:r>
              <w:rPr>
                <w:rFonts w:hint="eastAsia" w:ascii="宋体" w:hAnsi="宋体" w:cs="宋体"/>
                <w:sz w:val="24"/>
              </w:rPr>
              <w:t>总计</w:t>
            </w:r>
          </w:p>
        </w:tc>
        <w:tc>
          <w:tcPr>
            <w:tcW w:w="1224" w:type="dxa"/>
            <w:vAlign w:val="center"/>
          </w:tcPr>
          <w:p w14:paraId="5DCF82BC">
            <w:pPr>
              <w:kinsoku w:val="0"/>
              <w:spacing w:line="500" w:lineRule="exact"/>
              <w:jc w:val="center"/>
              <w:rPr>
                <w:rFonts w:hint="eastAsia" w:ascii="宋体" w:hAnsi="宋体" w:cs="宋体"/>
                <w:sz w:val="24"/>
              </w:rPr>
            </w:pPr>
            <w:r>
              <w:rPr>
                <w:rFonts w:hint="eastAsia" w:ascii="宋体" w:hAnsi="宋体" w:cs="宋体"/>
                <w:sz w:val="24"/>
              </w:rPr>
              <w:t>交付期</w:t>
            </w:r>
          </w:p>
        </w:tc>
        <w:tc>
          <w:tcPr>
            <w:tcW w:w="1213" w:type="dxa"/>
            <w:vAlign w:val="center"/>
          </w:tcPr>
          <w:p w14:paraId="7CD7557D">
            <w:pPr>
              <w:kinsoku w:val="0"/>
              <w:spacing w:line="500" w:lineRule="exact"/>
              <w:jc w:val="center"/>
              <w:rPr>
                <w:rFonts w:hint="eastAsia" w:ascii="宋体" w:hAnsi="宋体" w:cs="宋体"/>
                <w:sz w:val="24"/>
              </w:rPr>
            </w:pPr>
            <w:r>
              <w:rPr>
                <w:rFonts w:hint="eastAsia" w:ascii="宋体" w:hAnsi="宋体" w:cs="宋体"/>
                <w:sz w:val="24"/>
              </w:rPr>
              <w:t>质保期</w:t>
            </w:r>
          </w:p>
        </w:tc>
        <w:tc>
          <w:tcPr>
            <w:tcW w:w="1209" w:type="dxa"/>
            <w:vAlign w:val="center"/>
          </w:tcPr>
          <w:p w14:paraId="6BF78B87">
            <w:pPr>
              <w:kinsoku w:val="0"/>
              <w:spacing w:line="500" w:lineRule="exact"/>
              <w:jc w:val="center"/>
              <w:rPr>
                <w:rFonts w:hint="eastAsia" w:ascii="宋体" w:hAnsi="宋体" w:cs="宋体"/>
                <w:sz w:val="24"/>
              </w:rPr>
            </w:pPr>
            <w:r>
              <w:rPr>
                <w:rFonts w:hint="eastAsia" w:ascii="宋体" w:hAnsi="宋体" w:cs="宋体"/>
                <w:sz w:val="24"/>
              </w:rPr>
              <w:t>备注</w:t>
            </w:r>
          </w:p>
        </w:tc>
      </w:tr>
      <w:tr w14:paraId="3993D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1553" w:type="dxa"/>
            <w:vAlign w:val="center"/>
          </w:tcPr>
          <w:p w14:paraId="1D4DFE05">
            <w:pPr>
              <w:kinsoku w:val="0"/>
              <w:spacing w:line="500" w:lineRule="exact"/>
              <w:jc w:val="center"/>
              <w:rPr>
                <w:rFonts w:hint="eastAsia" w:ascii="宋体" w:hAnsi="宋体" w:cs="宋体"/>
                <w:sz w:val="24"/>
              </w:rPr>
            </w:pPr>
          </w:p>
        </w:tc>
        <w:tc>
          <w:tcPr>
            <w:tcW w:w="1140" w:type="dxa"/>
            <w:vAlign w:val="center"/>
          </w:tcPr>
          <w:p w14:paraId="5416CE32">
            <w:pPr>
              <w:kinsoku w:val="0"/>
              <w:spacing w:line="500" w:lineRule="exact"/>
              <w:jc w:val="center"/>
              <w:rPr>
                <w:rFonts w:hint="eastAsia" w:ascii="宋体" w:hAnsi="宋体" w:cs="宋体"/>
                <w:sz w:val="24"/>
              </w:rPr>
            </w:pPr>
          </w:p>
        </w:tc>
        <w:tc>
          <w:tcPr>
            <w:tcW w:w="1088" w:type="dxa"/>
            <w:vAlign w:val="center"/>
          </w:tcPr>
          <w:p w14:paraId="09F13FD7">
            <w:pPr>
              <w:kinsoku w:val="0"/>
              <w:spacing w:line="500" w:lineRule="exact"/>
              <w:jc w:val="center"/>
              <w:rPr>
                <w:rFonts w:hint="eastAsia" w:ascii="宋体" w:hAnsi="宋体" w:cs="宋体"/>
                <w:sz w:val="24"/>
              </w:rPr>
            </w:pPr>
          </w:p>
        </w:tc>
        <w:tc>
          <w:tcPr>
            <w:tcW w:w="1088" w:type="dxa"/>
            <w:vAlign w:val="center"/>
          </w:tcPr>
          <w:p w14:paraId="072ACF42">
            <w:pPr>
              <w:kinsoku w:val="0"/>
              <w:spacing w:line="500" w:lineRule="exact"/>
              <w:jc w:val="center"/>
              <w:rPr>
                <w:rFonts w:hint="eastAsia" w:ascii="宋体" w:hAnsi="宋体" w:cs="宋体"/>
                <w:sz w:val="24"/>
              </w:rPr>
            </w:pPr>
          </w:p>
        </w:tc>
        <w:tc>
          <w:tcPr>
            <w:tcW w:w="1089" w:type="dxa"/>
            <w:vAlign w:val="center"/>
          </w:tcPr>
          <w:p w14:paraId="105DDAA4">
            <w:pPr>
              <w:kinsoku w:val="0"/>
              <w:spacing w:line="500" w:lineRule="exact"/>
              <w:rPr>
                <w:rFonts w:hint="eastAsia" w:ascii="宋体" w:hAnsi="宋体" w:cs="宋体"/>
                <w:sz w:val="24"/>
              </w:rPr>
            </w:pPr>
          </w:p>
        </w:tc>
        <w:tc>
          <w:tcPr>
            <w:tcW w:w="1224" w:type="dxa"/>
            <w:vAlign w:val="center"/>
          </w:tcPr>
          <w:p w14:paraId="7B9979E0">
            <w:pPr>
              <w:kinsoku w:val="0"/>
              <w:spacing w:line="500" w:lineRule="exact"/>
              <w:jc w:val="center"/>
              <w:rPr>
                <w:rFonts w:hint="eastAsia" w:ascii="宋体" w:hAnsi="宋体" w:cs="宋体"/>
                <w:sz w:val="24"/>
              </w:rPr>
            </w:pPr>
          </w:p>
        </w:tc>
        <w:tc>
          <w:tcPr>
            <w:tcW w:w="1213" w:type="dxa"/>
            <w:vAlign w:val="center"/>
          </w:tcPr>
          <w:p w14:paraId="49E57E56">
            <w:pPr>
              <w:kinsoku w:val="0"/>
              <w:spacing w:line="500" w:lineRule="exact"/>
              <w:jc w:val="center"/>
              <w:rPr>
                <w:rFonts w:hint="eastAsia" w:ascii="宋体" w:hAnsi="宋体" w:cs="宋体"/>
                <w:sz w:val="24"/>
              </w:rPr>
            </w:pPr>
          </w:p>
        </w:tc>
        <w:tc>
          <w:tcPr>
            <w:tcW w:w="1209" w:type="dxa"/>
            <w:vAlign w:val="center"/>
          </w:tcPr>
          <w:p w14:paraId="042C7BBE">
            <w:pPr>
              <w:kinsoku w:val="0"/>
              <w:spacing w:line="500" w:lineRule="exact"/>
              <w:jc w:val="center"/>
              <w:rPr>
                <w:rFonts w:hint="eastAsia" w:ascii="宋体" w:hAnsi="宋体" w:cs="宋体"/>
                <w:sz w:val="24"/>
              </w:rPr>
            </w:pPr>
          </w:p>
        </w:tc>
      </w:tr>
      <w:tr w14:paraId="748C7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604" w:type="dxa"/>
            <w:gridSpan w:val="8"/>
            <w:vAlign w:val="center"/>
          </w:tcPr>
          <w:p w14:paraId="78447013">
            <w:pPr>
              <w:kinsoku w:val="0"/>
              <w:spacing w:line="500" w:lineRule="exact"/>
              <w:rPr>
                <w:rFonts w:hint="eastAsia" w:ascii="宋体" w:hAnsi="宋体" w:cs="宋体"/>
                <w:sz w:val="24"/>
              </w:rPr>
            </w:pPr>
            <w:r>
              <w:rPr>
                <w:rFonts w:hint="eastAsia" w:ascii="宋体" w:hAnsi="宋体" w:cs="宋体"/>
                <w:sz w:val="24"/>
              </w:rPr>
              <w:t>投标总报价：人民币（大写）                              ¥        元</w:t>
            </w:r>
          </w:p>
        </w:tc>
      </w:tr>
      <w:tr w14:paraId="20FAD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604" w:type="dxa"/>
            <w:gridSpan w:val="8"/>
            <w:vAlign w:val="center"/>
          </w:tcPr>
          <w:p w14:paraId="4CF653D5">
            <w:pPr>
              <w:kinsoku w:val="0"/>
              <w:spacing w:line="500" w:lineRule="exact"/>
              <w:rPr>
                <w:rFonts w:hint="eastAsia" w:ascii="宋体" w:hAnsi="宋体" w:cs="宋体"/>
                <w:sz w:val="24"/>
              </w:rPr>
            </w:pPr>
            <w:r>
              <w:rPr>
                <w:rFonts w:hint="eastAsia" w:ascii="宋体" w:hAnsi="宋体" w:cs="宋体"/>
                <w:sz w:val="24"/>
              </w:rPr>
              <w:t>备注：表内报价内容以元为单位。</w:t>
            </w:r>
          </w:p>
        </w:tc>
      </w:tr>
    </w:tbl>
    <w:p w14:paraId="533409D0">
      <w:pPr>
        <w:kinsoku w:val="0"/>
        <w:spacing w:line="500" w:lineRule="exact"/>
        <w:rPr>
          <w:rFonts w:hint="eastAsia" w:ascii="宋体" w:hAnsi="宋体" w:cs="宋体"/>
          <w:sz w:val="24"/>
        </w:rPr>
      </w:pPr>
    </w:p>
    <w:p w14:paraId="0E6940F7">
      <w:pPr>
        <w:kinsoku w:val="0"/>
        <w:spacing w:line="500" w:lineRule="exact"/>
        <w:rPr>
          <w:rFonts w:hint="eastAsia" w:ascii="宋体" w:hAnsi="宋体" w:cs="宋体"/>
          <w:sz w:val="24"/>
        </w:rPr>
      </w:pPr>
    </w:p>
    <w:p w14:paraId="76EDF362">
      <w:pPr>
        <w:kinsoku w:val="0"/>
        <w:spacing w:line="500" w:lineRule="exact"/>
        <w:rPr>
          <w:rFonts w:hint="eastAsia" w:ascii="宋体" w:hAnsi="宋体" w:cs="宋体"/>
          <w:sz w:val="24"/>
        </w:rPr>
      </w:pPr>
      <w:r>
        <w:rPr>
          <w:rFonts w:hint="eastAsia" w:ascii="宋体" w:hAnsi="宋体" w:cs="宋体"/>
          <w:sz w:val="24"/>
        </w:rPr>
        <w:t>投标单位（公章）：                         法定代表人/被授权人（签字或盖章）：</w:t>
      </w:r>
    </w:p>
    <w:p w14:paraId="219EE486">
      <w:pPr>
        <w:kinsoku w:val="0"/>
        <w:spacing w:line="500" w:lineRule="exact"/>
        <w:rPr>
          <w:rFonts w:hint="eastAsia" w:ascii="宋体" w:hAnsi="宋体" w:cs="宋体"/>
        </w:rPr>
      </w:pPr>
      <w:r>
        <w:rPr>
          <w:rFonts w:hint="eastAsia" w:ascii="宋体" w:hAnsi="宋体" w:cs="宋体"/>
          <w:sz w:val="24"/>
        </w:rPr>
        <w:br w:type="page"/>
      </w:r>
      <w:r>
        <w:rPr>
          <w:rFonts w:hint="eastAsia" w:ascii="宋体" w:hAnsi="宋体" w:cs="宋体"/>
          <w:sz w:val="24"/>
        </w:rPr>
        <w:t>附表1</w:t>
      </w:r>
    </w:p>
    <w:p w14:paraId="67B1AE23">
      <w:pPr>
        <w:pStyle w:val="8"/>
        <w:jc w:val="center"/>
        <w:rPr>
          <w:rFonts w:hint="eastAsia" w:hAnsi="宋体" w:cs="宋体"/>
          <w:b/>
          <w:sz w:val="32"/>
        </w:rPr>
      </w:pPr>
      <w:r>
        <w:rPr>
          <w:rFonts w:hint="eastAsia" w:hAnsi="宋体" w:cs="宋体"/>
          <w:b/>
          <w:sz w:val="32"/>
        </w:rPr>
        <w:t>分项报价表</w:t>
      </w:r>
    </w:p>
    <w:p w14:paraId="26725D2B">
      <w:pPr>
        <w:kinsoku w:val="0"/>
        <w:spacing w:line="500" w:lineRule="exact"/>
        <w:ind w:firstLine="120" w:firstLineChars="50"/>
        <w:rPr>
          <w:rFonts w:hint="eastAsia" w:ascii="宋体" w:hAnsi="宋体" w:cs="宋体"/>
          <w:sz w:val="24"/>
        </w:rPr>
      </w:pPr>
      <w:r>
        <w:rPr>
          <w:rFonts w:hint="eastAsia" w:ascii="宋体" w:hAnsi="宋体" w:cs="宋体"/>
          <w:sz w:val="24"/>
        </w:rPr>
        <w:t>项目名称：</w:t>
      </w:r>
    </w:p>
    <w:p w14:paraId="0C6CF60B">
      <w:pPr>
        <w:kinsoku w:val="0"/>
        <w:spacing w:line="500" w:lineRule="exact"/>
        <w:ind w:firstLine="120" w:firstLineChars="50"/>
        <w:rPr>
          <w:rFonts w:hint="eastAsia" w:ascii="宋体" w:hAnsi="宋体" w:cs="宋体"/>
          <w:sz w:val="24"/>
        </w:rPr>
      </w:pPr>
      <w:r>
        <w:rPr>
          <w:rFonts w:hint="eastAsia" w:ascii="宋体" w:hAnsi="宋体" w:cs="宋体"/>
          <w:sz w:val="24"/>
        </w:rPr>
        <w:t xml:space="preserve">项目编号：             </w:t>
      </w:r>
    </w:p>
    <w:tbl>
      <w:tblPr>
        <w:tblStyle w:val="18"/>
        <w:tblpPr w:vertAnchor="text" w:horzAnchor="margin" w:tblpY="26"/>
        <w:tblW w:w="9146" w:type="dxa"/>
        <w:tblInd w:w="0" w:type="dxa"/>
        <w:tblLayout w:type="fixed"/>
        <w:tblCellMar>
          <w:top w:w="0" w:type="dxa"/>
          <w:left w:w="0" w:type="dxa"/>
          <w:bottom w:w="0" w:type="dxa"/>
          <w:right w:w="0" w:type="dxa"/>
        </w:tblCellMar>
      </w:tblPr>
      <w:tblGrid>
        <w:gridCol w:w="701"/>
        <w:gridCol w:w="1254"/>
        <w:gridCol w:w="798"/>
        <w:gridCol w:w="1168"/>
        <w:gridCol w:w="1368"/>
        <w:gridCol w:w="1444"/>
        <w:gridCol w:w="1594"/>
        <w:gridCol w:w="819"/>
      </w:tblGrid>
      <w:tr w14:paraId="57938742">
        <w:tblPrEx>
          <w:tblCellMar>
            <w:top w:w="0" w:type="dxa"/>
            <w:left w:w="0" w:type="dxa"/>
            <w:bottom w:w="0" w:type="dxa"/>
            <w:right w:w="0" w:type="dxa"/>
          </w:tblCellMar>
        </w:tblPrEx>
        <w:trPr>
          <w:trHeight w:val="340" w:hRule="atLeast"/>
        </w:trPr>
        <w:tc>
          <w:tcPr>
            <w:tcW w:w="701" w:type="dxa"/>
            <w:tcBorders>
              <w:top w:val="double" w:color="000000" w:sz="4"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4B27B90C">
            <w:pPr>
              <w:jc w:val="center"/>
              <w:rPr>
                <w:rFonts w:hint="eastAsia" w:ascii="宋体" w:hAnsi="宋体" w:cs="宋体"/>
                <w:b/>
                <w:szCs w:val="21"/>
              </w:rPr>
            </w:pPr>
            <w:r>
              <w:rPr>
                <w:rFonts w:hint="eastAsia" w:ascii="宋体" w:hAnsi="宋体" w:cs="宋体"/>
                <w:b/>
                <w:szCs w:val="21"/>
              </w:rPr>
              <w:t>序号</w:t>
            </w:r>
          </w:p>
        </w:tc>
        <w:tc>
          <w:tcPr>
            <w:tcW w:w="1254" w:type="dxa"/>
            <w:tcBorders>
              <w:top w:val="double" w:color="000000" w:sz="4"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4DF2CBEA">
            <w:pPr>
              <w:jc w:val="center"/>
              <w:rPr>
                <w:rFonts w:hint="eastAsia" w:ascii="宋体" w:hAnsi="宋体" w:cs="宋体"/>
                <w:b/>
                <w:szCs w:val="21"/>
              </w:rPr>
            </w:pPr>
            <w:r>
              <w:rPr>
                <w:rFonts w:hint="eastAsia" w:ascii="宋体" w:hAnsi="宋体" w:cs="宋体"/>
                <w:b/>
                <w:szCs w:val="21"/>
              </w:rPr>
              <w:t>产品名称</w:t>
            </w:r>
          </w:p>
        </w:tc>
        <w:tc>
          <w:tcPr>
            <w:tcW w:w="798" w:type="dxa"/>
            <w:tcBorders>
              <w:top w:val="double" w:color="000000" w:sz="4"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76859F94">
            <w:pPr>
              <w:jc w:val="center"/>
              <w:rPr>
                <w:rFonts w:hint="eastAsia" w:ascii="宋体" w:hAnsi="宋体" w:cs="宋体"/>
                <w:b/>
                <w:szCs w:val="21"/>
              </w:rPr>
            </w:pPr>
          </w:p>
          <w:p w14:paraId="7F47ED38">
            <w:pPr>
              <w:jc w:val="center"/>
              <w:rPr>
                <w:rFonts w:hint="eastAsia" w:ascii="宋体" w:hAnsi="宋体" w:cs="宋体"/>
                <w:b/>
                <w:szCs w:val="21"/>
              </w:rPr>
            </w:pPr>
            <w:r>
              <w:rPr>
                <w:rFonts w:hint="eastAsia" w:ascii="宋体" w:hAnsi="宋体" w:cs="宋体"/>
                <w:b/>
                <w:szCs w:val="21"/>
              </w:rPr>
              <w:t>品牌</w:t>
            </w:r>
          </w:p>
          <w:p w14:paraId="05647250">
            <w:pPr>
              <w:jc w:val="center"/>
              <w:rPr>
                <w:rFonts w:hint="eastAsia" w:ascii="宋体" w:hAnsi="宋体" w:cs="宋体"/>
                <w:b/>
                <w:szCs w:val="21"/>
              </w:rPr>
            </w:pPr>
          </w:p>
        </w:tc>
        <w:tc>
          <w:tcPr>
            <w:tcW w:w="1168" w:type="dxa"/>
            <w:tcBorders>
              <w:top w:val="double" w:color="000000" w:sz="4" w:space="0"/>
              <w:left w:val="single" w:color="auto" w:sz="4" w:space="0"/>
              <w:bottom w:val="single" w:color="000000" w:sz="6" w:space="0"/>
              <w:right w:val="single" w:color="auto" w:sz="4" w:space="0"/>
            </w:tcBorders>
            <w:vAlign w:val="center"/>
          </w:tcPr>
          <w:p w14:paraId="79820900">
            <w:pPr>
              <w:jc w:val="center"/>
              <w:rPr>
                <w:rFonts w:hint="eastAsia" w:ascii="宋体" w:hAnsi="宋体" w:cs="宋体"/>
                <w:b/>
                <w:szCs w:val="21"/>
              </w:rPr>
            </w:pPr>
            <w:r>
              <w:rPr>
                <w:rFonts w:hint="eastAsia" w:ascii="宋体" w:hAnsi="宋体" w:cs="宋体"/>
                <w:b/>
                <w:szCs w:val="21"/>
              </w:rPr>
              <w:t>型号</w:t>
            </w:r>
          </w:p>
          <w:p w14:paraId="0CA05012">
            <w:pPr>
              <w:jc w:val="center"/>
              <w:rPr>
                <w:rFonts w:hint="eastAsia" w:ascii="宋体" w:hAnsi="宋体" w:cs="宋体"/>
                <w:b/>
                <w:szCs w:val="21"/>
              </w:rPr>
            </w:pPr>
            <w:r>
              <w:rPr>
                <w:rFonts w:hint="eastAsia" w:ascii="宋体" w:hAnsi="宋体" w:cs="宋体"/>
                <w:b/>
                <w:szCs w:val="21"/>
              </w:rPr>
              <w:t>（版本号）</w:t>
            </w:r>
          </w:p>
        </w:tc>
        <w:tc>
          <w:tcPr>
            <w:tcW w:w="1368" w:type="dxa"/>
            <w:tcBorders>
              <w:top w:val="double" w:color="000000" w:sz="4" w:space="0"/>
              <w:left w:val="single" w:color="auto" w:sz="4" w:space="0"/>
              <w:bottom w:val="single" w:color="000000" w:sz="6" w:space="0"/>
              <w:right w:val="single" w:color="000000" w:sz="6" w:space="0"/>
            </w:tcBorders>
            <w:vAlign w:val="center"/>
          </w:tcPr>
          <w:p w14:paraId="7D2C7ACF">
            <w:pPr>
              <w:jc w:val="center"/>
              <w:rPr>
                <w:rFonts w:hint="eastAsia" w:ascii="宋体" w:hAnsi="宋体" w:cs="宋体"/>
                <w:b/>
                <w:szCs w:val="21"/>
              </w:rPr>
            </w:pPr>
            <w:r>
              <w:rPr>
                <w:rFonts w:hint="eastAsia" w:ascii="宋体" w:hAnsi="宋体" w:cs="宋体"/>
                <w:b/>
                <w:szCs w:val="21"/>
              </w:rPr>
              <w:t>数量/单位</w:t>
            </w:r>
          </w:p>
        </w:tc>
        <w:tc>
          <w:tcPr>
            <w:tcW w:w="1444" w:type="dxa"/>
            <w:tcBorders>
              <w:top w:val="double" w:color="000000" w:sz="4"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2E7040D9">
            <w:pPr>
              <w:jc w:val="center"/>
              <w:rPr>
                <w:rFonts w:hint="eastAsia" w:ascii="宋体" w:hAnsi="宋体" w:cs="宋体"/>
                <w:b/>
                <w:szCs w:val="21"/>
              </w:rPr>
            </w:pPr>
            <w:r>
              <w:rPr>
                <w:rFonts w:hint="eastAsia" w:ascii="宋体" w:hAnsi="宋体" w:cs="宋体"/>
                <w:b/>
                <w:szCs w:val="21"/>
              </w:rPr>
              <w:t>单价</w:t>
            </w:r>
          </w:p>
          <w:p w14:paraId="2374A32B">
            <w:pPr>
              <w:jc w:val="center"/>
              <w:rPr>
                <w:rFonts w:hint="eastAsia" w:ascii="宋体" w:hAnsi="宋体" w:cs="宋体"/>
                <w:b/>
                <w:szCs w:val="21"/>
              </w:rPr>
            </w:pPr>
            <w:r>
              <w:rPr>
                <w:rFonts w:hint="eastAsia" w:ascii="宋体" w:hAnsi="宋体" w:cs="宋体"/>
                <w:b/>
                <w:szCs w:val="21"/>
              </w:rPr>
              <w:t>(人民币元)</w:t>
            </w:r>
          </w:p>
        </w:tc>
        <w:tc>
          <w:tcPr>
            <w:tcW w:w="1594" w:type="dxa"/>
            <w:tcBorders>
              <w:top w:val="double" w:color="000000" w:sz="4"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4CA47665">
            <w:pPr>
              <w:jc w:val="center"/>
              <w:rPr>
                <w:rFonts w:hint="eastAsia" w:ascii="宋体" w:hAnsi="宋体" w:cs="宋体"/>
                <w:b/>
                <w:szCs w:val="21"/>
              </w:rPr>
            </w:pPr>
            <w:r>
              <w:rPr>
                <w:rFonts w:hint="eastAsia" w:ascii="宋体" w:hAnsi="宋体" w:cs="宋体"/>
                <w:b/>
                <w:szCs w:val="21"/>
              </w:rPr>
              <w:t>合计</w:t>
            </w:r>
          </w:p>
          <w:p w14:paraId="5C5EEF5C">
            <w:pPr>
              <w:jc w:val="center"/>
              <w:rPr>
                <w:rFonts w:hint="eastAsia" w:ascii="宋体" w:hAnsi="宋体" w:cs="宋体"/>
                <w:b/>
                <w:szCs w:val="21"/>
              </w:rPr>
            </w:pPr>
            <w:r>
              <w:rPr>
                <w:rFonts w:hint="eastAsia" w:ascii="宋体" w:hAnsi="宋体" w:cs="宋体"/>
                <w:b/>
                <w:szCs w:val="21"/>
              </w:rPr>
              <w:t>（人民币元）</w:t>
            </w:r>
          </w:p>
        </w:tc>
        <w:tc>
          <w:tcPr>
            <w:tcW w:w="819" w:type="dxa"/>
            <w:tcBorders>
              <w:top w:val="double" w:color="000000" w:sz="4"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41118120">
            <w:pPr>
              <w:jc w:val="center"/>
              <w:rPr>
                <w:rFonts w:hint="eastAsia" w:ascii="宋体" w:hAnsi="宋体" w:cs="宋体"/>
                <w:b/>
                <w:szCs w:val="21"/>
              </w:rPr>
            </w:pPr>
            <w:r>
              <w:rPr>
                <w:rFonts w:hint="eastAsia" w:ascii="宋体" w:hAnsi="宋体" w:cs="宋体"/>
                <w:b/>
                <w:szCs w:val="21"/>
              </w:rPr>
              <w:t>备注</w:t>
            </w:r>
          </w:p>
        </w:tc>
      </w:tr>
      <w:tr w14:paraId="70EBCF34">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51B8D8A0">
            <w:pPr>
              <w:jc w:val="center"/>
              <w:rPr>
                <w:rFonts w:hint="eastAsia" w:ascii="宋体" w:hAnsi="宋体" w:cs="宋体"/>
                <w:szCs w:val="21"/>
              </w:rPr>
            </w:pPr>
            <w:r>
              <w:rPr>
                <w:rFonts w:hint="eastAsia" w:ascii="宋体" w:hAnsi="宋体" w:cs="宋体"/>
                <w:szCs w:val="21"/>
              </w:rPr>
              <w:t>1</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B5B504F">
            <w:pPr>
              <w:jc w:val="center"/>
              <w:rPr>
                <w:rFonts w:hint="eastAsia" w:ascii="宋体" w:hAnsi="宋体" w:cs="宋体"/>
                <w:szCs w:val="21"/>
              </w:rPr>
            </w:pPr>
          </w:p>
        </w:tc>
        <w:tc>
          <w:tcPr>
            <w:tcW w:w="798"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3924CCE7">
            <w:pPr>
              <w:jc w:val="center"/>
              <w:rPr>
                <w:rFonts w:hint="eastAsia" w:ascii="宋体" w:hAnsi="宋体" w:cs="宋体"/>
                <w:szCs w:val="21"/>
              </w:rPr>
            </w:pPr>
          </w:p>
        </w:tc>
        <w:tc>
          <w:tcPr>
            <w:tcW w:w="1168" w:type="dxa"/>
            <w:tcBorders>
              <w:top w:val="single" w:color="000000" w:sz="6" w:space="0"/>
              <w:left w:val="single" w:color="auto" w:sz="4" w:space="0"/>
              <w:bottom w:val="single" w:color="000000" w:sz="6" w:space="0"/>
              <w:right w:val="single" w:color="auto" w:sz="4" w:space="0"/>
            </w:tcBorders>
            <w:vAlign w:val="center"/>
          </w:tcPr>
          <w:p w14:paraId="53D58A77">
            <w:pPr>
              <w:jc w:val="center"/>
              <w:rPr>
                <w:rFonts w:hint="eastAsia" w:ascii="宋体" w:hAnsi="宋体" w:cs="宋体"/>
                <w:szCs w:val="21"/>
              </w:rPr>
            </w:pPr>
          </w:p>
        </w:tc>
        <w:tc>
          <w:tcPr>
            <w:tcW w:w="1368" w:type="dxa"/>
            <w:tcBorders>
              <w:top w:val="single" w:color="000000" w:sz="6" w:space="0"/>
              <w:left w:val="single" w:color="auto" w:sz="4" w:space="0"/>
              <w:bottom w:val="single" w:color="000000" w:sz="6" w:space="0"/>
              <w:right w:val="single" w:color="000000" w:sz="6" w:space="0"/>
            </w:tcBorders>
            <w:vAlign w:val="center"/>
          </w:tcPr>
          <w:p w14:paraId="422DDB2F">
            <w:pPr>
              <w:jc w:val="center"/>
              <w:rPr>
                <w:rFonts w:hint="eastAsia" w:ascii="宋体" w:hAnsi="宋体" w:cs="宋体"/>
                <w:szCs w:val="21"/>
              </w:rPr>
            </w:pPr>
          </w:p>
        </w:tc>
        <w:tc>
          <w:tcPr>
            <w:tcW w:w="1444"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743E7FC0">
            <w:pPr>
              <w:jc w:val="center"/>
              <w:rPr>
                <w:rFonts w:hint="eastAsia" w:ascii="宋体" w:hAnsi="宋体" w:cs="宋体"/>
                <w:szCs w:val="21"/>
              </w:rPr>
            </w:pPr>
          </w:p>
        </w:tc>
        <w:tc>
          <w:tcPr>
            <w:tcW w:w="1594"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1CB7D540">
            <w:pPr>
              <w:jc w:val="center"/>
              <w:rPr>
                <w:rFonts w:hint="eastAsia" w:ascii="宋体" w:hAnsi="宋体" w:cs="宋体"/>
                <w:szCs w:val="21"/>
              </w:rPr>
            </w:pPr>
          </w:p>
        </w:tc>
        <w:tc>
          <w:tcPr>
            <w:tcW w:w="819"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537CAC53">
            <w:pPr>
              <w:jc w:val="center"/>
              <w:rPr>
                <w:rFonts w:hint="eastAsia" w:ascii="宋体" w:hAnsi="宋体" w:cs="宋体"/>
                <w:szCs w:val="21"/>
              </w:rPr>
            </w:pPr>
          </w:p>
        </w:tc>
      </w:tr>
      <w:tr w14:paraId="69829477">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2179030A">
            <w:pPr>
              <w:jc w:val="center"/>
              <w:rPr>
                <w:rFonts w:hint="eastAsia" w:ascii="宋体" w:hAnsi="宋体" w:cs="宋体"/>
                <w:szCs w:val="21"/>
              </w:rPr>
            </w:pPr>
            <w:r>
              <w:rPr>
                <w:rFonts w:hint="eastAsia" w:ascii="宋体" w:hAnsi="宋体" w:cs="宋体"/>
                <w:szCs w:val="21"/>
              </w:rPr>
              <w:t>2</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A7667EE">
            <w:pPr>
              <w:tabs>
                <w:tab w:val="center" w:pos="1694"/>
              </w:tabs>
              <w:jc w:val="center"/>
              <w:rPr>
                <w:rFonts w:hint="eastAsia" w:ascii="宋体" w:hAnsi="宋体" w:cs="宋体"/>
                <w:szCs w:val="21"/>
              </w:rPr>
            </w:pPr>
          </w:p>
        </w:tc>
        <w:tc>
          <w:tcPr>
            <w:tcW w:w="798"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6B7DF25F">
            <w:pPr>
              <w:jc w:val="center"/>
              <w:rPr>
                <w:rFonts w:hint="eastAsia" w:ascii="宋体" w:hAnsi="宋体" w:cs="宋体"/>
                <w:szCs w:val="21"/>
              </w:rPr>
            </w:pPr>
          </w:p>
        </w:tc>
        <w:tc>
          <w:tcPr>
            <w:tcW w:w="1168" w:type="dxa"/>
            <w:tcBorders>
              <w:top w:val="single" w:color="000000" w:sz="6" w:space="0"/>
              <w:left w:val="single" w:color="auto" w:sz="4" w:space="0"/>
              <w:bottom w:val="single" w:color="000000" w:sz="6" w:space="0"/>
              <w:right w:val="single" w:color="auto" w:sz="4" w:space="0"/>
            </w:tcBorders>
            <w:vAlign w:val="center"/>
          </w:tcPr>
          <w:p w14:paraId="59C80957">
            <w:pPr>
              <w:jc w:val="center"/>
              <w:rPr>
                <w:rFonts w:hint="eastAsia" w:ascii="宋体" w:hAnsi="宋体" w:cs="宋体"/>
                <w:szCs w:val="21"/>
              </w:rPr>
            </w:pPr>
          </w:p>
        </w:tc>
        <w:tc>
          <w:tcPr>
            <w:tcW w:w="1368" w:type="dxa"/>
            <w:tcBorders>
              <w:top w:val="single" w:color="000000" w:sz="6" w:space="0"/>
              <w:left w:val="single" w:color="auto" w:sz="4" w:space="0"/>
              <w:bottom w:val="single" w:color="000000" w:sz="6" w:space="0"/>
              <w:right w:val="single" w:color="000000" w:sz="6" w:space="0"/>
            </w:tcBorders>
            <w:vAlign w:val="center"/>
          </w:tcPr>
          <w:p w14:paraId="6A1B3EEC">
            <w:pPr>
              <w:jc w:val="center"/>
              <w:rPr>
                <w:rFonts w:hint="eastAsia" w:ascii="宋体" w:hAnsi="宋体" w:cs="宋体"/>
                <w:szCs w:val="21"/>
              </w:rPr>
            </w:pPr>
          </w:p>
        </w:tc>
        <w:tc>
          <w:tcPr>
            <w:tcW w:w="1444"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3249C84A">
            <w:pPr>
              <w:jc w:val="center"/>
              <w:rPr>
                <w:rFonts w:hint="eastAsia" w:ascii="宋体" w:hAnsi="宋体" w:cs="宋体"/>
                <w:szCs w:val="21"/>
              </w:rPr>
            </w:pPr>
          </w:p>
        </w:tc>
        <w:tc>
          <w:tcPr>
            <w:tcW w:w="1594"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53958F94">
            <w:pPr>
              <w:jc w:val="center"/>
              <w:rPr>
                <w:rFonts w:hint="eastAsia" w:ascii="宋体" w:hAnsi="宋体" w:cs="宋体"/>
                <w:szCs w:val="21"/>
              </w:rPr>
            </w:pPr>
          </w:p>
        </w:tc>
        <w:tc>
          <w:tcPr>
            <w:tcW w:w="819"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2BB212A8">
            <w:pPr>
              <w:jc w:val="center"/>
              <w:rPr>
                <w:rFonts w:hint="eastAsia" w:ascii="宋体" w:hAnsi="宋体" w:cs="宋体"/>
                <w:szCs w:val="21"/>
              </w:rPr>
            </w:pPr>
          </w:p>
        </w:tc>
      </w:tr>
      <w:tr w14:paraId="008770CB">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5186867A">
            <w:pPr>
              <w:jc w:val="center"/>
              <w:rPr>
                <w:rFonts w:hint="eastAsia" w:ascii="宋体" w:hAnsi="宋体" w:cs="宋体"/>
                <w:szCs w:val="21"/>
              </w:rPr>
            </w:pPr>
            <w:r>
              <w:rPr>
                <w:rFonts w:hint="eastAsia" w:ascii="宋体" w:hAnsi="宋体" w:cs="宋体"/>
                <w:szCs w:val="21"/>
              </w:rPr>
              <w:t>3</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0E1C9B7">
            <w:pPr>
              <w:jc w:val="center"/>
              <w:rPr>
                <w:rFonts w:hint="eastAsia" w:ascii="宋体" w:hAnsi="宋体" w:cs="宋体"/>
                <w:szCs w:val="21"/>
              </w:rPr>
            </w:pPr>
          </w:p>
        </w:tc>
        <w:tc>
          <w:tcPr>
            <w:tcW w:w="798"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610451B0">
            <w:pPr>
              <w:jc w:val="center"/>
              <w:rPr>
                <w:rFonts w:hint="eastAsia" w:ascii="宋体" w:hAnsi="宋体" w:cs="宋体"/>
                <w:szCs w:val="21"/>
              </w:rPr>
            </w:pPr>
          </w:p>
        </w:tc>
        <w:tc>
          <w:tcPr>
            <w:tcW w:w="1168" w:type="dxa"/>
            <w:tcBorders>
              <w:top w:val="single" w:color="000000" w:sz="6" w:space="0"/>
              <w:left w:val="single" w:color="auto" w:sz="4" w:space="0"/>
              <w:bottom w:val="single" w:color="000000" w:sz="6" w:space="0"/>
              <w:right w:val="single" w:color="auto" w:sz="4" w:space="0"/>
            </w:tcBorders>
            <w:vAlign w:val="center"/>
          </w:tcPr>
          <w:p w14:paraId="7DBEAF77">
            <w:pPr>
              <w:jc w:val="center"/>
              <w:rPr>
                <w:rFonts w:hint="eastAsia" w:ascii="宋体" w:hAnsi="宋体" w:cs="宋体"/>
                <w:szCs w:val="21"/>
              </w:rPr>
            </w:pPr>
          </w:p>
        </w:tc>
        <w:tc>
          <w:tcPr>
            <w:tcW w:w="1368" w:type="dxa"/>
            <w:tcBorders>
              <w:top w:val="single" w:color="000000" w:sz="6" w:space="0"/>
              <w:left w:val="single" w:color="auto" w:sz="4" w:space="0"/>
              <w:bottom w:val="single" w:color="000000" w:sz="6" w:space="0"/>
              <w:right w:val="single" w:color="000000" w:sz="6" w:space="0"/>
            </w:tcBorders>
            <w:vAlign w:val="center"/>
          </w:tcPr>
          <w:p w14:paraId="175E62F7">
            <w:pPr>
              <w:jc w:val="center"/>
              <w:rPr>
                <w:rFonts w:hint="eastAsia" w:ascii="宋体" w:hAnsi="宋体" w:cs="宋体"/>
                <w:szCs w:val="21"/>
              </w:rPr>
            </w:pPr>
          </w:p>
        </w:tc>
        <w:tc>
          <w:tcPr>
            <w:tcW w:w="1444"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1B076597">
            <w:pPr>
              <w:jc w:val="center"/>
              <w:rPr>
                <w:rFonts w:hint="eastAsia" w:ascii="宋体" w:hAnsi="宋体" w:cs="宋体"/>
                <w:szCs w:val="21"/>
              </w:rPr>
            </w:pPr>
          </w:p>
        </w:tc>
        <w:tc>
          <w:tcPr>
            <w:tcW w:w="1594"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05D10CC1">
            <w:pPr>
              <w:jc w:val="center"/>
              <w:rPr>
                <w:rFonts w:hint="eastAsia" w:ascii="宋体" w:hAnsi="宋体" w:cs="宋体"/>
                <w:szCs w:val="21"/>
              </w:rPr>
            </w:pPr>
          </w:p>
        </w:tc>
        <w:tc>
          <w:tcPr>
            <w:tcW w:w="819"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3FE2F2BF">
            <w:pPr>
              <w:jc w:val="center"/>
              <w:rPr>
                <w:rFonts w:hint="eastAsia" w:ascii="宋体" w:hAnsi="宋体" w:cs="宋体"/>
                <w:szCs w:val="21"/>
              </w:rPr>
            </w:pPr>
          </w:p>
        </w:tc>
      </w:tr>
      <w:tr w14:paraId="5C9458EA">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66FEC255">
            <w:pPr>
              <w:jc w:val="center"/>
              <w:rPr>
                <w:rFonts w:hint="eastAsia" w:ascii="宋体" w:hAnsi="宋体" w:cs="宋体"/>
                <w:szCs w:val="21"/>
              </w:rPr>
            </w:pPr>
            <w:r>
              <w:rPr>
                <w:rFonts w:hint="eastAsia" w:ascii="宋体" w:hAnsi="宋体" w:cs="宋体"/>
                <w:szCs w:val="21"/>
              </w:rPr>
              <w:t>...</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5672259F">
            <w:pPr>
              <w:jc w:val="center"/>
              <w:rPr>
                <w:rFonts w:hint="eastAsia" w:ascii="宋体" w:hAnsi="宋体" w:cs="宋体"/>
                <w:szCs w:val="21"/>
              </w:rPr>
            </w:pPr>
          </w:p>
        </w:tc>
        <w:tc>
          <w:tcPr>
            <w:tcW w:w="798"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741A3BE5">
            <w:pPr>
              <w:jc w:val="center"/>
              <w:rPr>
                <w:rFonts w:hint="eastAsia" w:ascii="宋体" w:hAnsi="宋体" w:cs="宋体"/>
                <w:szCs w:val="21"/>
              </w:rPr>
            </w:pPr>
          </w:p>
        </w:tc>
        <w:tc>
          <w:tcPr>
            <w:tcW w:w="1168" w:type="dxa"/>
            <w:tcBorders>
              <w:top w:val="single" w:color="000000" w:sz="6" w:space="0"/>
              <w:left w:val="single" w:color="auto" w:sz="4" w:space="0"/>
              <w:bottom w:val="single" w:color="000000" w:sz="6" w:space="0"/>
              <w:right w:val="single" w:color="auto" w:sz="4" w:space="0"/>
            </w:tcBorders>
            <w:vAlign w:val="center"/>
          </w:tcPr>
          <w:p w14:paraId="2D78B90D">
            <w:pPr>
              <w:jc w:val="center"/>
              <w:rPr>
                <w:rFonts w:hint="eastAsia" w:ascii="宋体" w:hAnsi="宋体" w:cs="宋体"/>
                <w:szCs w:val="21"/>
              </w:rPr>
            </w:pPr>
          </w:p>
        </w:tc>
        <w:tc>
          <w:tcPr>
            <w:tcW w:w="1368" w:type="dxa"/>
            <w:tcBorders>
              <w:top w:val="single" w:color="000000" w:sz="6" w:space="0"/>
              <w:left w:val="single" w:color="auto" w:sz="4" w:space="0"/>
              <w:bottom w:val="single" w:color="000000" w:sz="6" w:space="0"/>
              <w:right w:val="single" w:color="000000" w:sz="6" w:space="0"/>
            </w:tcBorders>
            <w:vAlign w:val="center"/>
          </w:tcPr>
          <w:p w14:paraId="0B60011E">
            <w:pPr>
              <w:jc w:val="center"/>
              <w:rPr>
                <w:rFonts w:hint="eastAsia" w:ascii="宋体" w:hAnsi="宋体" w:cs="宋体"/>
                <w:szCs w:val="21"/>
              </w:rPr>
            </w:pPr>
          </w:p>
        </w:tc>
        <w:tc>
          <w:tcPr>
            <w:tcW w:w="1444"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7D1783C2">
            <w:pPr>
              <w:jc w:val="center"/>
              <w:rPr>
                <w:rFonts w:hint="eastAsia" w:ascii="宋体" w:hAnsi="宋体" w:cs="宋体"/>
                <w:szCs w:val="21"/>
              </w:rPr>
            </w:pPr>
          </w:p>
        </w:tc>
        <w:tc>
          <w:tcPr>
            <w:tcW w:w="1594"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0A269B99">
            <w:pPr>
              <w:jc w:val="center"/>
              <w:rPr>
                <w:rFonts w:hint="eastAsia" w:ascii="宋体" w:hAnsi="宋体" w:cs="宋体"/>
                <w:szCs w:val="21"/>
              </w:rPr>
            </w:pPr>
          </w:p>
        </w:tc>
        <w:tc>
          <w:tcPr>
            <w:tcW w:w="819"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062BE246">
            <w:pPr>
              <w:jc w:val="center"/>
              <w:rPr>
                <w:rFonts w:hint="eastAsia" w:ascii="宋体" w:hAnsi="宋体" w:cs="宋体"/>
                <w:szCs w:val="21"/>
              </w:rPr>
            </w:pPr>
          </w:p>
        </w:tc>
      </w:tr>
      <w:tr w14:paraId="058E880D">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4223FFC5">
            <w:pPr>
              <w:jc w:val="center"/>
              <w:rPr>
                <w:rFonts w:hint="eastAsia" w:ascii="宋体" w:hAnsi="宋体" w:cs="宋体"/>
                <w:szCs w:val="21"/>
              </w:rPr>
            </w:pPr>
            <w:r>
              <w:rPr>
                <w:rFonts w:hint="eastAsia" w:ascii="宋体" w:hAnsi="宋体" w:cs="宋体"/>
                <w:szCs w:val="21"/>
              </w:rPr>
              <w:t>合计</w:t>
            </w:r>
          </w:p>
        </w:tc>
        <w:tc>
          <w:tcPr>
            <w:tcW w:w="8445" w:type="dxa"/>
            <w:gridSpan w:val="7"/>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7A17FE95">
            <w:pPr>
              <w:rPr>
                <w:rFonts w:hint="eastAsia" w:ascii="宋体" w:hAnsi="宋体" w:cs="宋体"/>
                <w:szCs w:val="21"/>
              </w:rPr>
            </w:pPr>
            <w:r>
              <w:rPr>
                <w:rFonts w:hint="eastAsia" w:ascii="宋体" w:hAnsi="宋体" w:cs="宋体"/>
                <w:szCs w:val="21"/>
              </w:rPr>
              <w:t>大写:                                    小写：</w:t>
            </w:r>
          </w:p>
        </w:tc>
      </w:tr>
    </w:tbl>
    <w:p w14:paraId="4806202E">
      <w:pPr>
        <w:kinsoku w:val="0"/>
        <w:spacing w:line="500" w:lineRule="exact"/>
        <w:rPr>
          <w:rFonts w:hint="eastAsia" w:ascii="宋体" w:hAnsi="宋体" w:cs="宋体"/>
          <w:sz w:val="24"/>
        </w:rPr>
      </w:pPr>
      <w:r>
        <w:rPr>
          <w:rFonts w:hint="eastAsia" w:ascii="宋体" w:hAnsi="宋体" w:cs="宋体"/>
          <w:sz w:val="24"/>
        </w:rPr>
        <w:t>注：本表中的“总价”与“开标一览表”中的“投标总报价”一致,各子项分别报价。</w:t>
      </w:r>
    </w:p>
    <w:p w14:paraId="2E0D6D2A">
      <w:pPr>
        <w:rPr>
          <w:rFonts w:hint="eastAsia" w:ascii="宋体" w:hAnsi="宋体" w:cs="宋体"/>
          <w:sz w:val="24"/>
        </w:rPr>
      </w:pPr>
    </w:p>
    <w:p w14:paraId="54219FAD">
      <w:pPr>
        <w:rPr>
          <w:rFonts w:hint="eastAsia" w:ascii="宋体" w:hAnsi="宋体" w:cs="宋体"/>
          <w:sz w:val="24"/>
          <w:u w:val="single"/>
        </w:rPr>
      </w:pPr>
      <w:r>
        <w:rPr>
          <w:rFonts w:hint="eastAsia" w:ascii="宋体" w:hAnsi="宋体" w:cs="宋体"/>
          <w:sz w:val="24"/>
        </w:rPr>
        <w:t>投标单位（公章）：</w:t>
      </w:r>
      <w:r>
        <w:rPr>
          <w:rFonts w:hint="eastAsia" w:ascii="宋体" w:hAnsi="宋体" w:cs="宋体"/>
          <w:sz w:val="24"/>
          <w:u w:val="single"/>
        </w:rPr>
        <w:t xml:space="preserve">               </w:t>
      </w:r>
      <w:r>
        <w:rPr>
          <w:rFonts w:hint="eastAsia" w:ascii="宋体" w:hAnsi="宋体" w:cs="宋体"/>
          <w:sz w:val="24"/>
        </w:rPr>
        <w:t xml:space="preserve">   法定代表人/被授权人（签字或盖章）： </w:t>
      </w:r>
      <w:r>
        <w:rPr>
          <w:rFonts w:hint="eastAsia" w:ascii="宋体" w:hAnsi="宋体" w:cs="宋体"/>
          <w:sz w:val="24"/>
          <w:u w:val="single"/>
        </w:rPr>
        <w:t xml:space="preserve">         </w:t>
      </w:r>
    </w:p>
    <w:p w14:paraId="28F78B43">
      <w:pPr>
        <w:rPr>
          <w:rFonts w:hint="eastAsia" w:ascii="宋体" w:hAnsi="宋体" w:cs="宋体"/>
          <w:sz w:val="24"/>
        </w:rPr>
      </w:pPr>
    </w:p>
    <w:p w14:paraId="3BA653E5">
      <w:pPr>
        <w:rPr>
          <w:rFonts w:hint="eastAsia" w:ascii="宋体" w:hAnsi="宋体" w:cs="宋体"/>
          <w:b/>
          <w:sz w:val="44"/>
        </w:rPr>
      </w:pPr>
    </w:p>
    <w:p w14:paraId="76ED47C3">
      <w:pPr>
        <w:pStyle w:val="8"/>
        <w:rPr>
          <w:rFonts w:hint="eastAsia" w:hAnsi="宋体" w:cs="宋体"/>
          <w:b/>
          <w:sz w:val="24"/>
          <w:szCs w:val="24"/>
        </w:rPr>
      </w:pPr>
      <w:r>
        <w:rPr>
          <w:rFonts w:hint="eastAsia" w:hAnsi="宋体" w:cs="宋体"/>
          <w:b/>
          <w:bCs/>
        </w:rPr>
        <w:br w:type="page"/>
      </w:r>
    </w:p>
    <w:p w14:paraId="07E7004D">
      <w:pPr>
        <w:pStyle w:val="8"/>
        <w:rPr>
          <w:rFonts w:hint="eastAsia" w:hAnsi="宋体" w:cs="宋体"/>
          <w:sz w:val="24"/>
          <w:szCs w:val="24"/>
        </w:rPr>
      </w:pPr>
      <w:r>
        <w:rPr>
          <w:rFonts w:hint="eastAsia" w:hAnsi="宋体" w:cs="宋体"/>
          <w:sz w:val="24"/>
          <w:szCs w:val="24"/>
        </w:rPr>
        <w:t>附表2</w:t>
      </w:r>
    </w:p>
    <w:p w14:paraId="44033236">
      <w:pPr>
        <w:pStyle w:val="8"/>
        <w:jc w:val="center"/>
        <w:rPr>
          <w:rFonts w:hint="eastAsia" w:hAnsi="宋体" w:cs="宋体"/>
          <w:b/>
          <w:sz w:val="32"/>
        </w:rPr>
      </w:pPr>
      <w:r>
        <w:rPr>
          <w:rFonts w:hint="eastAsia" w:hAnsi="宋体" w:cs="宋体"/>
          <w:b/>
          <w:sz w:val="32"/>
        </w:rPr>
        <w:t>技术规格响应偏离表</w:t>
      </w:r>
    </w:p>
    <w:p w14:paraId="49AA09D9">
      <w:pPr>
        <w:kinsoku w:val="0"/>
        <w:spacing w:line="500" w:lineRule="exact"/>
        <w:ind w:firstLine="120" w:firstLineChars="50"/>
        <w:rPr>
          <w:rFonts w:hint="eastAsia" w:ascii="宋体" w:hAnsi="宋体" w:cs="宋体"/>
          <w:sz w:val="24"/>
        </w:rPr>
      </w:pPr>
      <w:r>
        <w:rPr>
          <w:rFonts w:hint="eastAsia" w:ascii="宋体" w:hAnsi="宋体" w:cs="宋体"/>
          <w:sz w:val="24"/>
        </w:rPr>
        <w:t>项目名称：</w:t>
      </w:r>
    </w:p>
    <w:p w14:paraId="1B48A792">
      <w:pPr>
        <w:kinsoku w:val="0"/>
        <w:spacing w:line="500" w:lineRule="exact"/>
        <w:ind w:firstLine="120" w:firstLineChars="50"/>
        <w:rPr>
          <w:rFonts w:hint="eastAsia" w:ascii="宋体" w:hAnsi="宋体" w:cs="宋体"/>
          <w:sz w:val="24"/>
        </w:rPr>
      </w:pPr>
      <w:r>
        <w:rPr>
          <w:rFonts w:hint="eastAsia" w:ascii="宋体" w:hAnsi="宋体" w:cs="宋体"/>
          <w:sz w:val="24"/>
        </w:rPr>
        <w:t xml:space="preserve">项目编号：                                            </w:t>
      </w:r>
    </w:p>
    <w:tbl>
      <w:tblPr>
        <w:tblStyle w:val="18"/>
        <w:tblW w:w="919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986"/>
        <w:gridCol w:w="1897"/>
        <w:gridCol w:w="2659"/>
        <w:gridCol w:w="1689"/>
        <w:gridCol w:w="1319"/>
      </w:tblGrid>
      <w:tr w14:paraId="0E7D811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4D51486E">
            <w:pPr>
              <w:spacing w:line="360" w:lineRule="exact"/>
              <w:jc w:val="center"/>
              <w:rPr>
                <w:rFonts w:hint="eastAsia" w:ascii="宋体" w:hAnsi="宋体" w:cs="宋体"/>
                <w:b/>
                <w:szCs w:val="21"/>
              </w:rPr>
            </w:pPr>
            <w:r>
              <w:rPr>
                <w:rFonts w:hint="eastAsia" w:ascii="宋体" w:hAnsi="宋体" w:cs="宋体"/>
                <w:b/>
                <w:szCs w:val="21"/>
              </w:rPr>
              <w:t>序号</w:t>
            </w:r>
          </w:p>
        </w:tc>
        <w:tc>
          <w:tcPr>
            <w:tcW w:w="986" w:type="dxa"/>
            <w:tcMar>
              <w:top w:w="57" w:type="dxa"/>
              <w:left w:w="28" w:type="dxa"/>
              <w:bottom w:w="57" w:type="dxa"/>
              <w:right w:w="28" w:type="dxa"/>
            </w:tcMar>
            <w:vAlign w:val="center"/>
          </w:tcPr>
          <w:p w14:paraId="42548D3C">
            <w:pPr>
              <w:spacing w:line="360" w:lineRule="exact"/>
              <w:jc w:val="center"/>
              <w:rPr>
                <w:rFonts w:hint="eastAsia" w:ascii="宋体" w:hAnsi="宋体" w:cs="宋体"/>
                <w:b/>
                <w:szCs w:val="21"/>
              </w:rPr>
            </w:pPr>
            <w:r>
              <w:rPr>
                <w:rFonts w:hint="eastAsia" w:ascii="宋体" w:hAnsi="宋体" w:cs="宋体"/>
                <w:b/>
                <w:szCs w:val="21"/>
              </w:rPr>
              <w:t>名称</w:t>
            </w:r>
          </w:p>
        </w:tc>
        <w:tc>
          <w:tcPr>
            <w:tcW w:w="1897" w:type="dxa"/>
            <w:vAlign w:val="center"/>
          </w:tcPr>
          <w:p w14:paraId="40BB1881">
            <w:pPr>
              <w:spacing w:line="360" w:lineRule="exact"/>
              <w:jc w:val="center"/>
              <w:rPr>
                <w:rFonts w:hint="eastAsia" w:ascii="宋体" w:hAnsi="宋体" w:cs="宋体"/>
                <w:b/>
                <w:szCs w:val="21"/>
              </w:rPr>
            </w:pPr>
            <w:r>
              <w:rPr>
                <w:rFonts w:hint="eastAsia" w:ascii="宋体" w:hAnsi="宋体" w:cs="宋体"/>
                <w:b/>
                <w:szCs w:val="21"/>
              </w:rPr>
              <w:t>招标文件</w:t>
            </w:r>
          </w:p>
          <w:p w14:paraId="64A7E14E">
            <w:pPr>
              <w:spacing w:line="360" w:lineRule="exact"/>
              <w:jc w:val="center"/>
              <w:rPr>
                <w:rFonts w:hint="eastAsia" w:ascii="宋体" w:hAnsi="宋体" w:cs="宋体"/>
                <w:b/>
                <w:szCs w:val="21"/>
              </w:rPr>
            </w:pPr>
            <w:r>
              <w:rPr>
                <w:rFonts w:hint="eastAsia" w:ascii="宋体" w:hAnsi="宋体" w:cs="宋体"/>
                <w:b/>
                <w:szCs w:val="21"/>
              </w:rPr>
              <w:t>技术需求</w:t>
            </w:r>
          </w:p>
        </w:tc>
        <w:tc>
          <w:tcPr>
            <w:tcW w:w="2659" w:type="dxa"/>
            <w:tcMar>
              <w:top w:w="57" w:type="dxa"/>
              <w:left w:w="28" w:type="dxa"/>
              <w:bottom w:w="57" w:type="dxa"/>
              <w:right w:w="28" w:type="dxa"/>
            </w:tcMar>
            <w:vAlign w:val="center"/>
          </w:tcPr>
          <w:p w14:paraId="177B6260">
            <w:pPr>
              <w:spacing w:line="360" w:lineRule="exact"/>
              <w:jc w:val="center"/>
              <w:rPr>
                <w:rFonts w:hint="eastAsia" w:ascii="宋体" w:hAnsi="宋体" w:cs="宋体"/>
                <w:b/>
                <w:szCs w:val="21"/>
              </w:rPr>
            </w:pPr>
            <w:r>
              <w:rPr>
                <w:rFonts w:hint="eastAsia" w:ascii="宋体" w:hAnsi="宋体" w:cs="宋体"/>
                <w:b/>
                <w:szCs w:val="21"/>
              </w:rPr>
              <w:t>投标文件响应技术指标</w:t>
            </w:r>
          </w:p>
        </w:tc>
        <w:tc>
          <w:tcPr>
            <w:tcW w:w="1689" w:type="dxa"/>
            <w:tcMar>
              <w:top w:w="57" w:type="dxa"/>
              <w:left w:w="28" w:type="dxa"/>
              <w:bottom w:w="57" w:type="dxa"/>
              <w:right w:w="28" w:type="dxa"/>
            </w:tcMar>
            <w:vAlign w:val="center"/>
          </w:tcPr>
          <w:p w14:paraId="7379CC12">
            <w:pPr>
              <w:spacing w:line="360" w:lineRule="exact"/>
              <w:jc w:val="center"/>
              <w:rPr>
                <w:rFonts w:hint="eastAsia" w:ascii="宋体" w:hAnsi="宋体" w:cs="宋体"/>
                <w:b/>
                <w:szCs w:val="21"/>
              </w:rPr>
            </w:pPr>
            <w:r>
              <w:rPr>
                <w:rFonts w:hint="eastAsia" w:ascii="宋体" w:hAnsi="宋体" w:cs="宋体"/>
                <w:b/>
                <w:szCs w:val="21"/>
              </w:rPr>
              <w:t>偏离情况</w:t>
            </w:r>
          </w:p>
        </w:tc>
        <w:tc>
          <w:tcPr>
            <w:tcW w:w="1319" w:type="dxa"/>
            <w:tcMar>
              <w:top w:w="57" w:type="dxa"/>
              <w:left w:w="28" w:type="dxa"/>
              <w:bottom w:w="57" w:type="dxa"/>
              <w:right w:w="28" w:type="dxa"/>
            </w:tcMar>
            <w:vAlign w:val="center"/>
          </w:tcPr>
          <w:p w14:paraId="2296CE85">
            <w:pPr>
              <w:spacing w:line="360" w:lineRule="exact"/>
              <w:jc w:val="center"/>
              <w:rPr>
                <w:rFonts w:hint="eastAsia" w:ascii="宋体" w:hAnsi="宋体" w:cs="宋体"/>
                <w:b/>
                <w:szCs w:val="21"/>
              </w:rPr>
            </w:pPr>
            <w:r>
              <w:rPr>
                <w:rFonts w:hint="eastAsia" w:ascii="宋体" w:hAnsi="宋体" w:cs="宋体"/>
                <w:b/>
                <w:szCs w:val="21"/>
              </w:rPr>
              <w:t>偏离说明</w:t>
            </w:r>
          </w:p>
        </w:tc>
      </w:tr>
      <w:tr w14:paraId="0CEB3F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48" w:type="dxa"/>
            <w:tcBorders>
              <w:bottom w:val="single" w:color="auto" w:sz="4" w:space="0"/>
            </w:tcBorders>
            <w:tcMar>
              <w:top w:w="57" w:type="dxa"/>
              <w:left w:w="28" w:type="dxa"/>
              <w:bottom w:w="57" w:type="dxa"/>
              <w:right w:w="28" w:type="dxa"/>
            </w:tcMar>
            <w:vAlign w:val="center"/>
          </w:tcPr>
          <w:p w14:paraId="7FCDE861">
            <w:pPr>
              <w:spacing w:line="480" w:lineRule="exact"/>
              <w:ind w:left="210" w:leftChars="100"/>
              <w:rPr>
                <w:rFonts w:hint="eastAsia" w:ascii="宋体" w:hAnsi="宋体" w:cs="宋体"/>
                <w:sz w:val="28"/>
                <w:szCs w:val="28"/>
              </w:rPr>
            </w:pPr>
          </w:p>
        </w:tc>
        <w:tc>
          <w:tcPr>
            <w:tcW w:w="986" w:type="dxa"/>
            <w:tcBorders>
              <w:bottom w:val="single" w:color="auto" w:sz="4" w:space="0"/>
            </w:tcBorders>
            <w:tcMar>
              <w:top w:w="57" w:type="dxa"/>
              <w:left w:w="28" w:type="dxa"/>
              <w:bottom w:w="57" w:type="dxa"/>
              <w:right w:w="28" w:type="dxa"/>
            </w:tcMar>
            <w:vAlign w:val="center"/>
          </w:tcPr>
          <w:p w14:paraId="1958C4B5">
            <w:pPr>
              <w:spacing w:line="480" w:lineRule="exact"/>
              <w:ind w:left="210" w:leftChars="100"/>
              <w:rPr>
                <w:rFonts w:hint="eastAsia" w:ascii="宋体" w:hAnsi="宋体" w:cs="宋体"/>
                <w:sz w:val="28"/>
                <w:szCs w:val="28"/>
              </w:rPr>
            </w:pPr>
          </w:p>
        </w:tc>
        <w:tc>
          <w:tcPr>
            <w:tcW w:w="1897" w:type="dxa"/>
            <w:tcBorders>
              <w:bottom w:val="single" w:color="auto" w:sz="4" w:space="0"/>
            </w:tcBorders>
            <w:vAlign w:val="center"/>
          </w:tcPr>
          <w:p w14:paraId="7D7F03C8">
            <w:pPr>
              <w:spacing w:line="480" w:lineRule="exact"/>
              <w:ind w:left="210" w:leftChars="100"/>
              <w:rPr>
                <w:rFonts w:hint="eastAsia" w:ascii="宋体" w:hAnsi="宋体" w:cs="宋体"/>
                <w:sz w:val="28"/>
                <w:szCs w:val="28"/>
              </w:rPr>
            </w:pPr>
          </w:p>
        </w:tc>
        <w:tc>
          <w:tcPr>
            <w:tcW w:w="2659" w:type="dxa"/>
            <w:tcBorders>
              <w:bottom w:val="single" w:color="auto" w:sz="4" w:space="0"/>
            </w:tcBorders>
            <w:tcMar>
              <w:top w:w="57" w:type="dxa"/>
              <w:left w:w="28" w:type="dxa"/>
              <w:bottom w:w="57" w:type="dxa"/>
              <w:right w:w="28" w:type="dxa"/>
            </w:tcMar>
            <w:vAlign w:val="center"/>
          </w:tcPr>
          <w:p w14:paraId="0CC0FA0F">
            <w:pPr>
              <w:spacing w:line="480" w:lineRule="exact"/>
              <w:ind w:left="210" w:leftChars="100"/>
              <w:rPr>
                <w:rFonts w:hint="eastAsia" w:ascii="宋体" w:hAnsi="宋体" w:cs="宋体"/>
                <w:sz w:val="28"/>
                <w:szCs w:val="28"/>
              </w:rPr>
            </w:pPr>
          </w:p>
        </w:tc>
        <w:tc>
          <w:tcPr>
            <w:tcW w:w="1689" w:type="dxa"/>
            <w:tcBorders>
              <w:bottom w:val="single" w:color="auto" w:sz="4" w:space="0"/>
            </w:tcBorders>
            <w:tcMar>
              <w:top w:w="57" w:type="dxa"/>
              <w:left w:w="28" w:type="dxa"/>
              <w:bottom w:w="57" w:type="dxa"/>
              <w:right w:w="28" w:type="dxa"/>
            </w:tcMar>
            <w:vAlign w:val="center"/>
          </w:tcPr>
          <w:p w14:paraId="6245C23A">
            <w:pPr>
              <w:spacing w:line="480" w:lineRule="exact"/>
              <w:rPr>
                <w:rFonts w:hint="eastAsia" w:ascii="宋体" w:hAnsi="宋体" w:cs="宋体"/>
                <w:sz w:val="28"/>
                <w:szCs w:val="28"/>
              </w:rPr>
            </w:pPr>
          </w:p>
        </w:tc>
        <w:tc>
          <w:tcPr>
            <w:tcW w:w="1319" w:type="dxa"/>
            <w:tcBorders>
              <w:bottom w:val="single" w:color="auto" w:sz="4" w:space="0"/>
            </w:tcBorders>
            <w:tcMar>
              <w:top w:w="57" w:type="dxa"/>
              <w:left w:w="28" w:type="dxa"/>
              <w:bottom w:w="57" w:type="dxa"/>
              <w:right w:w="28" w:type="dxa"/>
            </w:tcMar>
            <w:vAlign w:val="center"/>
          </w:tcPr>
          <w:p w14:paraId="29390E6D">
            <w:pPr>
              <w:spacing w:line="480" w:lineRule="exact"/>
              <w:ind w:left="210" w:leftChars="100"/>
              <w:rPr>
                <w:rFonts w:hint="eastAsia" w:ascii="宋体" w:hAnsi="宋体" w:cs="宋体"/>
                <w:sz w:val="28"/>
                <w:szCs w:val="28"/>
              </w:rPr>
            </w:pPr>
          </w:p>
        </w:tc>
      </w:tr>
      <w:tr w14:paraId="6768DD2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37FEF4EE">
            <w:pPr>
              <w:spacing w:line="480" w:lineRule="exact"/>
              <w:ind w:left="210" w:leftChars="100"/>
              <w:rPr>
                <w:rFonts w:hint="eastAsia" w:ascii="宋体" w:hAnsi="宋体" w:cs="宋体"/>
                <w:sz w:val="28"/>
                <w:szCs w:val="28"/>
              </w:rPr>
            </w:pPr>
          </w:p>
        </w:tc>
        <w:tc>
          <w:tcPr>
            <w:tcW w:w="986" w:type="dxa"/>
            <w:tcMar>
              <w:top w:w="57" w:type="dxa"/>
              <w:left w:w="28" w:type="dxa"/>
              <w:bottom w:w="57" w:type="dxa"/>
              <w:right w:w="28" w:type="dxa"/>
            </w:tcMar>
            <w:vAlign w:val="center"/>
          </w:tcPr>
          <w:p w14:paraId="4B0725E7">
            <w:pPr>
              <w:spacing w:line="480" w:lineRule="exact"/>
              <w:ind w:left="210" w:leftChars="100"/>
              <w:rPr>
                <w:rFonts w:hint="eastAsia" w:ascii="宋体" w:hAnsi="宋体" w:cs="宋体"/>
                <w:sz w:val="28"/>
                <w:szCs w:val="28"/>
              </w:rPr>
            </w:pPr>
          </w:p>
        </w:tc>
        <w:tc>
          <w:tcPr>
            <w:tcW w:w="1897" w:type="dxa"/>
            <w:vAlign w:val="center"/>
          </w:tcPr>
          <w:p w14:paraId="6C45E7C8">
            <w:pPr>
              <w:spacing w:line="480" w:lineRule="exact"/>
              <w:ind w:left="210" w:leftChars="100"/>
              <w:rPr>
                <w:rFonts w:hint="eastAsia" w:ascii="宋体" w:hAnsi="宋体" w:cs="宋体"/>
                <w:sz w:val="28"/>
                <w:szCs w:val="28"/>
              </w:rPr>
            </w:pPr>
          </w:p>
        </w:tc>
        <w:tc>
          <w:tcPr>
            <w:tcW w:w="2659" w:type="dxa"/>
            <w:tcMar>
              <w:top w:w="57" w:type="dxa"/>
              <w:left w:w="28" w:type="dxa"/>
              <w:bottom w:w="57" w:type="dxa"/>
              <w:right w:w="28" w:type="dxa"/>
            </w:tcMar>
            <w:vAlign w:val="center"/>
          </w:tcPr>
          <w:p w14:paraId="50D9CDD4">
            <w:pPr>
              <w:spacing w:line="480" w:lineRule="exact"/>
              <w:ind w:left="210" w:leftChars="100"/>
              <w:rPr>
                <w:rFonts w:hint="eastAsia" w:ascii="宋体" w:hAnsi="宋体" w:cs="宋体"/>
                <w:sz w:val="28"/>
                <w:szCs w:val="28"/>
              </w:rPr>
            </w:pPr>
          </w:p>
        </w:tc>
        <w:tc>
          <w:tcPr>
            <w:tcW w:w="1689" w:type="dxa"/>
            <w:tcMar>
              <w:top w:w="57" w:type="dxa"/>
              <w:left w:w="28" w:type="dxa"/>
              <w:bottom w:w="57" w:type="dxa"/>
              <w:right w:w="28" w:type="dxa"/>
            </w:tcMar>
            <w:vAlign w:val="center"/>
          </w:tcPr>
          <w:p w14:paraId="4EBA26B1">
            <w:pPr>
              <w:spacing w:line="480" w:lineRule="exact"/>
              <w:rPr>
                <w:rFonts w:hint="eastAsia" w:ascii="宋体" w:hAnsi="宋体" w:cs="宋体"/>
                <w:sz w:val="28"/>
                <w:szCs w:val="28"/>
              </w:rPr>
            </w:pPr>
          </w:p>
        </w:tc>
        <w:tc>
          <w:tcPr>
            <w:tcW w:w="1319" w:type="dxa"/>
            <w:tcMar>
              <w:top w:w="57" w:type="dxa"/>
              <w:left w:w="28" w:type="dxa"/>
              <w:bottom w:w="57" w:type="dxa"/>
              <w:right w:w="28" w:type="dxa"/>
            </w:tcMar>
            <w:vAlign w:val="center"/>
          </w:tcPr>
          <w:p w14:paraId="566B249F">
            <w:pPr>
              <w:spacing w:line="480" w:lineRule="exact"/>
              <w:ind w:left="210" w:leftChars="100"/>
              <w:rPr>
                <w:rFonts w:hint="eastAsia" w:ascii="宋体" w:hAnsi="宋体" w:cs="宋体"/>
                <w:sz w:val="28"/>
                <w:szCs w:val="28"/>
              </w:rPr>
            </w:pPr>
          </w:p>
        </w:tc>
      </w:tr>
      <w:tr w14:paraId="06CF28B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3CF9D307">
            <w:pPr>
              <w:spacing w:line="480" w:lineRule="exact"/>
              <w:ind w:left="210" w:leftChars="100"/>
              <w:rPr>
                <w:rFonts w:hint="eastAsia" w:ascii="宋体" w:hAnsi="宋体" w:cs="宋体"/>
                <w:sz w:val="28"/>
                <w:szCs w:val="28"/>
              </w:rPr>
            </w:pPr>
          </w:p>
        </w:tc>
        <w:tc>
          <w:tcPr>
            <w:tcW w:w="986" w:type="dxa"/>
            <w:tcMar>
              <w:top w:w="57" w:type="dxa"/>
              <w:left w:w="28" w:type="dxa"/>
              <w:bottom w:w="57" w:type="dxa"/>
              <w:right w:w="28" w:type="dxa"/>
            </w:tcMar>
            <w:vAlign w:val="center"/>
          </w:tcPr>
          <w:p w14:paraId="5721788D">
            <w:pPr>
              <w:spacing w:line="480" w:lineRule="exact"/>
              <w:ind w:left="210" w:leftChars="100"/>
              <w:rPr>
                <w:rFonts w:hint="eastAsia" w:ascii="宋体" w:hAnsi="宋体" w:cs="宋体"/>
                <w:sz w:val="28"/>
                <w:szCs w:val="28"/>
              </w:rPr>
            </w:pPr>
          </w:p>
        </w:tc>
        <w:tc>
          <w:tcPr>
            <w:tcW w:w="1897" w:type="dxa"/>
            <w:vAlign w:val="center"/>
          </w:tcPr>
          <w:p w14:paraId="3A1A9E3A">
            <w:pPr>
              <w:spacing w:line="480" w:lineRule="exact"/>
              <w:ind w:left="210" w:leftChars="100"/>
              <w:rPr>
                <w:rFonts w:hint="eastAsia" w:ascii="宋体" w:hAnsi="宋体" w:cs="宋体"/>
                <w:sz w:val="28"/>
                <w:szCs w:val="28"/>
              </w:rPr>
            </w:pPr>
          </w:p>
        </w:tc>
        <w:tc>
          <w:tcPr>
            <w:tcW w:w="2659" w:type="dxa"/>
            <w:tcMar>
              <w:top w:w="57" w:type="dxa"/>
              <w:left w:w="28" w:type="dxa"/>
              <w:bottom w:w="57" w:type="dxa"/>
              <w:right w:w="28" w:type="dxa"/>
            </w:tcMar>
            <w:vAlign w:val="center"/>
          </w:tcPr>
          <w:p w14:paraId="2A34EB37">
            <w:pPr>
              <w:spacing w:line="480" w:lineRule="exact"/>
              <w:ind w:left="210" w:leftChars="100"/>
              <w:rPr>
                <w:rFonts w:hint="eastAsia" w:ascii="宋体" w:hAnsi="宋体" w:cs="宋体"/>
                <w:sz w:val="28"/>
                <w:szCs w:val="28"/>
              </w:rPr>
            </w:pPr>
          </w:p>
        </w:tc>
        <w:tc>
          <w:tcPr>
            <w:tcW w:w="1689" w:type="dxa"/>
            <w:tcMar>
              <w:top w:w="57" w:type="dxa"/>
              <w:left w:w="28" w:type="dxa"/>
              <w:bottom w:w="57" w:type="dxa"/>
              <w:right w:w="28" w:type="dxa"/>
            </w:tcMar>
            <w:vAlign w:val="center"/>
          </w:tcPr>
          <w:p w14:paraId="4B307625">
            <w:pPr>
              <w:spacing w:line="480" w:lineRule="exact"/>
              <w:rPr>
                <w:rFonts w:hint="eastAsia" w:ascii="宋体" w:hAnsi="宋体" w:cs="宋体"/>
                <w:sz w:val="28"/>
                <w:szCs w:val="28"/>
              </w:rPr>
            </w:pPr>
          </w:p>
        </w:tc>
        <w:tc>
          <w:tcPr>
            <w:tcW w:w="1319" w:type="dxa"/>
            <w:tcMar>
              <w:top w:w="57" w:type="dxa"/>
              <w:left w:w="28" w:type="dxa"/>
              <w:bottom w:w="57" w:type="dxa"/>
              <w:right w:w="28" w:type="dxa"/>
            </w:tcMar>
            <w:vAlign w:val="center"/>
          </w:tcPr>
          <w:p w14:paraId="1D314921">
            <w:pPr>
              <w:spacing w:line="480" w:lineRule="exact"/>
              <w:ind w:left="210" w:leftChars="100"/>
              <w:rPr>
                <w:rFonts w:hint="eastAsia" w:ascii="宋体" w:hAnsi="宋体" w:cs="宋体"/>
                <w:sz w:val="28"/>
                <w:szCs w:val="28"/>
              </w:rPr>
            </w:pPr>
          </w:p>
        </w:tc>
      </w:tr>
      <w:tr w14:paraId="6320D8E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545ACBE0">
            <w:pPr>
              <w:spacing w:line="480" w:lineRule="exact"/>
              <w:ind w:left="210" w:leftChars="100"/>
              <w:rPr>
                <w:rFonts w:hint="eastAsia" w:ascii="宋体" w:hAnsi="宋体" w:cs="宋体"/>
                <w:sz w:val="28"/>
                <w:szCs w:val="28"/>
              </w:rPr>
            </w:pPr>
          </w:p>
        </w:tc>
        <w:tc>
          <w:tcPr>
            <w:tcW w:w="986" w:type="dxa"/>
            <w:tcMar>
              <w:top w:w="57" w:type="dxa"/>
              <w:left w:w="28" w:type="dxa"/>
              <w:bottom w:w="57" w:type="dxa"/>
              <w:right w:w="28" w:type="dxa"/>
            </w:tcMar>
            <w:vAlign w:val="center"/>
          </w:tcPr>
          <w:p w14:paraId="3A4C3BD3">
            <w:pPr>
              <w:spacing w:line="480" w:lineRule="exact"/>
              <w:ind w:left="210" w:leftChars="100"/>
              <w:rPr>
                <w:rFonts w:hint="eastAsia" w:ascii="宋体" w:hAnsi="宋体" w:cs="宋体"/>
                <w:sz w:val="28"/>
                <w:szCs w:val="28"/>
              </w:rPr>
            </w:pPr>
          </w:p>
        </w:tc>
        <w:tc>
          <w:tcPr>
            <w:tcW w:w="1897" w:type="dxa"/>
            <w:vAlign w:val="center"/>
          </w:tcPr>
          <w:p w14:paraId="199FD343">
            <w:pPr>
              <w:spacing w:line="480" w:lineRule="exact"/>
              <w:ind w:left="210" w:leftChars="100"/>
              <w:rPr>
                <w:rFonts w:hint="eastAsia" w:ascii="宋体" w:hAnsi="宋体" w:cs="宋体"/>
                <w:sz w:val="28"/>
                <w:szCs w:val="28"/>
              </w:rPr>
            </w:pPr>
          </w:p>
        </w:tc>
        <w:tc>
          <w:tcPr>
            <w:tcW w:w="2659" w:type="dxa"/>
            <w:tcMar>
              <w:top w:w="57" w:type="dxa"/>
              <w:left w:w="28" w:type="dxa"/>
              <w:bottom w:w="57" w:type="dxa"/>
              <w:right w:w="28" w:type="dxa"/>
            </w:tcMar>
            <w:vAlign w:val="center"/>
          </w:tcPr>
          <w:p w14:paraId="2378815E">
            <w:pPr>
              <w:spacing w:line="480" w:lineRule="exact"/>
              <w:ind w:left="210" w:leftChars="100"/>
              <w:rPr>
                <w:rFonts w:hint="eastAsia" w:ascii="宋体" w:hAnsi="宋体" w:cs="宋体"/>
                <w:sz w:val="28"/>
                <w:szCs w:val="28"/>
              </w:rPr>
            </w:pPr>
          </w:p>
        </w:tc>
        <w:tc>
          <w:tcPr>
            <w:tcW w:w="1689" w:type="dxa"/>
            <w:tcMar>
              <w:top w:w="57" w:type="dxa"/>
              <w:left w:w="28" w:type="dxa"/>
              <w:bottom w:w="57" w:type="dxa"/>
              <w:right w:w="28" w:type="dxa"/>
            </w:tcMar>
            <w:vAlign w:val="center"/>
          </w:tcPr>
          <w:p w14:paraId="6107A653">
            <w:pPr>
              <w:spacing w:line="480" w:lineRule="exact"/>
              <w:rPr>
                <w:rFonts w:hint="eastAsia" w:ascii="宋体" w:hAnsi="宋体" w:cs="宋体"/>
                <w:sz w:val="28"/>
                <w:szCs w:val="28"/>
              </w:rPr>
            </w:pPr>
          </w:p>
        </w:tc>
        <w:tc>
          <w:tcPr>
            <w:tcW w:w="1319" w:type="dxa"/>
            <w:tcMar>
              <w:top w:w="57" w:type="dxa"/>
              <w:left w:w="28" w:type="dxa"/>
              <w:bottom w:w="57" w:type="dxa"/>
              <w:right w:w="28" w:type="dxa"/>
            </w:tcMar>
            <w:vAlign w:val="center"/>
          </w:tcPr>
          <w:p w14:paraId="7D849A50">
            <w:pPr>
              <w:spacing w:line="480" w:lineRule="exact"/>
              <w:ind w:left="210" w:leftChars="100"/>
              <w:rPr>
                <w:rFonts w:hint="eastAsia" w:ascii="宋体" w:hAnsi="宋体" w:cs="宋体"/>
                <w:sz w:val="28"/>
                <w:szCs w:val="28"/>
              </w:rPr>
            </w:pPr>
          </w:p>
        </w:tc>
      </w:tr>
      <w:tr w14:paraId="37E1F94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7E2F3BFC">
            <w:pPr>
              <w:spacing w:line="480" w:lineRule="exact"/>
              <w:ind w:left="210" w:leftChars="100"/>
              <w:rPr>
                <w:rFonts w:hint="eastAsia" w:ascii="宋体" w:hAnsi="宋体" w:cs="宋体"/>
                <w:sz w:val="28"/>
                <w:szCs w:val="28"/>
              </w:rPr>
            </w:pPr>
          </w:p>
        </w:tc>
        <w:tc>
          <w:tcPr>
            <w:tcW w:w="986" w:type="dxa"/>
            <w:tcMar>
              <w:top w:w="57" w:type="dxa"/>
              <w:left w:w="28" w:type="dxa"/>
              <w:bottom w:w="57" w:type="dxa"/>
              <w:right w:w="28" w:type="dxa"/>
            </w:tcMar>
            <w:vAlign w:val="center"/>
          </w:tcPr>
          <w:p w14:paraId="751D39B7">
            <w:pPr>
              <w:spacing w:line="480" w:lineRule="exact"/>
              <w:ind w:left="210" w:leftChars="100"/>
              <w:rPr>
                <w:rFonts w:hint="eastAsia" w:ascii="宋体" w:hAnsi="宋体" w:cs="宋体"/>
                <w:sz w:val="28"/>
                <w:szCs w:val="28"/>
              </w:rPr>
            </w:pPr>
          </w:p>
        </w:tc>
        <w:tc>
          <w:tcPr>
            <w:tcW w:w="1897" w:type="dxa"/>
            <w:vAlign w:val="center"/>
          </w:tcPr>
          <w:p w14:paraId="7D3C1564">
            <w:pPr>
              <w:spacing w:line="480" w:lineRule="exact"/>
              <w:ind w:left="210" w:leftChars="100"/>
              <w:rPr>
                <w:rFonts w:hint="eastAsia" w:ascii="宋体" w:hAnsi="宋体" w:cs="宋体"/>
                <w:sz w:val="28"/>
                <w:szCs w:val="28"/>
              </w:rPr>
            </w:pPr>
          </w:p>
        </w:tc>
        <w:tc>
          <w:tcPr>
            <w:tcW w:w="2659" w:type="dxa"/>
            <w:tcMar>
              <w:top w:w="57" w:type="dxa"/>
              <w:left w:w="28" w:type="dxa"/>
              <w:bottom w:w="57" w:type="dxa"/>
              <w:right w:w="28" w:type="dxa"/>
            </w:tcMar>
            <w:vAlign w:val="center"/>
          </w:tcPr>
          <w:p w14:paraId="050D9D89">
            <w:pPr>
              <w:spacing w:line="480" w:lineRule="exact"/>
              <w:ind w:left="210" w:leftChars="100"/>
              <w:rPr>
                <w:rFonts w:hint="eastAsia" w:ascii="宋体" w:hAnsi="宋体" w:cs="宋体"/>
                <w:sz w:val="28"/>
                <w:szCs w:val="28"/>
              </w:rPr>
            </w:pPr>
          </w:p>
        </w:tc>
        <w:tc>
          <w:tcPr>
            <w:tcW w:w="1689" w:type="dxa"/>
            <w:tcMar>
              <w:top w:w="57" w:type="dxa"/>
              <w:left w:w="28" w:type="dxa"/>
              <w:bottom w:w="57" w:type="dxa"/>
              <w:right w:w="28" w:type="dxa"/>
            </w:tcMar>
            <w:vAlign w:val="center"/>
          </w:tcPr>
          <w:p w14:paraId="76613C26">
            <w:pPr>
              <w:spacing w:line="480" w:lineRule="exact"/>
              <w:rPr>
                <w:rFonts w:hint="eastAsia" w:ascii="宋体" w:hAnsi="宋体" w:cs="宋体"/>
                <w:sz w:val="28"/>
                <w:szCs w:val="28"/>
              </w:rPr>
            </w:pPr>
          </w:p>
        </w:tc>
        <w:tc>
          <w:tcPr>
            <w:tcW w:w="1319" w:type="dxa"/>
            <w:tcMar>
              <w:top w:w="57" w:type="dxa"/>
              <w:left w:w="28" w:type="dxa"/>
              <w:bottom w:w="57" w:type="dxa"/>
              <w:right w:w="28" w:type="dxa"/>
            </w:tcMar>
            <w:vAlign w:val="center"/>
          </w:tcPr>
          <w:p w14:paraId="0B4D8488">
            <w:pPr>
              <w:spacing w:line="480" w:lineRule="exact"/>
              <w:ind w:left="210" w:leftChars="100"/>
              <w:rPr>
                <w:rFonts w:hint="eastAsia" w:ascii="宋体" w:hAnsi="宋体" w:cs="宋体"/>
                <w:sz w:val="28"/>
                <w:szCs w:val="28"/>
              </w:rPr>
            </w:pPr>
          </w:p>
        </w:tc>
      </w:tr>
    </w:tbl>
    <w:p w14:paraId="7325B2AC">
      <w:pPr>
        <w:autoSpaceDE w:val="0"/>
        <w:autoSpaceDN w:val="0"/>
        <w:adjustRightInd w:val="0"/>
        <w:spacing w:line="360" w:lineRule="auto"/>
        <w:ind w:firstLine="420" w:firstLineChars="200"/>
        <w:rPr>
          <w:rFonts w:hint="eastAsia" w:ascii="宋体" w:hAnsi="宋体" w:cs="宋体"/>
          <w:sz w:val="24"/>
        </w:rPr>
      </w:pPr>
      <w:r>
        <w:rPr>
          <w:rFonts w:hint="eastAsia" w:ascii="宋体" w:hAnsi="宋体" w:cs="宋体"/>
          <w:szCs w:val="21"/>
        </w:rPr>
        <w:t>注：</w:t>
      </w:r>
      <w:r>
        <w:rPr>
          <w:rFonts w:hint="eastAsia" w:ascii="宋体" w:hAnsi="宋体" w:cs="宋体"/>
          <w:sz w:val="24"/>
        </w:rPr>
        <w:t>请按项目的实际技术参数，逐条对应招标文件的“招标内容及技术要求”，认真填写本表。偏离情况填写：优于、等于，偏离说明对偏离情况做出详细说明。</w:t>
      </w:r>
    </w:p>
    <w:p w14:paraId="08445711">
      <w:pPr>
        <w:spacing w:line="480" w:lineRule="exact"/>
        <w:rPr>
          <w:rFonts w:hint="eastAsia" w:ascii="宋体" w:hAnsi="宋体" w:cs="宋体"/>
          <w:szCs w:val="21"/>
        </w:rPr>
      </w:pPr>
    </w:p>
    <w:p w14:paraId="40CCCDEA">
      <w:pPr>
        <w:spacing w:line="480" w:lineRule="exact"/>
        <w:rPr>
          <w:rFonts w:hint="eastAsia" w:ascii="宋体" w:hAnsi="宋体" w:cs="宋体"/>
          <w:szCs w:val="21"/>
        </w:rPr>
      </w:pPr>
    </w:p>
    <w:p w14:paraId="0C046054">
      <w:pPr>
        <w:spacing w:line="360" w:lineRule="atLeast"/>
        <w:rPr>
          <w:rFonts w:hint="eastAsia" w:ascii="宋体" w:hAnsi="宋体" w:cs="宋体"/>
          <w:b/>
          <w:sz w:val="32"/>
          <w:szCs w:val="32"/>
        </w:rPr>
      </w:pPr>
      <w:r>
        <w:rPr>
          <w:rFonts w:hint="eastAsia" w:ascii="宋体" w:hAnsi="宋体" w:cs="宋体"/>
          <w:sz w:val="24"/>
        </w:rPr>
        <w:t>投标单位（公章）：                 法定代表人/被授权人（签字或盖章）：</w:t>
      </w:r>
    </w:p>
    <w:p w14:paraId="1EF03396">
      <w:pPr>
        <w:spacing w:line="360" w:lineRule="atLeast"/>
        <w:jc w:val="center"/>
        <w:rPr>
          <w:rFonts w:hint="eastAsia" w:ascii="宋体" w:hAnsi="宋体" w:cs="宋体"/>
          <w:b/>
          <w:sz w:val="32"/>
          <w:szCs w:val="32"/>
        </w:rPr>
      </w:pPr>
    </w:p>
    <w:p w14:paraId="7FF7B663">
      <w:pPr>
        <w:spacing w:line="360" w:lineRule="atLeast"/>
        <w:jc w:val="center"/>
        <w:rPr>
          <w:rFonts w:hint="eastAsia" w:ascii="宋体" w:hAnsi="宋体" w:cs="宋体"/>
          <w:b/>
          <w:sz w:val="32"/>
          <w:szCs w:val="32"/>
        </w:rPr>
      </w:pPr>
    </w:p>
    <w:p w14:paraId="5D1CFD4F">
      <w:pPr>
        <w:spacing w:line="360" w:lineRule="atLeast"/>
        <w:jc w:val="center"/>
        <w:rPr>
          <w:rFonts w:hint="eastAsia" w:ascii="宋体" w:hAnsi="宋体" w:cs="宋体"/>
          <w:b/>
          <w:sz w:val="32"/>
          <w:szCs w:val="32"/>
        </w:rPr>
      </w:pPr>
    </w:p>
    <w:p w14:paraId="3C2E9797">
      <w:pPr>
        <w:spacing w:line="360" w:lineRule="atLeast"/>
        <w:jc w:val="center"/>
        <w:rPr>
          <w:rFonts w:hint="eastAsia" w:ascii="宋体" w:hAnsi="宋体" w:cs="宋体"/>
          <w:b/>
          <w:sz w:val="32"/>
          <w:szCs w:val="32"/>
        </w:rPr>
      </w:pPr>
    </w:p>
    <w:p w14:paraId="627A582A">
      <w:pPr>
        <w:spacing w:line="360" w:lineRule="atLeast"/>
        <w:jc w:val="center"/>
        <w:rPr>
          <w:rFonts w:hint="eastAsia" w:ascii="宋体" w:hAnsi="宋体" w:cs="宋体"/>
          <w:b/>
          <w:sz w:val="32"/>
          <w:szCs w:val="32"/>
        </w:rPr>
      </w:pPr>
    </w:p>
    <w:p w14:paraId="0A953B12">
      <w:pPr>
        <w:pStyle w:val="9"/>
        <w:rPr>
          <w:rFonts w:hint="eastAsia" w:ascii="宋体" w:hAnsi="宋体" w:cs="宋体"/>
        </w:rPr>
      </w:pPr>
    </w:p>
    <w:p w14:paraId="1A07E607">
      <w:pPr>
        <w:pStyle w:val="9"/>
        <w:rPr>
          <w:rFonts w:hint="eastAsia" w:ascii="宋体" w:hAnsi="宋体" w:cs="宋体"/>
        </w:rPr>
      </w:pPr>
    </w:p>
    <w:p w14:paraId="3C104EC5">
      <w:pPr>
        <w:rPr>
          <w:rFonts w:hint="eastAsia" w:ascii="宋体" w:hAnsi="宋体" w:cs="宋体"/>
          <w:sz w:val="24"/>
        </w:rPr>
      </w:pPr>
      <w:r>
        <w:rPr>
          <w:rFonts w:hint="eastAsia" w:ascii="宋体" w:hAnsi="宋体" w:cs="宋体"/>
          <w:sz w:val="24"/>
        </w:rPr>
        <w:br w:type="page"/>
      </w:r>
    </w:p>
    <w:p w14:paraId="58AAA632">
      <w:pPr>
        <w:adjustRightInd w:val="0"/>
        <w:snapToGrid w:val="0"/>
        <w:spacing w:line="360" w:lineRule="auto"/>
        <w:rPr>
          <w:rFonts w:hint="eastAsia" w:ascii="宋体" w:hAnsi="宋体" w:cs="宋体"/>
          <w:u w:val="single"/>
        </w:rPr>
      </w:pPr>
      <w:r>
        <w:rPr>
          <w:rFonts w:hint="eastAsia" w:ascii="宋体" w:hAnsi="宋体" w:cs="宋体"/>
          <w:sz w:val="24"/>
        </w:rPr>
        <w:t>附表3</w:t>
      </w:r>
    </w:p>
    <w:p w14:paraId="25B6A2B5">
      <w:pPr>
        <w:adjustRightInd w:val="0"/>
        <w:snapToGrid w:val="0"/>
        <w:spacing w:line="360" w:lineRule="auto"/>
        <w:jc w:val="center"/>
        <w:rPr>
          <w:rFonts w:hint="eastAsia" w:ascii="宋体" w:hAnsi="宋体" w:cs="宋体"/>
          <w:b/>
          <w:bCs/>
          <w:sz w:val="32"/>
          <w:szCs w:val="32"/>
        </w:rPr>
      </w:pPr>
      <w:r>
        <w:rPr>
          <w:rFonts w:hint="eastAsia" w:ascii="宋体" w:hAnsi="宋体" w:cs="宋体"/>
          <w:b/>
          <w:bCs/>
          <w:sz w:val="32"/>
          <w:szCs w:val="32"/>
        </w:rPr>
        <w:t>商务及合同主要条款响应说明</w:t>
      </w:r>
    </w:p>
    <w:p w14:paraId="6A8CCBB9">
      <w:pPr>
        <w:kinsoku w:val="0"/>
        <w:spacing w:line="500" w:lineRule="exact"/>
        <w:ind w:firstLine="120" w:firstLineChars="50"/>
        <w:rPr>
          <w:rFonts w:hint="eastAsia" w:ascii="宋体" w:hAnsi="宋体" w:cs="宋体"/>
          <w:sz w:val="24"/>
        </w:rPr>
      </w:pPr>
      <w:r>
        <w:rPr>
          <w:rFonts w:hint="eastAsia" w:ascii="宋体" w:hAnsi="宋体" w:cs="宋体"/>
          <w:sz w:val="24"/>
        </w:rPr>
        <w:t>项目名称：</w:t>
      </w:r>
    </w:p>
    <w:p w14:paraId="36706D79">
      <w:pPr>
        <w:kinsoku w:val="0"/>
        <w:spacing w:line="500" w:lineRule="exact"/>
        <w:ind w:firstLine="120" w:firstLineChars="50"/>
        <w:rPr>
          <w:rFonts w:hint="eastAsia" w:ascii="宋体" w:hAnsi="宋体" w:cs="宋体"/>
          <w:b/>
          <w:sz w:val="24"/>
        </w:rPr>
      </w:pPr>
      <w:r>
        <w:rPr>
          <w:rFonts w:hint="eastAsia" w:ascii="宋体" w:hAnsi="宋体" w:cs="宋体"/>
          <w:sz w:val="24"/>
        </w:rPr>
        <w:t>项目编号：</w:t>
      </w:r>
      <w:r>
        <w:rPr>
          <w:rFonts w:hint="eastAsia" w:ascii="宋体" w:hAnsi="宋体" w:cs="宋体"/>
          <w:sz w:val="32"/>
          <w:szCs w:val="32"/>
        </w:rPr>
        <w:t xml:space="preserve">                      </w:t>
      </w:r>
    </w:p>
    <w:tbl>
      <w:tblPr>
        <w:tblStyle w:val="18"/>
        <w:tblW w:w="9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3451"/>
        <w:gridCol w:w="3015"/>
        <w:gridCol w:w="1881"/>
      </w:tblGrid>
      <w:tr w14:paraId="11F46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122478B3">
            <w:pPr>
              <w:spacing w:line="560" w:lineRule="exact"/>
              <w:ind w:right="-168" w:rightChars="-80" w:firstLine="120" w:firstLineChars="50"/>
              <w:rPr>
                <w:rFonts w:hint="eastAsia" w:ascii="宋体" w:hAnsi="宋体" w:cs="宋体"/>
                <w:sz w:val="24"/>
              </w:rPr>
            </w:pPr>
            <w:r>
              <w:rPr>
                <w:rFonts w:hint="eastAsia" w:ascii="宋体" w:hAnsi="宋体" w:cs="宋体"/>
                <w:sz w:val="24"/>
              </w:rPr>
              <w:t>序号</w:t>
            </w:r>
          </w:p>
        </w:tc>
        <w:tc>
          <w:tcPr>
            <w:tcW w:w="3451" w:type="dxa"/>
            <w:vAlign w:val="center"/>
          </w:tcPr>
          <w:p w14:paraId="1C373848">
            <w:pPr>
              <w:spacing w:line="560" w:lineRule="exact"/>
              <w:ind w:right="-168" w:rightChars="-80"/>
              <w:jc w:val="center"/>
              <w:rPr>
                <w:rFonts w:hint="eastAsia" w:ascii="宋体" w:hAnsi="宋体" w:cs="宋体"/>
                <w:sz w:val="24"/>
              </w:rPr>
            </w:pPr>
            <w:r>
              <w:rPr>
                <w:rFonts w:hint="eastAsia" w:ascii="宋体" w:hAnsi="宋体" w:cs="宋体"/>
                <w:sz w:val="24"/>
              </w:rPr>
              <w:t>招标文件要求</w:t>
            </w:r>
          </w:p>
        </w:tc>
        <w:tc>
          <w:tcPr>
            <w:tcW w:w="3015" w:type="dxa"/>
            <w:vAlign w:val="center"/>
          </w:tcPr>
          <w:p w14:paraId="0D76E00D">
            <w:pPr>
              <w:spacing w:line="560" w:lineRule="exact"/>
              <w:ind w:right="-168" w:rightChars="-80" w:firstLine="360" w:firstLineChars="150"/>
              <w:rPr>
                <w:rFonts w:hint="eastAsia" w:ascii="宋体" w:hAnsi="宋体" w:cs="宋体"/>
                <w:sz w:val="24"/>
              </w:rPr>
            </w:pPr>
            <w:r>
              <w:rPr>
                <w:rFonts w:hint="eastAsia" w:ascii="宋体" w:hAnsi="宋体" w:cs="宋体"/>
                <w:sz w:val="24"/>
              </w:rPr>
              <w:t>投标文件实际数据</w:t>
            </w:r>
          </w:p>
        </w:tc>
        <w:tc>
          <w:tcPr>
            <w:tcW w:w="1881" w:type="dxa"/>
            <w:vAlign w:val="center"/>
          </w:tcPr>
          <w:p w14:paraId="247E078D">
            <w:pPr>
              <w:spacing w:line="560" w:lineRule="exact"/>
              <w:ind w:right="-168" w:rightChars="-80" w:firstLine="360" w:firstLineChars="150"/>
              <w:rPr>
                <w:rFonts w:hint="eastAsia" w:ascii="宋体" w:hAnsi="宋体" w:cs="宋体"/>
                <w:sz w:val="24"/>
              </w:rPr>
            </w:pPr>
            <w:r>
              <w:rPr>
                <w:rFonts w:hint="eastAsia" w:ascii="宋体" w:hAnsi="宋体" w:cs="宋体"/>
                <w:sz w:val="24"/>
              </w:rPr>
              <w:t>响应说明</w:t>
            </w:r>
          </w:p>
        </w:tc>
      </w:tr>
      <w:tr w14:paraId="251F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75B83F2">
            <w:pPr>
              <w:spacing w:line="560" w:lineRule="exact"/>
              <w:ind w:right="-168" w:rightChars="-80"/>
              <w:jc w:val="center"/>
              <w:rPr>
                <w:rFonts w:hint="eastAsia" w:ascii="宋体" w:hAnsi="宋体" w:cs="宋体"/>
                <w:sz w:val="24"/>
              </w:rPr>
            </w:pPr>
          </w:p>
        </w:tc>
        <w:tc>
          <w:tcPr>
            <w:tcW w:w="3451" w:type="dxa"/>
            <w:vAlign w:val="center"/>
          </w:tcPr>
          <w:p w14:paraId="3CE1D63F">
            <w:pPr>
              <w:spacing w:line="560" w:lineRule="exact"/>
              <w:ind w:right="-168" w:rightChars="-80"/>
              <w:jc w:val="center"/>
              <w:rPr>
                <w:rFonts w:hint="eastAsia" w:ascii="宋体" w:hAnsi="宋体" w:cs="宋体"/>
                <w:sz w:val="24"/>
              </w:rPr>
            </w:pPr>
          </w:p>
        </w:tc>
        <w:tc>
          <w:tcPr>
            <w:tcW w:w="3015" w:type="dxa"/>
            <w:vAlign w:val="center"/>
          </w:tcPr>
          <w:p w14:paraId="3EE507FA">
            <w:pPr>
              <w:spacing w:line="560" w:lineRule="exact"/>
              <w:ind w:right="-168" w:rightChars="-80"/>
              <w:jc w:val="center"/>
              <w:rPr>
                <w:rFonts w:hint="eastAsia" w:ascii="宋体" w:hAnsi="宋体" w:cs="宋体"/>
                <w:sz w:val="24"/>
              </w:rPr>
            </w:pPr>
          </w:p>
        </w:tc>
        <w:tc>
          <w:tcPr>
            <w:tcW w:w="1881" w:type="dxa"/>
            <w:vAlign w:val="center"/>
          </w:tcPr>
          <w:p w14:paraId="736FDA88">
            <w:pPr>
              <w:spacing w:line="560" w:lineRule="exact"/>
              <w:ind w:right="-168" w:rightChars="-80"/>
              <w:jc w:val="center"/>
              <w:rPr>
                <w:rFonts w:hint="eastAsia" w:ascii="宋体" w:hAnsi="宋体" w:cs="宋体"/>
                <w:sz w:val="24"/>
              </w:rPr>
            </w:pPr>
          </w:p>
        </w:tc>
      </w:tr>
      <w:tr w14:paraId="6F6F6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7CA9548">
            <w:pPr>
              <w:spacing w:line="560" w:lineRule="exact"/>
              <w:ind w:right="-168" w:rightChars="-80"/>
              <w:jc w:val="center"/>
              <w:rPr>
                <w:rFonts w:hint="eastAsia" w:ascii="宋体" w:hAnsi="宋体" w:cs="宋体"/>
                <w:sz w:val="24"/>
              </w:rPr>
            </w:pPr>
          </w:p>
        </w:tc>
        <w:tc>
          <w:tcPr>
            <w:tcW w:w="3451" w:type="dxa"/>
            <w:vAlign w:val="center"/>
          </w:tcPr>
          <w:p w14:paraId="41CDBABB">
            <w:pPr>
              <w:spacing w:line="560" w:lineRule="exact"/>
              <w:ind w:right="-168" w:rightChars="-80"/>
              <w:jc w:val="center"/>
              <w:rPr>
                <w:rFonts w:hint="eastAsia" w:ascii="宋体" w:hAnsi="宋体" w:cs="宋体"/>
                <w:sz w:val="24"/>
              </w:rPr>
            </w:pPr>
          </w:p>
        </w:tc>
        <w:tc>
          <w:tcPr>
            <w:tcW w:w="3015" w:type="dxa"/>
            <w:vAlign w:val="center"/>
          </w:tcPr>
          <w:p w14:paraId="0C816E08">
            <w:pPr>
              <w:spacing w:line="560" w:lineRule="exact"/>
              <w:ind w:right="-168" w:rightChars="-80"/>
              <w:jc w:val="center"/>
              <w:rPr>
                <w:rFonts w:hint="eastAsia" w:ascii="宋体" w:hAnsi="宋体" w:cs="宋体"/>
                <w:sz w:val="24"/>
              </w:rPr>
            </w:pPr>
          </w:p>
        </w:tc>
        <w:tc>
          <w:tcPr>
            <w:tcW w:w="1881" w:type="dxa"/>
            <w:vAlign w:val="center"/>
          </w:tcPr>
          <w:p w14:paraId="5C66D111">
            <w:pPr>
              <w:spacing w:line="560" w:lineRule="exact"/>
              <w:ind w:right="-168" w:rightChars="-80"/>
              <w:jc w:val="center"/>
              <w:rPr>
                <w:rFonts w:hint="eastAsia" w:ascii="宋体" w:hAnsi="宋体" w:cs="宋体"/>
                <w:sz w:val="24"/>
              </w:rPr>
            </w:pPr>
          </w:p>
        </w:tc>
      </w:tr>
      <w:tr w14:paraId="49337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1EE17A55">
            <w:pPr>
              <w:spacing w:line="560" w:lineRule="exact"/>
              <w:ind w:right="-168" w:rightChars="-80"/>
              <w:jc w:val="center"/>
              <w:rPr>
                <w:rFonts w:hint="eastAsia" w:ascii="宋体" w:hAnsi="宋体" w:cs="宋体"/>
                <w:sz w:val="24"/>
              </w:rPr>
            </w:pPr>
          </w:p>
        </w:tc>
        <w:tc>
          <w:tcPr>
            <w:tcW w:w="3451" w:type="dxa"/>
            <w:vAlign w:val="center"/>
          </w:tcPr>
          <w:p w14:paraId="4B1ECB0C">
            <w:pPr>
              <w:spacing w:line="560" w:lineRule="exact"/>
              <w:ind w:right="-168" w:rightChars="-80"/>
              <w:jc w:val="center"/>
              <w:rPr>
                <w:rFonts w:hint="eastAsia" w:ascii="宋体" w:hAnsi="宋体" w:cs="宋体"/>
                <w:sz w:val="24"/>
              </w:rPr>
            </w:pPr>
          </w:p>
        </w:tc>
        <w:tc>
          <w:tcPr>
            <w:tcW w:w="3015" w:type="dxa"/>
            <w:vAlign w:val="center"/>
          </w:tcPr>
          <w:p w14:paraId="77605FBA">
            <w:pPr>
              <w:spacing w:line="560" w:lineRule="exact"/>
              <w:ind w:right="-168" w:rightChars="-80"/>
              <w:jc w:val="center"/>
              <w:rPr>
                <w:rFonts w:hint="eastAsia" w:ascii="宋体" w:hAnsi="宋体" w:cs="宋体"/>
                <w:sz w:val="24"/>
              </w:rPr>
            </w:pPr>
          </w:p>
        </w:tc>
        <w:tc>
          <w:tcPr>
            <w:tcW w:w="1881" w:type="dxa"/>
            <w:vAlign w:val="center"/>
          </w:tcPr>
          <w:p w14:paraId="474550A4">
            <w:pPr>
              <w:spacing w:line="560" w:lineRule="exact"/>
              <w:ind w:right="-168" w:rightChars="-80"/>
              <w:jc w:val="center"/>
              <w:rPr>
                <w:rFonts w:hint="eastAsia" w:ascii="宋体" w:hAnsi="宋体" w:cs="宋体"/>
                <w:sz w:val="24"/>
              </w:rPr>
            </w:pPr>
          </w:p>
        </w:tc>
      </w:tr>
      <w:tr w14:paraId="0986E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56680EAA">
            <w:pPr>
              <w:spacing w:line="560" w:lineRule="exact"/>
              <w:ind w:right="-168" w:rightChars="-80"/>
              <w:jc w:val="center"/>
              <w:rPr>
                <w:rFonts w:hint="eastAsia" w:ascii="宋体" w:hAnsi="宋体" w:cs="宋体"/>
                <w:sz w:val="24"/>
              </w:rPr>
            </w:pPr>
          </w:p>
        </w:tc>
        <w:tc>
          <w:tcPr>
            <w:tcW w:w="3451" w:type="dxa"/>
            <w:vAlign w:val="center"/>
          </w:tcPr>
          <w:p w14:paraId="71077249">
            <w:pPr>
              <w:spacing w:line="560" w:lineRule="exact"/>
              <w:ind w:right="-168" w:rightChars="-80"/>
              <w:jc w:val="center"/>
              <w:rPr>
                <w:rFonts w:hint="eastAsia" w:ascii="宋体" w:hAnsi="宋体" w:cs="宋体"/>
                <w:sz w:val="24"/>
              </w:rPr>
            </w:pPr>
          </w:p>
        </w:tc>
        <w:tc>
          <w:tcPr>
            <w:tcW w:w="3015" w:type="dxa"/>
            <w:vAlign w:val="center"/>
          </w:tcPr>
          <w:p w14:paraId="45B85541">
            <w:pPr>
              <w:spacing w:line="560" w:lineRule="exact"/>
              <w:ind w:right="-168" w:rightChars="-80"/>
              <w:jc w:val="center"/>
              <w:rPr>
                <w:rFonts w:hint="eastAsia" w:ascii="宋体" w:hAnsi="宋体" w:cs="宋体"/>
                <w:sz w:val="24"/>
              </w:rPr>
            </w:pPr>
          </w:p>
        </w:tc>
        <w:tc>
          <w:tcPr>
            <w:tcW w:w="1881" w:type="dxa"/>
            <w:vAlign w:val="center"/>
          </w:tcPr>
          <w:p w14:paraId="4BAB6678">
            <w:pPr>
              <w:spacing w:line="560" w:lineRule="exact"/>
              <w:ind w:right="-168" w:rightChars="-80"/>
              <w:jc w:val="center"/>
              <w:rPr>
                <w:rFonts w:hint="eastAsia" w:ascii="宋体" w:hAnsi="宋体" w:cs="宋体"/>
                <w:sz w:val="24"/>
              </w:rPr>
            </w:pPr>
          </w:p>
        </w:tc>
      </w:tr>
      <w:tr w14:paraId="023FE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17EC7E32">
            <w:pPr>
              <w:spacing w:line="560" w:lineRule="exact"/>
              <w:ind w:right="-168" w:rightChars="-80"/>
              <w:jc w:val="center"/>
              <w:rPr>
                <w:rFonts w:hint="eastAsia" w:ascii="宋体" w:hAnsi="宋体" w:cs="宋体"/>
                <w:sz w:val="24"/>
              </w:rPr>
            </w:pPr>
          </w:p>
        </w:tc>
        <w:tc>
          <w:tcPr>
            <w:tcW w:w="3451" w:type="dxa"/>
            <w:vAlign w:val="center"/>
          </w:tcPr>
          <w:p w14:paraId="66B20533">
            <w:pPr>
              <w:spacing w:line="560" w:lineRule="exact"/>
              <w:ind w:right="-168" w:rightChars="-80"/>
              <w:jc w:val="center"/>
              <w:rPr>
                <w:rFonts w:hint="eastAsia" w:ascii="宋体" w:hAnsi="宋体" w:cs="宋体"/>
                <w:sz w:val="24"/>
              </w:rPr>
            </w:pPr>
          </w:p>
        </w:tc>
        <w:tc>
          <w:tcPr>
            <w:tcW w:w="3015" w:type="dxa"/>
            <w:vAlign w:val="center"/>
          </w:tcPr>
          <w:p w14:paraId="567E68D7">
            <w:pPr>
              <w:spacing w:line="560" w:lineRule="exact"/>
              <w:ind w:right="-168" w:rightChars="-80"/>
              <w:jc w:val="center"/>
              <w:rPr>
                <w:rFonts w:hint="eastAsia" w:ascii="宋体" w:hAnsi="宋体" w:cs="宋体"/>
                <w:sz w:val="24"/>
              </w:rPr>
            </w:pPr>
          </w:p>
        </w:tc>
        <w:tc>
          <w:tcPr>
            <w:tcW w:w="1881" w:type="dxa"/>
            <w:vAlign w:val="center"/>
          </w:tcPr>
          <w:p w14:paraId="4A88EED9">
            <w:pPr>
              <w:spacing w:line="560" w:lineRule="exact"/>
              <w:ind w:right="-168" w:rightChars="-80"/>
              <w:jc w:val="center"/>
              <w:rPr>
                <w:rFonts w:hint="eastAsia" w:ascii="宋体" w:hAnsi="宋体" w:cs="宋体"/>
                <w:sz w:val="24"/>
              </w:rPr>
            </w:pPr>
          </w:p>
        </w:tc>
      </w:tr>
      <w:tr w14:paraId="190D5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87ABD60">
            <w:pPr>
              <w:spacing w:line="560" w:lineRule="exact"/>
              <w:ind w:right="-168" w:rightChars="-80"/>
              <w:jc w:val="center"/>
              <w:rPr>
                <w:rFonts w:hint="eastAsia" w:ascii="宋体" w:hAnsi="宋体" w:cs="宋体"/>
                <w:sz w:val="24"/>
              </w:rPr>
            </w:pPr>
          </w:p>
        </w:tc>
        <w:tc>
          <w:tcPr>
            <w:tcW w:w="3451" w:type="dxa"/>
            <w:vAlign w:val="center"/>
          </w:tcPr>
          <w:p w14:paraId="47BFF5E7">
            <w:pPr>
              <w:spacing w:line="560" w:lineRule="exact"/>
              <w:ind w:right="-168" w:rightChars="-80"/>
              <w:jc w:val="center"/>
              <w:rPr>
                <w:rFonts w:hint="eastAsia" w:ascii="宋体" w:hAnsi="宋体" w:cs="宋体"/>
                <w:sz w:val="24"/>
              </w:rPr>
            </w:pPr>
          </w:p>
        </w:tc>
        <w:tc>
          <w:tcPr>
            <w:tcW w:w="3015" w:type="dxa"/>
            <w:vAlign w:val="center"/>
          </w:tcPr>
          <w:p w14:paraId="2A496A39">
            <w:pPr>
              <w:spacing w:line="560" w:lineRule="exact"/>
              <w:ind w:right="-168" w:rightChars="-80"/>
              <w:jc w:val="center"/>
              <w:rPr>
                <w:rFonts w:hint="eastAsia" w:ascii="宋体" w:hAnsi="宋体" w:cs="宋体"/>
                <w:sz w:val="24"/>
              </w:rPr>
            </w:pPr>
          </w:p>
        </w:tc>
        <w:tc>
          <w:tcPr>
            <w:tcW w:w="1881" w:type="dxa"/>
            <w:vAlign w:val="center"/>
          </w:tcPr>
          <w:p w14:paraId="5D7CD53C">
            <w:pPr>
              <w:spacing w:line="560" w:lineRule="exact"/>
              <w:ind w:right="-168" w:rightChars="-80"/>
              <w:jc w:val="center"/>
              <w:rPr>
                <w:rFonts w:hint="eastAsia" w:ascii="宋体" w:hAnsi="宋体" w:cs="宋体"/>
                <w:sz w:val="24"/>
              </w:rPr>
            </w:pPr>
          </w:p>
        </w:tc>
      </w:tr>
      <w:tr w14:paraId="0F59E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3005600E">
            <w:pPr>
              <w:spacing w:line="560" w:lineRule="exact"/>
              <w:ind w:right="-168" w:rightChars="-80"/>
              <w:jc w:val="center"/>
              <w:rPr>
                <w:rFonts w:hint="eastAsia" w:ascii="宋体" w:hAnsi="宋体" w:cs="宋体"/>
                <w:sz w:val="24"/>
              </w:rPr>
            </w:pPr>
          </w:p>
        </w:tc>
        <w:tc>
          <w:tcPr>
            <w:tcW w:w="3451" w:type="dxa"/>
            <w:vAlign w:val="center"/>
          </w:tcPr>
          <w:p w14:paraId="5942BD7F">
            <w:pPr>
              <w:spacing w:line="560" w:lineRule="exact"/>
              <w:ind w:right="-168" w:rightChars="-80"/>
              <w:jc w:val="center"/>
              <w:rPr>
                <w:rFonts w:hint="eastAsia" w:ascii="宋体" w:hAnsi="宋体" w:cs="宋体"/>
                <w:sz w:val="24"/>
              </w:rPr>
            </w:pPr>
          </w:p>
        </w:tc>
        <w:tc>
          <w:tcPr>
            <w:tcW w:w="3015" w:type="dxa"/>
            <w:vAlign w:val="center"/>
          </w:tcPr>
          <w:p w14:paraId="706C84C1">
            <w:pPr>
              <w:spacing w:line="560" w:lineRule="exact"/>
              <w:ind w:right="-168" w:rightChars="-80"/>
              <w:jc w:val="center"/>
              <w:rPr>
                <w:rFonts w:hint="eastAsia" w:ascii="宋体" w:hAnsi="宋体" w:cs="宋体"/>
                <w:sz w:val="24"/>
              </w:rPr>
            </w:pPr>
          </w:p>
        </w:tc>
        <w:tc>
          <w:tcPr>
            <w:tcW w:w="1881" w:type="dxa"/>
            <w:vAlign w:val="center"/>
          </w:tcPr>
          <w:p w14:paraId="0E2DD53B">
            <w:pPr>
              <w:spacing w:line="560" w:lineRule="exact"/>
              <w:ind w:right="-168" w:rightChars="-80"/>
              <w:jc w:val="center"/>
              <w:rPr>
                <w:rFonts w:hint="eastAsia" w:ascii="宋体" w:hAnsi="宋体" w:cs="宋体"/>
                <w:sz w:val="24"/>
              </w:rPr>
            </w:pPr>
          </w:p>
        </w:tc>
      </w:tr>
      <w:tr w14:paraId="0B0BE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07322187">
            <w:pPr>
              <w:spacing w:line="560" w:lineRule="exact"/>
              <w:ind w:right="-168" w:rightChars="-80"/>
              <w:jc w:val="center"/>
              <w:rPr>
                <w:rFonts w:hint="eastAsia" w:ascii="宋体" w:hAnsi="宋体" w:cs="宋体"/>
                <w:sz w:val="24"/>
              </w:rPr>
            </w:pPr>
          </w:p>
        </w:tc>
        <w:tc>
          <w:tcPr>
            <w:tcW w:w="3451" w:type="dxa"/>
            <w:vAlign w:val="center"/>
          </w:tcPr>
          <w:p w14:paraId="293CF111">
            <w:pPr>
              <w:spacing w:line="560" w:lineRule="exact"/>
              <w:ind w:right="-168" w:rightChars="-80"/>
              <w:jc w:val="center"/>
              <w:rPr>
                <w:rFonts w:hint="eastAsia" w:ascii="宋体" w:hAnsi="宋体" w:cs="宋体"/>
                <w:sz w:val="24"/>
              </w:rPr>
            </w:pPr>
          </w:p>
        </w:tc>
        <w:tc>
          <w:tcPr>
            <w:tcW w:w="3015" w:type="dxa"/>
            <w:vAlign w:val="center"/>
          </w:tcPr>
          <w:p w14:paraId="21F8D56C">
            <w:pPr>
              <w:spacing w:line="560" w:lineRule="exact"/>
              <w:ind w:right="-168" w:rightChars="-80"/>
              <w:jc w:val="center"/>
              <w:rPr>
                <w:rFonts w:hint="eastAsia" w:ascii="宋体" w:hAnsi="宋体" w:cs="宋体"/>
                <w:sz w:val="24"/>
              </w:rPr>
            </w:pPr>
          </w:p>
        </w:tc>
        <w:tc>
          <w:tcPr>
            <w:tcW w:w="1881" w:type="dxa"/>
            <w:vAlign w:val="center"/>
          </w:tcPr>
          <w:p w14:paraId="62204535">
            <w:pPr>
              <w:spacing w:line="560" w:lineRule="exact"/>
              <w:ind w:right="-168" w:rightChars="-80"/>
              <w:jc w:val="center"/>
              <w:rPr>
                <w:rFonts w:hint="eastAsia" w:ascii="宋体" w:hAnsi="宋体" w:cs="宋体"/>
                <w:sz w:val="24"/>
              </w:rPr>
            </w:pPr>
          </w:p>
        </w:tc>
      </w:tr>
      <w:tr w14:paraId="4B2A8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3715A95">
            <w:pPr>
              <w:spacing w:line="560" w:lineRule="exact"/>
              <w:ind w:right="-168" w:rightChars="-80"/>
              <w:jc w:val="center"/>
              <w:rPr>
                <w:rFonts w:hint="eastAsia" w:ascii="宋体" w:hAnsi="宋体" w:cs="宋体"/>
                <w:sz w:val="24"/>
              </w:rPr>
            </w:pPr>
          </w:p>
        </w:tc>
        <w:tc>
          <w:tcPr>
            <w:tcW w:w="3451" w:type="dxa"/>
            <w:vAlign w:val="center"/>
          </w:tcPr>
          <w:p w14:paraId="0EAD0237">
            <w:pPr>
              <w:spacing w:line="560" w:lineRule="exact"/>
              <w:ind w:right="-168" w:rightChars="-80"/>
              <w:jc w:val="center"/>
              <w:rPr>
                <w:rFonts w:hint="eastAsia" w:ascii="宋体" w:hAnsi="宋体" w:cs="宋体"/>
                <w:sz w:val="24"/>
              </w:rPr>
            </w:pPr>
          </w:p>
        </w:tc>
        <w:tc>
          <w:tcPr>
            <w:tcW w:w="3015" w:type="dxa"/>
            <w:vAlign w:val="center"/>
          </w:tcPr>
          <w:p w14:paraId="1E3AA3AB">
            <w:pPr>
              <w:spacing w:line="560" w:lineRule="exact"/>
              <w:ind w:right="-168" w:rightChars="-80"/>
              <w:jc w:val="center"/>
              <w:rPr>
                <w:rFonts w:hint="eastAsia" w:ascii="宋体" w:hAnsi="宋体" w:cs="宋体"/>
                <w:sz w:val="24"/>
              </w:rPr>
            </w:pPr>
          </w:p>
        </w:tc>
        <w:tc>
          <w:tcPr>
            <w:tcW w:w="1881" w:type="dxa"/>
            <w:vAlign w:val="center"/>
          </w:tcPr>
          <w:p w14:paraId="4AA586A0">
            <w:pPr>
              <w:spacing w:line="560" w:lineRule="exact"/>
              <w:ind w:right="-168" w:rightChars="-80"/>
              <w:jc w:val="center"/>
              <w:rPr>
                <w:rFonts w:hint="eastAsia" w:ascii="宋体" w:hAnsi="宋体" w:cs="宋体"/>
                <w:sz w:val="24"/>
              </w:rPr>
            </w:pPr>
          </w:p>
        </w:tc>
      </w:tr>
      <w:tr w14:paraId="68CB1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39B467CC">
            <w:pPr>
              <w:spacing w:line="560" w:lineRule="exact"/>
              <w:ind w:right="-168" w:rightChars="-80"/>
              <w:jc w:val="center"/>
              <w:rPr>
                <w:rFonts w:hint="eastAsia" w:ascii="宋体" w:hAnsi="宋体" w:cs="宋体"/>
                <w:sz w:val="24"/>
              </w:rPr>
            </w:pPr>
          </w:p>
        </w:tc>
        <w:tc>
          <w:tcPr>
            <w:tcW w:w="3451" w:type="dxa"/>
            <w:vAlign w:val="center"/>
          </w:tcPr>
          <w:p w14:paraId="58FEDDD7">
            <w:pPr>
              <w:spacing w:line="560" w:lineRule="exact"/>
              <w:ind w:right="-168" w:rightChars="-80"/>
              <w:jc w:val="center"/>
              <w:rPr>
                <w:rFonts w:hint="eastAsia" w:ascii="宋体" w:hAnsi="宋体" w:cs="宋体"/>
                <w:sz w:val="24"/>
              </w:rPr>
            </w:pPr>
          </w:p>
        </w:tc>
        <w:tc>
          <w:tcPr>
            <w:tcW w:w="3015" w:type="dxa"/>
            <w:vAlign w:val="center"/>
          </w:tcPr>
          <w:p w14:paraId="44916E0D">
            <w:pPr>
              <w:spacing w:line="560" w:lineRule="exact"/>
              <w:ind w:right="-168" w:rightChars="-80"/>
              <w:jc w:val="center"/>
              <w:rPr>
                <w:rFonts w:hint="eastAsia" w:ascii="宋体" w:hAnsi="宋体" w:cs="宋体"/>
                <w:sz w:val="24"/>
              </w:rPr>
            </w:pPr>
          </w:p>
        </w:tc>
        <w:tc>
          <w:tcPr>
            <w:tcW w:w="1881" w:type="dxa"/>
            <w:vAlign w:val="center"/>
          </w:tcPr>
          <w:p w14:paraId="1A37C69C">
            <w:pPr>
              <w:spacing w:line="560" w:lineRule="exact"/>
              <w:ind w:right="-168" w:rightChars="-80"/>
              <w:jc w:val="center"/>
              <w:rPr>
                <w:rFonts w:hint="eastAsia" w:ascii="宋体" w:hAnsi="宋体" w:cs="宋体"/>
                <w:sz w:val="24"/>
              </w:rPr>
            </w:pPr>
          </w:p>
        </w:tc>
      </w:tr>
      <w:tr w14:paraId="548A9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528AF608">
            <w:pPr>
              <w:spacing w:line="560" w:lineRule="exact"/>
              <w:ind w:right="-168" w:rightChars="-80"/>
              <w:jc w:val="center"/>
              <w:rPr>
                <w:rFonts w:hint="eastAsia" w:ascii="宋体" w:hAnsi="宋体" w:cs="宋体"/>
                <w:sz w:val="24"/>
              </w:rPr>
            </w:pPr>
          </w:p>
        </w:tc>
        <w:tc>
          <w:tcPr>
            <w:tcW w:w="3451" w:type="dxa"/>
            <w:vAlign w:val="center"/>
          </w:tcPr>
          <w:p w14:paraId="380D735D">
            <w:pPr>
              <w:spacing w:line="560" w:lineRule="exact"/>
              <w:ind w:right="-168" w:rightChars="-80"/>
              <w:jc w:val="center"/>
              <w:rPr>
                <w:rFonts w:hint="eastAsia" w:ascii="宋体" w:hAnsi="宋体" w:cs="宋体"/>
                <w:sz w:val="24"/>
              </w:rPr>
            </w:pPr>
          </w:p>
        </w:tc>
        <w:tc>
          <w:tcPr>
            <w:tcW w:w="3015" w:type="dxa"/>
            <w:vAlign w:val="center"/>
          </w:tcPr>
          <w:p w14:paraId="770F842F">
            <w:pPr>
              <w:spacing w:line="560" w:lineRule="exact"/>
              <w:ind w:right="-168" w:rightChars="-80"/>
              <w:jc w:val="center"/>
              <w:rPr>
                <w:rFonts w:hint="eastAsia" w:ascii="宋体" w:hAnsi="宋体" w:cs="宋体"/>
                <w:sz w:val="24"/>
              </w:rPr>
            </w:pPr>
          </w:p>
        </w:tc>
        <w:tc>
          <w:tcPr>
            <w:tcW w:w="1881" w:type="dxa"/>
            <w:vAlign w:val="center"/>
          </w:tcPr>
          <w:p w14:paraId="294EF144">
            <w:pPr>
              <w:spacing w:line="560" w:lineRule="exact"/>
              <w:ind w:right="-168" w:rightChars="-80"/>
              <w:jc w:val="center"/>
              <w:rPr>
                <w:rFonts w:hint="eastAsia" w:ascii="宋体" w:hAnsi="宋体" w:cs="宋体"/>
                <w:sz w:val="24"/>
              </w:rPr>
            </w:pPr>
          </w:p>
        </w:tc>
      </w:tr>
      <w:tr w14:paraId="2FAE4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2DC0D10">
            <w:pPr>
              <w:spacing w:line="560" w:lineRule="exact"/>
              <w:ind w:right="-168" w:rightChars="-80"/>
              <w:jc w:val="center"/>
              <w:rPr>
                <w:rFonts w:hint="eastAsia" w:ascii="宋体" w:hAnsi="宋体" w:cs="宋体"/>
                <w:sz w:val="24"/>
              </w:rPr>
            </w:pPr>
          </w:p>
        </w:tc>
        <w:tc>
          <w:tcPr>
            <w:tcW w:w="3451" w:type="dxa"/>
            <w:vAlign w:val="center"/>
          </w:tcPr>
          <w:p w14:paraId="2EEE1A12">
            <w:pPr>
              <w:spacing w:line="560" w:lineRule="exact"/>
              <w:ind w:right="-168" w:rightChars="-80"/>
              <w:jc w:val="center"/>
              <w:rPr>
                <w:rFonts w:hint="eastAsia" w:ascii="宋体" w:hAnsi="宋体" w:cs="宋体"/>
                <w:sz w:val="24"/>
              </w:rPr>
            </w:pPr>
          </w:p>
        </w:tc>
        <w:tc>
          <w:tcPr>
            <w:tcW w:w="3015" w:type="dxa"/>
            <w:vAlign w:val="center"/>
          </w:tcPr>
          <w:p w14:paraId="7F6AF6A8">
            <w:pPr>
              <w:spacing w:line="560" w:lineRule="exact"/>
              <w:ind w:right="-168" w:rightChars="-80"/>
              <w:jc w:val="center"/>
              <w:rPr>
                <w:rFonts w:hint="eastAsia" w:ascii="宋体" w:hAnsi="宋体" w:cs="宋体"/>
                <w:sz w:val="24"/>
              </w:rPr>
            </w:pPr>
          </w:p>
        </w:tc>
        <w:tc>
          <w:tcPr>
            <w:tcW w:w="1881" w:type="dxa"/>
            <w:vAlign w:val="center"/>
          </w:tcPr>
          <w:p w14:paraId="45858E3B">
            <w:pPr>
              <w:spacing w:line="560" w:lineRule="exact"/>
              <w:ind w:right="-168" w:rightChars="-80"/>
              <w:jc w:val="center"/>
              <w:rPr>
                <w:rFonts w:hint="eastAsia" w:ascii="宋体" w:hAnsi="宋体" w:cs="宋体"/>
                <w:sz w:val="24"/>
              </w:rPr>
            </w:pPr>
          </w:p>
        </w:tc>
      </w:tr>
      <w:tr w14:paraId="20CEA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C41967B">
            <w:pPr>
              <w:spacing w:line="560" w:lineRule="exact"/>
              <w:ind w:right="-168" w:rightChars="-80"/>
              <w:jc w:val="center"/>
              <w:rPr>
                <w:rFonts w:hint="eastAsia" w:ascii="宋体" w:hAnsi="宋体" w:cs="宋体"/>
                <w:sz w:val="24"/>
              </w:rPr>
            </w:pPr>
          </w:p>
        </w:tc>
        <w:tc>
          <w:tcPr>
            <w:tcW w:w="3451" w:type="dxa"/>
            <w:vAlign w:val="center"/>
          </w:tcPr>
          <w:p w14:paraId="0B36C5C7">
            <w:pPr>
              <w:spacing w:line="560" w:lineRule="exact"/>
              <w:ind w:right="-168" w:rightChars="-80"/>
              <w:jc w:val="center"/>
              <w:rPr>
                <w:rFonts w:hint="eastAsia" w:ascii="宋体" w:hAnsi="宋体" w:cs="宋体"/>
                <w:sz w:val="24"/>
              </w:rPr>
            </w:pPr>
          </w:p>
        </w:tc>
        <w:tc>
          <w:tcPr>
            <w:tcW w:w="3015" w:type="dxa"/>
            <w:vAlign w:val="center"/>
          </w:tcPr>
          <w:p w14:paraId="4F4E15A5">
            <w:pPr>
              <w:spacing w:line="560" w:lineRule="exact"/>
              <w:ind w:right="-168" w:rightChars="-80"/>
              <w:jc w:val="center"/>
              <w:rPr>
                <w:rFonts w:hint="eastAsia" w:ascii="宋体" w:hAnsi="宋体" w:cs="宋体"/>
                <w:sz w:val="24"/>
              </w:rPr>
            </w:pPr>
          </w:p>
        </w:tc>
        <w:tc>
          <w:tcPr>
            <w:tcW w:w="1881" w:type="dxa"/>
            <w:vAlign w:val="center"/>
          </w:tcPr>
          <w:p w14:paraId="01A1372F">
            <w:pPr>
              <w:spacing w:line="560" w:lineRule="exact"/>
              <w:ind w:right="-168" w:rightChars="-80"/>
              <w:jc w:val="center"/>
              <w:rPr>
                <w:rFonts w:hint="eastAsia" w:ascii="宋体" w:hAnsi="宋体" w:cs="宋体"/>
                <w:sz w:val="24"/>
              </w:rPr>
            </w:pPr>
          </w:p>
        </w:tc>
      </w:tr>
      <w:tr w14:paraId="3835C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3363E269">
            <w:pPr>
              <w:spacing w:line="560" w:lineRule="exact"/>
              <w:ind w:right="-168" w:rightChars="-80"/>
              <w:jc w:val="center"/>
              <w:rPr>
                <w:rFonts w:hint="eastAsia" w:ascii="宋体" w:hAnsi="宋体" w:cs="宋体"/>
                <w:sz w:val="24"/>
              </w:rPr>
            </w:pPr>
          </w:p>
        </w:tc>
        <w:tc>
          <w:tcPr>
            <w:tcW w:w="3451" w:type="dxa"/>
            <w:vAlign w:val="center"/>
          </w:tcPr>
          <w:p w14:paraId="19F19580">
            <w:pPr>
              <w:spacing w:line="560" w:lineRule="exact"/>
              <w:ind w:right="-168" w:rightChars="-80"/>
              <w:jc w:val="center"/>
              <w:rPr>
                <w:rFonts w:hint="eastAsia" w:ascii="宋体" w:hAnsi="宋体" w:cs="宋体"/>
                <w:sz w:val="24"/>
              </w:rPr>
            </w:pPr>
          </w:p>
        </w:tc>
        <w:tc>
          <w:tcPr>
            <w:tcW w:w="3015" w:type="dxa"/>
            <w:vAlign w:val="center"/>
          </w:tcPr>
          <w:p w14:paraId="640105EF">
            <w:pPr>
              <w:spacing w:line="560" w:lineRule="exact"/>
              <w:ind w:right="-168" w:rightChars="-80"/>
              <w:jc w:val="center"/>
              <w:rPr>
                <w:rFonts w:hint="eastAsia" w:ascii="宋体" w:hAnsi="宋体" w:cs="宋体"/>
                <w:sz w:val="24"/>
              </w:rPr>
            </w:pPr>
          </w:p>
        </w:tc>
        <w:tc>
          <w:tcPr>
            <w:tcW w:w="1881" w:type="dxa"/>
            <w:vAlign w:val="center"/>
          </w:tcPr>
          <w:p w14:paraId="164D8D63">
            <w:pPr>
              <w:spacing w:line="560" w:lineRule="exact"/>
              <w:ind w:right="-168" w:rightChars="-80"/>
              <w:jc w:val="center"/>
              <w:rPr>
                <w:rFonts w:hint="eastAsia" w:ascii="宋体" w:hAnsi="宋体" w:cs="宋体"/>
                <w:sz w:val="24"/>
              </w:rPr>
            </w:pPr>
          </w:p>
        </w:tc>
      </w:tr>
      <w:tr w14:paraId="191B1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02D88A90">
            <w:pPr>
              <w:spacing w:line="560" w:lineRule="exact"/>
              <w:ind w:right="-168" w:rightChars="-80"/>
              <w:jc w:val="center"/>
              <w:rPr>
                <w:rFonts w:hint="eastAsia" w:ascii="宋体" w:hAnsi="宋体" w:cs="宋体"/>
                <w:sz w:val="24"/>
              </w:rPr>
            </w:pPr>
          </w:p>
        </w:tc>
        <w:tc>
          <w:tcPr>
            <w:tcW w:w="3451" w:type="dxa"/>
            <w:vAlign w:val="center"/>
          </w:tcPr>
          <w:p w14:paraId="484858EE">
            <w:pPr>
              <w:spacing w:line="560" w:lineRule="exact"/>
              <w:ind w:right="-168" w:rightChars="-80"/>
              <w:jc w:val="center"/>
              <w:rPr>
                <w:rFonts w:hint="eastAsia" w:ascii="宋体" w:hAnsi="宋体" w:cs="宋体"/>
                <w:sz w:val="24"/>
              </w:rPr>
            </w:pPr>
          </w:p>
        </w:tc>
        <w:tc>
          <w:tcPr>
            <w:tcW w:w="3015" w:type="dxa"/>
            <w:vAlign w:val="center"/>
          </w:tcPr>
          <w:p w14:paraId="1A887928">
            <w:pPr>
              <w:spacing w:line="560" w:lineRule="exact"/>
              <w:ind w:right="-168" w:rightChars="-80"/>
              <w:jc w:val="center"/>
              <w:rPr>
                <w:rFonts w:hint="eastAsia" w:ascii="宋体" w:hAnsi="宋体" w:cs="宋体"/>
                <w:sz w:val="24"/>
              </w:rPr>
            </w:pPr>
          </w:p>
        </w:tc>
        <w:tc>
          <w:tcPr>
            <w:tcW w:w="1881" w:type="dxa"/>
            <w:vAlign w:val="center"/>
          </w:tcPr>
          <w:p w14:paraId="009CC415">
            <w:pPr>
              <w:spacing w:line="560" w:lineRule="exact"/>
              <w:ind w:right="-168" w:rightChars="-80"/>
              <w:jc w:val="center"/>
              <w:rPr>
                <w:rFonts w:hint="eastAsia" w:ascii="宋体" w:hAnsi="宋体" w:cs="宋体"/>
                <w:sz w:val="24"/>
              </w:rPr>
            </w:pPr>
          </w:p>
        </w:tc>
      </w:tr>
    </w:tbl>
    <w:p w14:paraId="3F56A506">
      <w:pPr>
        <w:autoSpaceDE w:val="0"/>
        <w:autoSpaceDN w:val="0"/>
        <w:adjustRightInd w:val="0"/>
        <w:spacing w:line="360" w:lineRule="auto"/>
        <w:rPr>
          <w:rFonts w:hint="eastAsia" w:ascii="宋体" w:hAnsi="宋体" w:cs="宋体"/>
          <w:sz w:val="24"/>
        </w:rPr>
      </w:pPr>
      <w:r>
        <w:rPr>
          <w:rFonts w:hint="eastAsia" w:ascii="宋体" w:hAnsi="宋体" w:cs="宋体"/>
          <w:sz w:val="24"/>
        </w:rPr>
        <w:t>说明：</w:t>
      </w:r>
    </w:p>
    <w:p w14:paraId="7A05A8D0">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1、投标文件根据第四部分商务及合同主要条款须如实填写。</w:t>
      </w:r>
    </w:p>
    <w:p w14:paraId="462A1C9D">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2、响应说明填写：优于、相同。</w:t>
      </w:r>
    </w:p>
    <w:p w14:paraId="58987FFC">
      <w:pPr>
        <w:pStyle w:val="8"/>
        <w:ind w:firstLine="480"/>
        <w:rPr>
          <w:rFonts w:hint="eastAsia" w:hAnsi="宋体" w:cs="宋体"/>
          <w:sz w:val="24"/>
          <w:szCs w:val="24"/>
        </w:rPr>
      </w:pPr>
      <w:r>
        <w:rPr>
          <w:rFonts w:hint="eastAsia" w:hAnsi="宋体" w:cs="宋体"/>
          <w:sz w:val="24"/>
          <w:szCs w:val="24"/>
        </w:rPr>
        <w:t>投标</w:t>
      </w:r>
      <w:r>
        <w:rPr>
          <w:rFonts w:hint="eastAsia" w:hAnsi="宋体" w:cs="宋体"/>
          <w:sz w:val="24"/>
        </w:rPr>
        <w:t>单位</w:t>
      </w:r>
      <w:r>
        <w:rPr>
          <w:rFonts w:hint="eastAsia" w:hAnsi="宋体" w:cs="宋体"/>
          <w:sz w:val="24"/>
          <w:szCs w:val="24"/>
        </w:rPr>
        <w:t>（公章）：                  法定代表人/被授权人（</w:t>
      </w:r>
      <w:r>
        <w:rPr>
          <w:rFonts w:hint="eastAsia" w:hAnsi="宋体" w:cs="宋体"/>
          <w:sz w:val="24"/>
        </w:rPr>
        <w:t>签字或盖章</w:t>
      </w:r>
      <w:r>
        <w:rPr>
          <w:rFonts w:hint="eastAsia" w:hAnsi="宋体" w:cs="宋体"/>
          <w:sz w:val="24"/>
          <w:szCs w:val="24"/>
        </w:rPr>
        <w:t xml:space="preserve">）：    </w:t>
      </w:r>
    </w:p>
    <w:p w14:paraId="6D72D54A">
      <w:pPr>
        <w:pStyle w:val="8"/>
        <w:ind w:firstLine="480"/>
        <w:rPr>
          <w:rFonts w:hint="eastAsia" w:hAnsi="宋体" w:cs="宋体"/>
          <w:sz w:val="24"/>
          <w:szCs w:val="24"/>
          <w:u w:val="single"/>
        </w:rPr>
      </w:pPr>
      <w:r>
        <w:rPr>
          <w:rFonts w:hint="eastAsia" w:hAnsi="宋体" w:cs="宋体"/>
          <w:sz w:val="24"/>
          <w:szCs w:val="24"/>
        </w:rPr>
        <w:t xml:space="preserve">                                                    </w:t>
      </w:r>
    </w:p>
    <w:p w14:paraId="2491192D">
      <w:pPr>
        <w:spacing w:line="360" w:lineRule="atLeast"/>
        <w:jc w:val="center"/>
        <w:rPr>
          <w:rFonts w:hint="eastAsia" w:ascii="宋体" w:hAnsi="宋体" w:cs="宋体"/>
          <w:b/>
          <w:sz w:val="32"/>
          <w:szCs w:val="32"/>
        </w:rPr>
      </w:pPr>
      <w:r>
        <w:rPr>
          <w:rFonts w:hint="eastAsia" w:ascii="宋体" w:hAnsi="宋体" w:cs="宋体"/>
          <w:b/>
          <w:sz w:val="32"/>
          <w:szCs w:val="32"/>
        </w:rPr>
        <w:t>第三部分   法定代表人证明书与授权书</w:t>
      </w:r>
    </w:p>
    <w:p w14:paraId="6D7F9DF9">
      <w:pPr>
        <w:tabs>
          <w:tab w:val="left" w:pos="210"/>
        </w:tabs>
        <w:spacing w:line="320" w:lineRule="exact"/>
        <w:jc w:val="center"/>
        <w:rPr>
          <w:rFonts w:hint="eastAsia" w:ascii="宋体" w:hAnsi="宋体" w:cs="宋体"/>
          <w:b/>
          <w:kern w:val="0"/>
          <w:sz w:val="32"/>
          <w:szCs w:val="32"/>
        </w:rPr>
      </w:pPr>
    </w:p>
    <w:p w14:paraId="53DC565D">
      <w:pPr>
        <w:tabs>
          <w:tab w:val="left" w:pos="210"/>
        </w:tabs>
        <w:spacing w:line="320" w:lineRule="exact"/>
        <w:jc w:val="center"/>
        <w:rPr>
          <w:rFonts w:hint="eastAsia" w:ascii="宋体" w:hAnsi="宋体" w:cs="宋体"/>
          <w:b/>
          <w:kern w:val="0"/>
          <w:sz w:val="32"/>
          <w:szCs w:val="32"/>
        </w:rPr>
      </w:pPr>
      <w:r>
        <w:rPr>
          <w:rFonts w:hint="eastAsia" w:ascii="宋体" w:hAnsi="宋体" w:cs="宋体"/>
          <w:b/>
          <w:kern w:val="0"/>
          <w:sz w:val="32"/>
          <w:szCs w:val="32"/>
        </w:rPr>
        <w:t>法定代表人证明书</w:t>
      </w:r>
    </w:p>
    <w:p w14:paraId="46E9FFD5">
      <w:pPr>
        <w:tabs>
          <w:tab w:val="left" w:pos="210"/>
        </w:tabs>
        <w:spacing w:line="320" w:lineRule="exact"/>
        <w:jc w:val="center"/>
        <w:rPr>
          <w:rFonts w:hint="eastAsia" w:ascii="宋体" w:hAnsi="宋体" w:cs="宋体"/>
          <w:b/>
          <w:kern w:val="0"/>
          <w:sz w:val="32"/>
          <w:szCs w:val="32"/>
        </w:rPr>
      </w:pPr>
    </w:p>
    <w:p w14:paraId="1A086440">
      <w:pPr>
        <w:spacing w:line="560" w:lineRule="exact"/>
        <w:ind w:firstLine="307" w:firstLineChars="128"/>
        <w:rPr>
          <w:rFonts w:hint="eastAsia" w:ascii="宋体" w:hAnsi="宋体" w:cs="宋体"/>
          <w:sz w:val="24"/>
          <w:u w:val="thick"/>
        </w:rPr>
      </w:pPr>
      <w:r>
        <w:rPr>
          <w:rFonts w:hint="eastAsia" w:ascii="宋体" w:hAnsi="宋体" w:cs="宋体"/>
          <w:sz w:val="24"/>
        </w:rPr>
        <w:t>单位名称：</w:t>
      </w:r>
      <w:r>
        <w:rPr>
          <w:rFonts w:hint="eastAsia" w:ascii="宋体" w:hAnsi="宋体" w:cs="宋体"/>
          <w:sz w:val="24"/>
          <w:u w:val="single"/>
        </w:rPr>
        <w:t xml:space="preserve">                                                   </w:t>
      </w:r>
    </w:p>
    <w:p w14:paraId="4EFAA4DF">
      <w:pPr>
        <w:spacing w:line="560" w:lineRule="exact"/>
        <w:ind w:firstLine="307" w:firstLineChars="128"/>
        <w:rPr>
          <w:rFonts w:hint="eastAsia" w:ascii="宋体" w:hAnsi="宋体" w:cs="宋体"/>
          <w:sz w:val="24"/>
        </w:rPr>
      </w:pPr>
      <w:r>
        <w:rPr>
          <w:rFonts w:hint="eastAsia" w:ascii="宋体" w:hAnsi="宋体" w:cs="宋体"/>
          <w:sz w:val="24"/>
        </w:rPr>
        <w:t>单位性质：</w:t>
      </w:r>
      <w:r>
        <w:rPr>
          <w:rFonts w:hint="eastAsia" w:ascii="宋体" w:hAnsi="宋体" w:cs="宋体"/>
          <w:sz w:val="24"/>
          <w:u w:val="single"/>
        </w:rPr>
        <w:t xml:space="preserve">                                                  </w:t>
      </w:r>
    </w:p>
    <w:p w14:paraId="0093CCA4">
      <w:pPr>
        <w:spacing w:line="560" w:lineRule="exact"/>
        <w:ind w:firstLine="307" w:firstLineChars="128"/>
        <w:rPr>
          <w:rFonts w:hint="eastAsia" w:ascii="宋体" w:hAnsi="宋体" w:cs="宋体"/>
          <w:sz w:val="24"/>
          <w:u w:val="thick"/>
        </w:rPr>
      </w:pPr>
      <w:r>
        <w:rPr>
          <w:rFonts w:hint="eastAsia" w:ascii="宋体" w:hAnsi="宋体" w:cs="宋体"/>
          <w:sz w:val="24"/>
        </w:rPr>
        <w:t>地    址：</w:t>
      </w:r>
      <w:r>
        <w:rPr>
          <w:rFonts w:hint="eastAsia" w:ascii="宋体" w:hAnsi="宋体" w:cs="宋体"/>
          <w:sz w:val="24"/>
          <w:u w:val="single"/>
        </w:rPr>
        <w:t xml:space="preserve">                                                   </w:t>
      </w:r>
    </w:p>
    <w:p w14:paraId="411E69F3">
      <w:pPr>
        <w:spacing w:line="560" w:lineRule="exact"/>
        <w:ind w:firstLine="307" w:firstLineChars="128"/>
        <w:rPr>
          <w:rFonts w:hint="eastAsia"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6D355DC">
      <w:pPr>
        <w:spacing w:line="560" w:lineRule="exact"/>
        <w:ind w:firstLine="307" w:firstLineChars="128"/>
        <w:rPr>
          <w:rFonts w:hint="eastAsia" w:ascii="宋体" w:hAnsi="宋体" w:cs="宋体"/>
          <w:sz w:val="24"/>
        </w:rPr>
      </w:pPr>
      <w:r>
        <w:rPr>
          <w:rFonts w:hint="eastAsia" w:ascii="宋体" w:hAnsi="宋体" w:cs="宋体"/>
          <w:sz w:val="24"/>
        </w:rPr>
        <w:t>经营期限：</w:t>
      </w:r>
      <w:r>
        <w:rPr>
          <w:rFonts w:hint="eastAsia" w:ascii="宋体" w:hAnsi="宋体" w:cs="宋体"/>
          <w:sz w:val="24"/>
          <w:u w:val="single"/>
        </w:rPr>
        <w:t xml:space="preserve">                                                   </w:t>
      </w:r>
    </w:p>
    <w:p w14:paraId="3491C246">
      <w:pPr>
        <w:spacing w:line="560" w:lineRule="exact"/>
        <w:ind w:firstLine="307" w:firstLineChars="128"/>
        <w:rPr>
          <w:rFonts w:hint="eastAsia" w:ascii="宋体" w:hAnsi="宋体" w:cs="宋体"/>
          <w:sz w:val="24"/>
          <w:u w:val="thick"/>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 xml:space="preserve">        </w:t>
      </w:r>
    </w:p>
    <w:p w14:paraId="56D6B9BD">
      <w:pPr>
        <w:spacing w:line="560" w:lineRule="exact"/>
        <w:rPr>
          <w:rFonts w:hint="eastAsia" w:ascii="宋体" w:hAnsi="宋体" w:cs="宋体"/>
          <w:sz w:val="24"/>
          <w:u w:val="thick"/>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的法定代表人。</w:t>
      </w:r>
    </w:p>
    <w:p w14:paraId="06A07E5A">
      <w:pPr>
        <w:spacing w:line="560" w:lineRule="exact"/>
        <w:ind w:firstLine="307" w:firstLineChars="128"/>
        <w:rPr>
          <w:rFonts w:hint="eastAsia" w:ascii="宋体" w:hAnsi="宋体" w:cs="宋体"/>
          <w:sz w:val="24"/>
        </w:rPr>
      </w:pPr>
    </w:p>
    <w:p w14:paraId="561BEB61">
      <w:pPr>
        <w:spacing w:line="560" w:lineRule="exact"/>
        <w:ind w:firstLine="307" w:firstLineChars="128"/>
        <w:rPr>
          <w:rFonts w:hint="eastAsia" w:ascii="宋体" w:hAnsi="宋体" w:cs="宋体"/>
          <w:sz w:val="24"/>
        </w:rPr>
      </w:pPr>
      <w:r>
        <w:rPr>
          <w:rFonts w:hint="eastAsia" w:ascii="宋体" w:hAnsi="宋体" w:cs="宋体"/>
          <w:sz w:val="24"/>
        </w:rPr>
        <w:t>特此证明。</w:t>
      </w:r>
    </w:p>
    <w:p w14:paraId="0821DA48">
      <w:pPr>
        <w:spacing w:line="560" w:lineRule="exact"/>
        <w:rPr>
          <w:rFonts w:hint="eastAsia" w:ascii="宋体" w:hAnsi="宋体" w:cs="宋体"/>
          <w:sz w:val="24"/>
        </w:rPr>
      </w:pPr>
      <w:r>
        <w:rPr>
          <w:rFonts w:hint="eastAsia" w:ascii="宋体" w:hAnsi="宋体" w:cs="宋体"/>
          <w:sz w:val="24"/>
        </w:rPr>
        <w:t>（后附法定代表人身份证正反面）</w:t>
      </w:r>
    </w:p>
    <w:p w14:paraId="15BFC12B">
      <w:pPr>
        <w:pStyle w:val="16"/>
        <w:rPr>
          <w:rFonts w:hint="eastAsia" w:ascii="宋体" w:hAnsi="宋体" w:eastAsia="宋体" w:cs="宋体"/>
          <w:color w:val="auto"/>
        </w:rPr>
      </w:pPr>
    </w:p>
    <w:p w14:paraId="78624D42">
      <w:pPr>
        <w:spacing w:line="560" w:lineRule="exact"/>
        <w:rPr>
          <w:rFonts w:hint="eastAsia" w:ascii="宋体" w:hAnsi="宋体" w:cs="宋体"/>
          <w:sz w:val="24"/>
        </w:rPr>
      </w:pPr>
    </w:p>
    <w:p w14:paraId="6E3AD77B">
      <w:pPr>
        <w:autoSpaceDE w:val="0"/>
        <w:autoSpaceDN w:val="0"/>
        <w:adjustRightInd w:val="0"/>
        <w:jc w:val="center"/>
        <w:rPr>
          <w:rFonts w:hint="eastAsia" w:ascii="宋体" w:hAnsi="宋体" w:cs="宋体"/>
          <w:sz w:val="24"/>
          <w:u w:val="single"/>
          <w:lang w:val="zh-CN"/>
        </w:rPr>
      </w:pPr>
      <w:r>
        <w:rPr>
          <w:rFonts w:hint="eastAsia" w:ascii="宋体" w:hAnsi="宋体" w:cs="宋体"/>
          <w:sz w:val="24"/>
        </w:rPr>
        <w:t xml:space="preserve">                  投 标 单 位</w:t>
      </w:r>
      <w:r>
        <w:rPr>
          <w:rFonts w:hint="eastAsia" w:ascii="宋体" w:hAnsi="宋体" w:cs="宋体"/>
          <w:sz w:val="24"/>
          <w:lang w:val="zh-CN"/>
        </w:rPr>
        <w:t>：</w:t>
      </w:r>
      <w:r>
        <w:rPr>
          <w:rFonts w:hint="eastAsia" w:ascii="宋体" w:hAnsi="宋体" w:cs="宋体"/>
          <w:sz w:val="24"/>
          <w:u w:val="single"/>
        </w:rPr>
        <w:t xml:space="preserve">                             </w:t>
      </w:r>
      <w:r>
        <w:rPr>
          <w:rFonts w:hint="eastAsia" w:ascii="宋体" w:hAnsi="宋体" w:cs="宋体"/>
          <w:sz w:val="24"/>
          <w:lang w:val="zh-CN"/>
        </w:rPr>
        <w:t>（盖单位公章）</w:t>
      </w:r>
    </w:p>
    <w:p w14:paraId="62698949">
      <w:pPr>
        <w:autoSpaceDE w:val="0"/>
        <w:autoSpaceDN w:val="0"/>
        <w:adjustRightInd w:val="0"/>
        <w:rPr>
          <w:rFonts w:hint="eastAsia" w:ascii="宋体" w:hAnsi="宋体" w:cs="宋体"/>
          <w:sz w:val="24"/>
          <w:lang w:val="zh-CN"/>
        </w:rPr>
      </w:pPr>
    </w:p>
    <w:p w14:paraId="05C49C40">
      <w:pPr>
        <w:autoSpaceDE w:val="0"/>
        <w:autoSpaceDN w:val="0"/>
        <w:adjustRightInd w:val="0"/>
        <w:ind w:firstLine="2400" w:firstLineChars="1000"/>
        <w:rPr>
          <w:rFonts w:hint="eastAsia" w:ascii="宋体" w:hAnsi="宋体" w:cs="宋体"/>
          <w:sz w:val="24"/>
          <w:u w:val="single"/>
          <w:lang w:val="zh-CN"/>
        </w:rPr>
      </w:pPr>
      <w:r>
        <w:rPr>
          <w:rFonts w:hint="eastAsia" w:ascii="宋体" w:hAnsi="宋体" w:cs="宋体"/>
          <w:sz w:val="24"/>
          <w:lang w:val="zh-CN"/>
        </w:rPr>
        <w:t>法定代表人：</w:t>
      </w:r>
      <w:r>
        <w:rPr>
          <w:rFonts w:hint="eastAsia" w:ascii="宋体" w:hAnsi="宋体" w:cs="宋体"/>
          <w:sz w:val="24"/>
          <w:u w:val="single"/>
        </w:rPr>
        <w:t xml:space="preserve">                              </w:t>
      </w:r>
      <w:r>
        <w:rPr>
          <w:rFonts w:hint="eastAsia" w:ascii="宋体" w:hAnsi="宋体" w:cs="宋体"/>
          <w:sz w:val="24"/>
          <w:lang w:val="zh-CN"/>
        </w:rPr>
        <w:t>（签字或盖章）</w:t>
      </w:r>
    </w:p>
    <w:p w14:paraId="62AAF7D9">
      <w:pPr>
        <w:autoSpaceDE w:val="0"/>
        <w:autoSpaceDN w:val="0"/>
        <w:adjustRightInd w:val="0"/>
        <w:jc w:val="right"/>
        <w:rPr>
          <w:rFonts w:hint="eastAsia" w:ascii="宋体" w:hAnsi="宋体" w:cs="宋体"/>
          <w:sz w:val="24"/>
        </w:rPr>
      </w:pPr>
    </w:p>
    <w:p w14:paraId="53F32D4D">
      <w:pPr>
        <w:jc w:val="center"/>
        <w:rPr>
          <w:rFonts w:hint="eastAsia" w:ascii="宋体" w:hAnsi="宋体" w:cs="宋体"/>
          <w:sz w:val="28"/>
          <w:szCs w:val="28"/>
        </w:rPr>
      </w:pPr>
      <w:r>
        <w:rPr>
          <w:rFonts w:hint="eastAsia" w:ascii="宋体" w:hAnsi="宋体" w:cs="宋体"/>
          <w:sz w:val="24"/>
        </w:rPr>
        <w:t xml:space="preserve">          </w:t>
      </w:r>
      <w:r>
        <w:rPr>
          <w:rFonts w:hint="eastAsia" w:ascii="宋体" w:hAnsi="宋体" w:cs="宋体"/>
          <w:sz w:val="24"/>
          <w:lang w:val="zh-CN"/>
        </w:rPr>
        <w:t xml:space="preserve">日      </w:t>
      </w:r>
      <w:r>
        <w:rPr>
          <w:rFonts w:hint="eastAsia" w:ascii="宋体" w:hAnsi="宋体" w:cs="宋体"/>
          <w:sz w:val="24"/>
        </w:rPr>
        <w:t xml:space="preserve"> </w:t>
      </w:r>
      <w:r>
        <w:rPr>
          <w:rFonts w:hint="eastAsia" w:ascii="宋体" w:hAnsi="宋体" w:cs="宋体"/>
          <w:sz w:val="24"/>
          <w:lang w:val="zh-CN"/>
        </w:rPr>
        <w:t xml:space="preserve"> 期：</w:t>
      </w:r>
      <w:r>
        <w:rPr>
          <w:rFonts w:hint="eastAsia" w:ascii="宋体" w:hAnsi="宋体" w:cs="宋体"/>
          <w:sz w:val="24"/>
          <w:u w:val="single"/>
          <w:lang w:val="zh-CN"/>
        </w:rPr>
        <w:t xml:space="preserve">           </w:t>
      </w:r>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p>
    <w:p w14:paraId="331DCB46">
      <w:pPr>
        <w:tabs>
          <w:tab w:val="left" w:pos="210"/>
        </w:tabs>
        <w:spacing w:line="320" w:lineRule="exact"/>
        <w:jc w:val="center"/>
        <w:rPr>
          <w:rFonts w:hint="eastAsia" w:ascii="宋体" w:hAnsi="宋体" w:cs="宋体"/>
          <w:b/>
          <w:kern w:val="0"/>
          <w:sz w:val="32"/>
          <w:szCs w:val="32"/>
        </w:rPr>
      </w:pPr>
    </w:p>
    <w:p w14:paraId="190C1047">
      <w:pPr>
        <w:tabs>
          <w:tab w:val="left" w:pos="210"/>
        </w:tabs>
        <w:spacing w:line="320" w:lineRule="exact"/>
        <w:jc w:val="center"/>
        <w:rPr>
          <w:rFonts w:hint="eastAsia" w:ascii="宋体" w:hAnsi="宋体" w:cs="宋体"/>
          <w:b/>
          <w:kern w:val="0"/>
          <w:sz w:val="32"/>
          <w:szCs w:val="32"/>
        </w:rPr>
      </w:pPr>
    </w:p>
    <w:p w14:paraId="7ED93115">
      <w:pPr>
        <w:pStyle w:val="16"/>
        <w:rPr>
          <w:rFonts w:hint="eastAsia" w:ascii="宋体" w:hAnsi="宋体" w:eastAsia="宋体" w:cs="宋体"/>
          <w:b/>
          <w:color w:val="auto"/>
          <w:sz w:val="32"/>
          <w:szCs w:val="32"/>
        </w:rPr>
      </w:pPr>
    </w:p>
    <w:p w14:paraId="6D3CE2CB">
      <w:pPr>
        <w:pStyle w:val="16"/>
        <w:rPr>
          <w:rFonts w:hint="eastAsia" w:ascii="宋体" w:hAnsi="宋体" w:eastAsia="宋体" w:cs="宋体"/>
          <w:b/>
          <w:color w:val="auto"/>
          <w:sz w:val="32"/>
          <w:szCs w:val="32"/>
        </w:rPr>
      </w:pPr>
    </w:p>
    <w:p w14:paraId="53D582CD">
      <w:pPr>
        <w:tabs>
          <w:tab w:val="left" w:pos="210"/>
        </w:tabs>
        <w:spacing w:line="320" w:lineRule="exact"/>
        <w:jc w:val="center"/>
        <w:rPr>
          <w:rFonts w:hint="eastAsia" w:ascii="宋体" w:hAnsi="宋体" w:cs="宋体"/>
          <w:b/>
          <w:kern w:val="0"/>
          <w:sz w:val="32"/>
          <w:szCs w:val="32"/>
        </w:rPr>
      </w:pPr>
    </w:p>
    <w:p w14:paraId="4107D275">
      <w:pPr>
        <w:rPr>
          <w:rFonts w:hint="eastAsia" w:ascii="宋体" w:hAnsi="宋体" w:cs="宋体"/>
          <w:b/>
          <w:kern w:val="0"/>
          <w:sz w:val="32"/>
          <w:szCs w:val="32"/>
        </w:rPr>
      </w:pPr>
      <w:r>
        <w:rPr>
          <w:rFonts w:hint="eastAsia" w:ascii="宋体" w:hAnsi="宋体" w:cs="宋体"/>
          <w:b/>
          <w:kern w:val="0"/>
          <w:sz w:val="32"/>
          <w:szCs w:val="32"/>
        </w:rPr>
        <w:br w:type="page"/>
      </w:r>
    </w:p>
    <w:p w14:paraId="6421A021">
      <w:pPr>
        <w:tabs>
          <w:tab w:val="left" w:pos="210"/>
        </w:tabs>
        <w:spacing w:line="240" w:lineRule="auto"/>
        <w:jc w:val="center"/>
        <w:rPr>
          <w:rFonts w:hint="eastAsia" w:ascii="宋体" w:hAnsi="宋体" w:cs="宋体"/>
          <w:sz w:val="24"/>
        </w:rPr>
      </w:pPr>
      <w:r>
        <w:rPr>
          <w:rFonts w:hint="eastAsia" w:ascii="宋体" w:hAnsi="宋体" w:cs="宋体"/>
          <w:b/>
          <w:kern w:val="0"/>
          <w:sz w:val="32"/>
          <w:szCs w:val="32"/>
        </w:rPr>
        <w:t>法定代表人授权委托书</w:t>
      </w:r>
    </w:p>
    <w:p w14:paraId="7908F2B8">
      <w:pPr>
        <w:pStyle w:val="8"/>
        <w:spacing w:line="500" w:lineRule="exact"/>
        <w:rPr>
          <w:rFonts w:hint="eastAsia" w:hAnsi="宋体" w:cs="宋体"/>
          <w:b/>
          <w:bCs/>
          <w:sz w:val="24"/>
          <w:szCs w:val="24"/>
        </w:rPr>
      </w:pPr>
      <w:r>
        <w:rPr>
          <w:rFonts w:hint="eastAsia" w:hAnsi="宋体" w:cs="宋体"/>
          <w:sz w:val="24"/>
          <w:szCs w:val="24"/>
        </w:rPr>
        <w:t>铭森信达（陕西）项目管理有限公司：</w:t>
      </w:r>
    </w:p>
    <w:p w14:paraId="675469CA">
      <w:pPr>
        <w:pStyle w:val="8"/>
        <w:spacing w:line="500" w:lineRule="exact"/>
        <w:ind w:left="-120" w:leftChars="-57" w:firstLine="600" w:firstLineChars="250"/>
        <w:rPr>
          <w:rFonts w:hint="eastAsia" w:hAnsi="宋体" w:cs="宋体"/>
          <w:sz w:val="24"/>
          <w:szCs w:val="24"/>
        </w:rPr>
      </w:pPr>
      <w:r>
        <w:rPr>
          <w:rFonts w:hint="eastAsia" w:hAnsi="宋体" w:cs="宋体"/>
          <w:sz w:val="24"/>
          <w:szCs w:val="24"/>
        </w:rPr>
        <w:t>本授权书声明：注册于（</w:t>
      </w:r>
      <w:r>
        <w:rPr>
          <w:rFonts w:hint="eastAsia" w:hAnsi="宋体" w:cs="宋体"/>
          <w:sz w:val="24"/>
          <w:szCs w:val="24"/>
          <w:u w:val="single"/>
        </w:rPr>
        <w:t xml:space="preserve"> 工商行政管理局名称）之（委托单位全称） </w:t>
      </w:r>
      <w:r>
        <w:rPr>
          <w:rFonts w:hint="eastAsia" w:hAnsi="宋体" w:cs="宋体"/>
          <w:sz w:val="24"/>
          <w:szCs w:val="24"/>
        </w:rPr>
        <w:t>的法定代表人</w:t>
      </w:r>
      <w:r>
        <w:rPr>
          <w:rFonts w:hint="eastAsia" w:hAnsi="宋体" w:cs="宋体"/>
          <w:sz w:val="24"/>
          <w:szCs w:val="24"/>
          <w:u w:val="single"/>
        </w:rPr>
        <w:t>（姓名、性别）</w:t>
      </w:r>
      <w:r>
        <w:rPr>
          <w:rFonts w:hint="eastAsia" w:hAnsi="宋体" w:cs="宋体"/>
          <w:sz w:val="24"/>
          <w:szCs w:val="24"/>
        </w:rPr>
        <w:t>授权</w:t>
      </w:r>
      <w:r>
        <w:rPr>
          <w:rFonts w:hint="eastAsia" w:hAnsi="宋体" w:cs="宋体"/>
          <w:sz w:val="24"/>
        </w:rPr>
        <w:t>本公司的</w:t>
      </w:r>
      <w:r>
        <w:rPr>
          <w:rFonts w:hint="eastAsia" w:hAnsi="宋体" w:cs="宋体"/>
          <w:sz w:val="24"/>
          <w:szCs w:val="24"/>
          <w:u w:val="single"/>
        </w:rPr>
        <w:t>（被授权人姓名、性别、职务）</w:t>
      </w:r>
      <w:r>
        <w:rPr>
          <w:rFonts w:hint="eastAsia" w:hAnsi="宋体" w:cs="宋体"/>
          <w:sz w:val="24"/>
          <w:szCs w:val="24"/>
        </w:rPr>
        <w:t>为合法代理人，就贵方组织的有关</w:t>
      </w:r>
      <w:r>
        <w:rPr>
          <w:rFonts w:hint="eastAsia" w:hAnsi="宋体" w:cs="宋体"/>
          <w:sz w:val="24"/>
          <w:szCs w:val="24"/>
          <w:u w:val="single"/>
        </w:rPr>
        <w:t>（项目名称）</w:t>
      </w:r>
      <w:r>
        <w:rPr>
          <w:rFonts w:hint="eastAsia" w:hAnsi="宋体" w:cs="宋体"/>
          <w:sz w:val="24"/>
          <w:szCs w:val="24"/>
        </w:rPr>
        <w:t>（项目编号：</w:t>
      </w:r>
      <w:r>
        <w:rPr>
          <w:rFonts w:hint="eastAsia" w:hAnsi="宋体" w:cs="宋体"/>
          <w:sz w:val="24"/>
          <w:szCs w:val="24"/>
          <w:u w:val="single"/>
        </w:rPr>
        <w:t xml:space="preserve">                 </w:t>
      </w:r>
      <w:r>
        <w:rPr>
          <w:rFonts w:hint="eastAsia" w:hAnsi="宋体" w:cs="宋体"/>
          <w:sz w:val="24"/>
          <w:szCs w:val="24"/>
        </w:rPr>
        <w:t>）的投标、洽谈、执行等具体事务，签署全部有关投标文件、文书、协议、合同，本公司对被授权人在本项目中的签名承担全部法律责任。本授权书自开标大会之日起计算有效期为</w:t>
      </w:r>
      <w:r>
        <w:rPr>
          <w:rFonts w:hint="eastAsia" w:hAnsi="宋体" w:cs="宋体"/>
          <w:sz w:val="24"/>
          <w:szCs w:val="24"/>
          <w:u w:val="single"/>
        </w:rPr>
        <w:t xml:space="preserve">    </w:t>
      </w:r>
      <w:r>
        <w:rPr>
          <w:rFonts w:hint="eastAsia" w:hAnsi="宋体" w:cs="宋体"/>
          <w:sz w:val="24"/>
          <w:szCs w:val="24"/>
        </w:rPr>
        <w:t>天。</w:t>
      </w:r>
    </w:p>
    <w:p w14:paraId="2C6B486B">
      <w:pPr>
        <w:pStyle w:val="8"/>
        <w:spacing w:line="500" w:lineRule="exact"/>
        <w:ind w:firstLine="480" w:firstLineChars="200"/>
        <w:rPr>
          <w:rFonts w:hint="eastAsia" w:hAnsi="宋体" w:cs="宋体"/>
          <w:sz w:val="24"/>
          <w:szCs w:val="24"/>
        </w:rPr>
      </w:pPr>
      <w:r>
        <w:rPr>
          <w:rFonts w:hint="eastAsia" w:hAnsi="宋体" w:cs="宋体"/>
          <w:sz w:val="24"/>
          <w:szCs w:val="24"/>
        </w:rPr>
        <w:t>委托单位（公章）：</w:t>
      </w:r>
      <w:r>
        <w:rPr>
          <w:rFonts w:hint="eastAsia" w:hAnsi="宋体" w:cs="宋体"/>
          <w:sz w:val="24"/>
          <w:szCs w:val="24"/>
          <w:u w:val="single"/>
        </w:rPr>
        <w:t xml:space="preserve">                 </w:t>
      </w:r>
      <w:r>
        <w:rPr>
          <w:rFonts w:hint="eastAsia" w:hAnsi="宋体" w:cs="宋体"/>
          <w:sz w:val="24"/>
          <w:szCs w:val="24"/>
        </w:rPr>
        <w:t xml:space="preserve">   法定代表人（签字或盖章）：</w:t>
      </w:r>
      <w:r>
        <w:rPr>
          <w:rFonts w:hint="eastAsia" w:hAnsi="宋体" w:cs="宋体"/>
          <w:sz w:val="24"/>
          <w:szCs w:val="24"/>
          <w:u w:val="single"/>
        </w:rPr>
        <w:t xml:space="preserve">                 </w:t>
      </w:r>
    </w:p>
    <w:p w14:paraId="2AC60923">
      <w:pPr>
        <w:pStyle w:val="8"/>
        <w:spacing w:line="500" w:lineRule="exact"/>
        <w:ind w:firstLine="480" w:firstLineChars="200"/>
        <w:rPr>
          <w:rFonts w:hint="eastAsia" w:hAnsi="宋体" w:cs="宋体"/>
          <w:sz w:val="24"/>
          <w:szCs w:val="24"/>
        </w:rPr>
      </w:pPr>
      <w:r>
        <w:rPr>
          <w:rFonts w:hint="eastAsia" w:hAnsi="宋体" w:cs="宋体"/>
          <w:sz w:val="24"/>
          <w:szCs w:val="24"/>
        </w:rPr>
        <w:t>签发日期：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0A595C82">
      <w:pPr>
        <w:pStyle w:val="8"/>
        <w:spacing w:line="500" w:lineRule="exact"/>
        <w:ind w:firstLine="480" w:firstLineChars="200"/>
        <w:rPr>
          <w:rFonts w:hint="eastAsia" w:hAnsi="宋体" w:cs="宋体"/>
          <w:sz w:val="24"/>
          <w:szCs w:val="24"/>
        </w:rPr>
      </w:pPr>
      <w:r>
        <w:rPr>
          <w:rFonts w:hint="eastAsia" w:hAnsi="宋体" w:cs="宋体"/>
          <w:sz w:val="24"/>
          <w:szCs w:val="24"/>
        </w:rPr>
        <w:t>附：被授权人：</w:t>
      </w:r>
      <w:r>
        <w:rPr>
          <w:rFonts w:hint="eastAsia" w:hAnsi="宋体" w:cs="宋体"/>
          <w:sz w:val="24"/>
          <w:szCs w:val="24"/>
          <w:u w:val="single"/>
        </w:rPr>
        <w:t xml:space="preserve">             </w:t>
      </w:r>
      <w:r>
        <w:rPr>
          <w:rFonts w:hint="eastAsia" w:hAnsi="宋体" w:cs="宋体"/>
          <w:sz w:val="24"/>
          <w:szCs w:val="24"/>
        </w:rPr>
        <w:t>性别：</w:t>
      </w:r>
      <w:r>
        <w:rPr>
          <w:rFonts w:hint="eastAsia" w:hAnsi="宋体" w:cs="宋体"/>
          <w:sz w:val="24"/>
          <w:szCs w:val="24"/>
          <w:u w:val="single"/>
        </w:rPr>
        <w:t xml:space="preserve">            </w:t>
      </w:r>
      <w:r>
        <w:rPr>
          <w:rFonts w:hint="eastAsia" w:hAnsi="宋体" w:cs="宋体"/>
          <w:sz w:val="24"/>
          <w:szCs w:val="24"/>
        </w:rPr>
        <w:t>职务：</w:t>
      </w:r>
      <w:r>
        <w:rPr>
          <w:rFonts w:hint="eastAsia" w:hAnsi="宋体" w:cs="宋体"/>
          <w:sz w:val="24"/>
          <w:szCs w:val="24"/>
          <w:u w:val="single"/>
        </w:rPr>
        <w:t xml:space="preserve">           </w:t>
      </w:r>
    </w:p>
    <w:p w14:paraId="213EA412">
      <w:pPr>
        <w:pStyle w:val="8"/>
        <w:spacing w:line="500" w:lineRule="exact"/>
        <w:ind w:firstLine="960" w:firstLineChars="400"/>
        <w:rPr>
          <w:rFonts w:hint="eastAsia" w:hAnsi="宋体" w:cs="宋体"/>
          <w:sz w:val="24"/>
          <w:szCs w:val="24"/>
          <w:u w:val="single"/>
        </w:rPr>
      </w:pPr>
      <w:r>
        <w:rPr>
          <w:rFonts w:hint="eastAsia" w:hAnsi="宋体" w:cs="宋体"/>
          <w:sz w:val="24"/>
          <w:szCs w:val="24"/>
        </w:rPr>
        <w:t>联系地址：</w:t>
      </w:r>
      <w:r>
        <w:rPr>
          <w:rFonts w:hint="eastAsia" w:hAnsi="宋体" w:cs="宋体"/>
          <w:sz w:val="24"/>
          <w:szCs w:val="24"/>
          <w:u w:val="single"/>
        </w:rPr>
        <w:t xml:space="preserve">                                      </w:t>
      </w:r>
    </w:p>
    <w:p w14:paraId="7B290CE5">
      <w:pPr>
        <w:pStyle w:val="8"/>
        <w:spacing w:line="500" w:lineRule="exact"/>
        <w:ind w:firstLine="960" w:firstLineChars="400"/>
        <w:rPr>
          <w:rFonts w:hint="eastAsia" w:hAnsi="宋体" w:cs="宋体"/>
          <w:sz w:val="24"/>
          <w:szCs w:val="24"/>
        </w:rPr>
      </w:pPr>
      <w:r>
        <w:rPr>
          <w:rFonts w:hint="eastAsia" w:hAnsi="宋体" w:cs="宋体"/>
          <w:sz w:val="24"/>
          <w:szCs w:val="24"/>
        </w:rPr>
        <w:t>联系电话：</w:t>
      </w:r>
      <w:r>
        <w:rPr>
          <w:rFonts w:hint="eastAsia" w:hAnsi="宋体" w:cs="宋体"/>
          <w:sz w:val="24"/>
          <w:szCs w:val="24"/>
          <w:u w:val="single"/>
        </w:rPr>
        <w:t xml:space="preserve">                      </w:t>
      </w:r>
      <w:r>
        <w:rPr>
          <w:rFonts w:hint="eastAsia" w:hAnsi="宋体" w:cs="宋体"/>
          <w:sz w:val="24"/>
          <w:szCs w:val="24"/>
        </w:rPr>
        <w:t>传真：</w:t>
      </w:r>
      <w:r>
        <w:rPr>
          <w:rFonts w:hint="eastAsia" w:hAnsi="宋体" w:cs="宋体"/>
          <w:sz w:val="24"/>
          <w:szCs w:val="24"/>
          <w:u w:val="single"/>
        </w:rPr>
        <w:t xml:space="preserve">                 </w:t>
      </w:r>
    </w:p>
    <w:tbl>
      <w:tblPr>
        <w:tblStyle w:val="18"/>
        <w:tblW w:w="8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13"/>
        <w:gridCol w:w="4213"/>
      </w:tblGrid>
      <w:tr w14:paraId="41BDF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213" w:type="dxa"/>
            <w:shd w:val="clear" w:color="auto" w:fill="E0E0E0"/>
            <w:vAlign w:val="center"/>
          </w:tcPr>
          <w:p w14:paraId="70E09C88">
            <w:pPr>
              <w:pStyle w:val="8"/>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w:t>
            </w:r>
          </w:p>
        </w:tc>
        <w:tc>
          <w:tcPr>
            <w:tcW w:w="4213" w:type="dxa"/>
            <w:shd w:val="clear" w:color="auto" w:fill="E0E0E0"/>
            <w:vAlign w:val="center"/>
          </w:tcPr>
          <w:p w14:paraId="73E20A9C">
            <w:pPr>
              <w:pStyle w:val="8"/>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w:t>
            </w:r>
          </w:p>
        </w:tc>
      </w:tr>
      <w:tr w14:paraId="394C4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792" w:hRule="atLeast"/>
          <w:jc w:val="center"/>
        </w:trPr>
        <w:tc>
          <w:tcPr>
            <w:tcW w:w="4213" w:type="dxa"/>
            <w:shd w:val="clear" w:color="auto" w:fill="E0E0E0"/>
            <w:vAlign w:val="center"/>
          </w:tcPr>
          <w:p w14:paraId="2EC3BCAE">
            <w:pPr>
              <w:pStyle w:val="8"/>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w:t>
            </w:r>
          </w:p>
        </w:tc>
        <w:tc>
          <w:tcPr>
            <w:tcW w:w="4213" w:type="dxa"/>
            <w:shd w:val="clear" w:color="auto" w:fill="E0E0E0"/>
            <w:vAlign w:val="center"/>
          </w:tcPr>
          <w:p w14:paraId="262A214D">
            <w:pPr>
              <w:pStyle w:val="8"/>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w:t>
            </w:r>
          </w:p>
        </w:tc>
      </w:tr>
    </w:tbl>
    <w:p w14:paraId="3D9BD1BE">
      <w:pPr>
        <w:pStyle w:val="8"/>
        <w:spacing w:line="500" w:lineRule="exact"/>
        <w:ind w:firstLine="240" w:firstLineChars="100"/>
        <w:rPr>
          <w:rFonts w:hint="eastAsia" w:hAnsi="宋体" w:cs="宋体"/>
          <w:sz w:val="24"/>
          <w:szCs w:val="24"/>
        </w:rPr>
      </w:pPr>
      <w:r>
        <w:rPr>
          <w:rFonts w:hint="eastAsia" w:hAnsi="宋体" w:cs="宋体"/>
          <w:sz w:val="24"/>
          <w:szCs w:val="24"/>
        </w:rPr>
        <w:t>说明：授权书内容填写要明确，文字要工整清楚，涂改无效。</w:t>
      </w:r>
    </w:p>
    <w:p w14:paraId="1DCA3094">
      <w:pPr>
        <w:pStyle w:val="8"/>
        <w:spacing w:line="460" w:lineRule="exact"/>
        <w:ind w:firstLine="720" w:firstLineChars="300"/>
        <w:rPr>
          <w:rFonts w:hint="eastAsia" w:hAnsi="宋体" w:cs="宋体"/>
          <w:sz w:val="24"/>
          <w:szCs w:val="24"/>
        </w:rPr>
      </w:pPr>
    </w:p>
    <w:p w14:paraId="70B66D56">
      <w:pPr>
        <w:pStyle w:val="8"/>
        <w:spacing w:line="460" w:lineRule="exact"/>
        <w:ind w:firstLine="720" w:firstLineChars="300"/>
        <w:rPr>
          <w:rFonts w:hint="eastAsia" w:hAnsi="宋体" w:cs="宋体"/>
          <w:sz w:val="24"/>
          <w:szCs w:val="24"/>
        </w:rPr>
      </w:pPr>
    </w:p>
    <w:p w14:paraId="4B5C39A0">
      <w:pPr>
        <w:jc w:val="center"/>
        <w:rPr>
          <w:rFonts w:hint="eastAsia" w:ascii="宋体" w:hAnsi="宋体" w:cs="宋体"/>
          <w:b/>
          <w:sz w:val="32"/>
          <w:szCs w:val="32"/>
        </w:rPr>
      </w:pPr>
      <w:r>
        <w:rPr>
          <w:rFonts w:hint="eastAsia" w:ascii="宋体" w:hAnsi="宋体" w:cs="宋体"/>
          <w:b/>
          <w:sz w:val="32"/>
          <w:szCs w:val="32"/>
        </w:rPr>
        <w:t>第四部分   资格证明文件</w:t>
      </w:r>
    </w:p>
    <w:p w14:paraId="2C1B9DB8">
      <w:pPr>
        <w:pStyle w:val="14"/>
        <w:widowControl/>
        <w:wordWrap w:val="0"/>
        <w:spacing w:before="0" w:beforeAutospacing="0" w:after="0" w:afterAutospacing="0" w:line="360" w:lineRule="auto"/>
        <w:ind w:left="480"/>
        <w:jc w:val="both"/>
        <w:rPr>
          <w:rFonts w:hint="eastAsia" w:ascii="宋体" w:hAnsi="宋体" w:cs="宋体"/>
          <w:color w:val="333333"/>
          <w:szCs w:val="24"/>
          <w:shd w:val="clear" w:color="auto" w:fill="FFFFFF"/>
        </w:rPr>
      </w:pPr>
    </w:p>
    <w:p w14:paraId="3A7E7994">
      <w:pPr>
        <w:rPr>
          <w:rFonts w:hint="eastAsia" w:ascii="宋体" w:hAnsi="宋体" w:cs="宋体"/>
          <w:b/>
          <w:sz w:val="32"/>
          <w:szCs w:val="32"/>
        </w:rPr>
      </w:pPr>
      <w:r>
        <w:rPr>
          <w:rFonts w:hint="eastAsia" w:ascii="宋体" w:hAnsi="宋体" w:cs="宋体"/>
          <w:color w:val="333333"/>
          <w:sz w:val="24"/>
          <w:shd w:val="clear" w:color="auto" w:fill="FFFFFF"/>
        </w:rPr>
        <w:t>①具有独立承担民事责任能力的法人或其他组织，提供合法有效的统一社会信用代码的营业执照（附年度报告书）或事业单位法人证书等国家规定的相关证明，自然人参与的提供其身份证明；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cs="宋体"/>
          <w:color w:val="333333"/>
          <w:sz w:val="24"/>
          <w:shd w:val="clear" w:color="auto" w:fill="FFFFFF"/>
        </w:rPr>
        <w:br w:type="textWrapping"/>
      </w:r>
      <w:r>
        <w:rPr>
          <w:rFonts w:hint="eastAsia" w:ascii="宋体" w:hAnsi="宋体" w:cs="宋体"/>
          <w:color w:val="333333"/>
          <w:sz w:val="24"/>
          <w:shd w:val="clear" w:color="auto" w:fill="FFFFFF"/>
        </w:rPr>
        <w:t>②法定代表人授权书（附法定代表人身份证复印件）及被授权人身份证（法定代表人直接参加只须提供法定代表人身份证）；</w:t>
      </w:r>
      <w:r>
        <w:rPr>
          <w:rFonts w:hint="eastAsia" w:ascii="宋体" w:hAnsi="宋体" w:cs="宋体"/>
          <w:color w:val="333333"/>
          <w:sz w:val="24"/>
          <w:shd w:val="clear" w:color="auto" w:fill="FFFFFF"/>
        </w:rPr>
        <w:br w:type="textWrapping"/>
      </w:r>
      <w:r>
        <w:rPr>
          <w:rFonts w:hint="eastAsia" w:ascii="宋体" w:hAnsi="宋体" w:cs="宋体"/>
          <w:color w:val="333333"/>
          <w:sz w:val="24"/>
          <w:shd w:val="clear" w:color="auto" w:fill="FFFFFF"/>
        </w:rPr>
        <w:t>③财务状况报告：提供2025年度的财务审计报告(成立时间至提交投标文件截止时间不足一年的可提供成立后任意时段的资产负债表),或其基本存款账户开户银行出具的资信证明及基本存款账户开户信息；</w:t>
      </w:r>
      <w:r>
        <w:rPr>
          <w:rFonts w:hint="eastAsia" w:ascii="宋体" w:hAnsi="宋体" w:cs="宋体"/>
          <w:color w:val="333333"/>
          <w:sz w:val="24"/>
          <w:shd w:val="clear" w:color="auto" w:fill="FFFFFF"/>
        </w:rPr>
        <w:br w:type="textWrapping"/>
      </w:r>
      <w:r>
        <w:rPr>
          <w:rFonts w:hint="eastAsia" w:ascii="宋体" w:hAnsi="宋体" w:cs="宋体"/>
          <w:color w:val="333333"/>
          <w:sz w:val="24"/>
          <w:shd w:val="clear" w:color="auto" w:fill="FFFFFF"/>
        </w:rPr>
        <w:t>④社会保障资金缴纳证明：提供2025年05月份至2026年05月份任意一个月份的社会保障资金缴存证明或社保机构开具的社会保险参保缴费情况证明；依法不需要缴纳社会保障资金的应提供相关文件证明；</w:t>
      </w:r>
      <w:r>
        <w:rPr>
          <w:rFonts w:hint="eastAsia" w:ascii="宋体" w:hAnsi="宋体" w:cs="宋体"/>
          <w:color w:val="333333"/>
          <w:sz w:val="24"/>
          <w:shd w:val="clear" w:color="auto" w:fill="FFFFFF"/>
        </w:rPr>
        <w:br w:type="textWrapping"/>
      </w:r>
      <w:r>
        <w:rPr>
          <w:rFonts w:hint="eastAsia" w:ascii="宋体" w:hAnsi="宋体" w:cs="宋体"/>
          <w:color w:val="333333"/>
          <w:sz w:val="24"/>
          <w:shd w:val="clear" w:color="auto" w:fill="FFFFFF"/>
        </w:rPr>
        <w:t>⑤税收缴纳证明：提供已缴纳的2025年05月份至2026年05月份任意一个月份的缴税凭证；依法免税的投标人应提供相关文件证明；</w:t>
      </w:r>
      <w:r>
        <w:rPr>
          <w:rFonts w:hint="eastAsia" w:ascii="宋体" w:hAnsi="宋体" w:cs="宋体"/>
          <w:color w:val="333333"/>
          <w:sz w:val="24"/>
          <w:shd w:val="clear" w:color="auto" w:fill="FFFFFF"/>
        </w:rPr>
        <w:br w:type="textWrapping"/>
      </w:r>
      <w:r>
        <w:rPr>
          <w:rFonts w:hint="eastAsia" w:ascii="宋体" w:hAnsi="宋体" w:cs="宋体"/>
          <w:color w:val="333333"/>
          <w:sz w:val="24"/>
          <w:shd w:val="clear" w:color="auto" w:fill="FFFFFF"/>
        </w:rPr>
        <w:t>⑥信用记录：提供《供应商信用记录书面声明函》（按格式填写），经查，投标单位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cs="宋体"/>
          <w:color w:val="333333"/>
          <w:sz w:val="24"/>
          <w:shd w:val="clear" w:color="auto" w:fill="FFFFFF"/>
        </w:rPr>
        <w:br w:type="textWrapping"/>
      </w:r>
      <w:r>
        <w:rPr>
          <w:rFonts w:hint="eastAsia" w:ascii="宋体" w:hAnsi="宋体" w:cs="宋体"/>
          <w:color w:val="333333"/>
          <w:sz w:val="24"/>
          <w:shd w:val="clear" w:color="auto" w:fill="FFFFFF"/>
        </w:rPr>
        <w:t>⑦本项目不接受联合体投标，投标单位须提供非联合体投标声明函（按格式填写）。</w:t>
      </w:r>
      <w:r>
        <w:rPr>
          <w:rFonts w:hint="eastAsia" w:ascii="宋体" w:hAnsi="宋体" w:cs="宋体"/>
          <w:b/>
          <w:sz w:val="32"/>
          <w:szCs w:val="32"/>
        </w:rPr>
        <w:br w:type="page"/>
      </w:r>
    </w:p>
    <w:p w14:paraId="210B0586">
      <w:pPr>
        <w:rPr>
          <w:rFonts w:hint="eastAsia" w:ascii="宋体" w:hAnsi="宋体" w:cs="宋体"/>
          <w:b/>
          <w:sz w:val="24"/>
        </w:rPr>
      </w:pPr>
      <w:r>
        <w:rPr>
          <w:rFonts w:hint="eastAsia" w:ascii="宋体" w:hAnsi="宋体" w:cs="宋体"/>
          <w:b/>
          <w:sz w:val="24"/>
        </w:rPr>
        <w:t>附件1：</w:t>
      </w:r>
    </w:p>
    <w:p w14:paraId="3EDFA897">
      <w:pPr>
        <w:pStyle w:val="6"/>
        <w:spacing w:before="97" w:line="360" w:lineRule="auto"/>
        <w:ind w:left="2734"/>
        <w:rPr>
          <w:rFonts w:hint="eastAsia" w:ascii="宋体" w:hAnsi="宋体" w:cs="宋体"/>
          <w:color w:val="auto"/>
          <w:sz w:val="28"/>
          <w:szCs w:val="28"/>
        </w:rPr>
      </w:pPr>
      <w:r>
        <w:rPr>
          <w:rFonts w:hint="eastAsia" w:ascii="宋体" w:hAnsi="宋体" w:cs="宋体"/>
          <w:b/>
          <w:bCs/>
          <w:color w:val="auto"/>
          <w:sz w:val="28"/>
          <w:szCs w:val="28"/>
        </w:rPr>
        <w:t>供应商信用记录书面声明函</w:t>
      </w:r>
    </w:p>
    <w:p w14:paraId="25538A90">
      <w:pPr>
        <w:pStyle w:val="6"/>
        <w:spacing w:before="191" w:line="360" w:lineRule="auto"/>
        <w:ind w:left="17"/>
        <w:rPr>
          <w:rFonts w:hint="eastAsia" w:ascii="宋体" w:hAnsi="宋体" w:cs="宋体"/>
          <w:color w:val="auto"/>
        </w:rPr>
      </w:pPr>
      <w:r>
        <w:rPr>
          <w:rFonts w:hint="eastAsia" w:ascii="宋体" w:hAnsi="宋体" w:cs="宋体"/>
          <w:color w:val="auto"/>
        </w:rPr>
        <w:t>铭森信达（陕西）项目管理有限公司：</w:t>
      </w:r>
    </w:p>
    <w:p w14:paraId="10F78AC3">
      <w:pPr>
        <w:pStyle w:val="6"/>
        <w:spacing w:before="127" w:line="360" w:lineRule="auto"/>
        <w:ind w:left="27" w:right="147" w:firstLine="571"/>
        <w:rPr>
          <w:rFonts w:hint="eastAsia" w:ascii="宋体" w:hAnsi="宋体" w:cs="宋体"/>
          <w:color w:val="auto"/>
        </w:rPr>
      </w:pPr>
      <w:r>
        <w:rPr>
          <w:rFonts w:hint="eastAsia" w:ascii="宋体" w:hAnsi="宋体" w:cs="宋体"/>
          <w:color w:val="auto"/>
        </w:rPr>
        <w:t xml:space="preserve">我方作为《 </w:t>
      </w:r>
      <w:r>
        <w:rPr>
          <w:rFonts w:hint="eastAsia" w:ascii="宋体" w:hAnsi="宋体" w:cs="宋体"/>
          <w:color w:val="auto"/>
          <w:u w:val="single"/>
        </w:rPr>
        <w:t xml:space="preserve"> 项目名称  </w:t>
      </w:r>
      <w:r>
        <w:rPr>
          <w:rFonts w:hint="eastAsia" w:ascii="宋体" w:hAnsi="宋体" w:cs="宋体"/>
          <w:color w:val="auto"/>
        </w:rPr>
        <w:t>》 （项目编号：</w:t>
      </w:r>
      <w:r>
        <w:rPr>
          <w:rFonts w:hint="eastAsia" w:ascii="宋体" w:hAnsi="宋体" w:cs="宋体"/>
          <w:color w:val="auto"/>
          <w:u w:val="single"/>
        </w:rPr>
        <w:t xml:space="preserve">    </w:t>
      </w:r>
      <w:r>
        <w:rPr>
          <w:rFonts w:hint="eastAsia" w:ascii="宋体" w:hAnsi="宋体" w:cs="宋体"/>
          <w:color w:val="auto"/>
        </w:rPr>
        <w:t>）的供应商 ，在此郑重声明：</w:t>
      </w:r>
    </w:p>
    <w:p w14:paraId="03930328">
      <w:pPr>
        <w:pStyle w:val="6"/>
        <w:spacing w:before="65" w:line="360" w:lineRule="auto"/>
        <w:ind w:left="23" w:firstLine="574"/>
        <w:rPr>
          <w:rFonts w:hint="eastAsia" w:ascii="宋体" w:hAnsi="宋体" w:cs="宋体"/>
          <w:color w:val="auto"/>
        </w:rPr>
      </w:pPr>
      <w:r>
        <w:rPr>
          <w:rFonts w:hint="eastAsia" w:ascii="宋体" w:hAnsi="宋体" w:cs="宋体"/>
          <w:color w:val="auto"/>
        </w:rPr>
        <w:t xml:space="preserve">1.在参加本次政府采购活动前 3 年内的经营活动中 </w:t>
      </w:r>
      <w:r>
        <w:rPr>
          <w:rFonts w:hint="eastAsia" w:ascii="宋体" w:hAnsi="宋体" w:cs="宋体"/>
          <w:color w:val="auto"/>
          <w:u w:val="single"/>
        </w:rPr>
        <w:t xml:space="preserve">    </w:t>
      </w:r>
      <w:r>
        <w:rPr>
          <w:rFonts w:hint="eastAsia" w:ascii="宋体" w:hAnsi="宋体" w:cs="宋体"/>
          <w:color w:val="auto"/>
        </w:rPr>
        <w:t>（填 “没有”或 “有”）重大违法记录。</w:t>
      </w:r>
      <w:r>
        <w:rPr>
          <w:rFonts w:hint="eastAsia" w:ascii="宋体" w:hAnsi="宋体" w:cs="宋体"/>
          <w:b/>
          <w:bCs/>
          <w:color w:val="auto"/>
        </w:rPr>
        <w:t>供应商在参加政府采购活动前</w:t>
      </w:r>
      <w:r>
        <w:rPr>
          <w:rFonts w:hint="eastAsia" w:ascii="宋体" w:hAnsi="宋体" w:cs="宋体"/>
          <w:color w:val="auto"/>
        </w:rPr>
        <w:t xml:space="preserve"> </w:t>
      </w:r>
      <w:r>
        <w:rPr>
          <w:rFonts w:hint="eastAsia" w:ascii="宋体" w:hAnsi="宋体" w:cs="宋体"/>
          <w:b/>
          <w:bCs/>
          <w:color w:val="auto"/>
        </w:rPr>
        <w:t>3</w:t>
      </w:r>
      <w:r>
        <w:rPr>
          <w:rFonts w:hint="eastAsia" w:ascii="宋体" w:hAnsi="宋体" w:cs="宋体"/>
          <w:color w:val="auto"/>
        </w:rPr>
        <w:t xml:space="preserve"> </w:t>
      </w:r>
      <w:r>
        <w:rPr>
          <w:rFonts w:hint="eastAsia" w:ascii="宋体" w:hAnsi="宋体" w:cs="宋体"/>
          <w:b/>
          <w:bCs/>
          <w:color w:val="auto"/>
        </w:rPr>
        <w:t>年内因违法经</w:t>
      </w:r>
      <w:r>
        <w:rPr>
          <w:rFonts w:hint="eastAsia" w:ascii="宋体" w:hAnsi="宋体" w:cs="宋体"/>
          <w:color w:val="auto"/>
        </w:rPr>
        <w:t xml:space="preserve">  </w:t>
      </w:r>
      <w:r>
        <w:rPr>
          <w:rFonts w:hint="eastAsia" w:ascii="宋体" w:hAnsi="宋体" w:cs="宋体"/>
          <w:b/>
          <w:bCs/>
          <w:color w:val="auto"/>
        </w:rPr>
        <w:t>营被禁止在一定期限内参加政府采购活动，期限届满的，可以参加政府采</w:t>
      </w:r>
      <w:r>
        <w:rPr>
          <w:rFonts w:hint="eastAsia" w:ascii="宋体" w:hAnsi="宋体" w:cs="宋体"/>
          <w:color w:val="auto"/>
        </w:rPr>
        <w:t xml:space="preserve">  </w:t>
      </w:r>
      <w:r>
        <w:rPr>
          <w:rFonts w:hint="eastAsia" w:ascii="宋体" w:hAnsi="宋体" w:cs="宋体"/>
          <w:b/>
          <w:bCs/>
          <w:color w:val="auto"/>
        </w:rPr>
        <w:t>购活动，但应提供期限届满的证明材料。</w:t>
      </w:r>
    </w:p>
    <w:p w14:paraId="39ECBE5E">
      <w:pPr>
        <w:pStyle w:val="6"/>
        <w:spacing w:before="54" w:line="360" w:lineRule="auto"/>
        <w:ind w:left="573"/>
        <w:rPr>
          <w:rFonts w:hint="eastAsia" w:ascii="宋体" w:hAnsi="宋体" w:cs="宋体"/>
          <w:color w:val="auto"/>
        </w:rPr>
      </w:pPr>
      <w:r>
        <w:rPr>
          <w:rFonts w:hint="eastAsia" w:ascii="宋体" w:hAnsi="宋体" w:cs="宋体"/>
          <w:color w:val="auto"/>
        </w:rPr>
        <w:t xml:space="preserve">2.我方 </w:t>
      </w:r>
      <w:r>
        <w:rPr>
          <w:rFonts w:hint="eastAsia" w:ascii="宋体" w:hAnsi="宋体" w:cs="宋体"/>
          <w:color w:val="auto"/>
          <w:u w:val="single"/>
        </w:rPr>
        <w:t xml:space="preserve">      </w:t>
      </w:r>
      <w:r>
        <w:rPr>
          <w:rFonts w:hint="eastAsia" w:ascii="宋体" w:hAnsi="宋体" w:cs="宋体"/>
          <w:color w:val="auto"/>
        </w:rPr>
        <w:t>（填 “未被列入”或 “被列入”）</w:t>
      </w:r>
      <w:r>
        <w:rPr>
          <w:rFonts w:hint="eastAsia" w:ascii="宋体" w:hAnsi="宋体" w:cs="宋体"/>
          <w:color w:val="333333"/>
          <w:shd w:val="clear" w:color="auto" w:fill="FFFFFF"/>
        </w:rPr>
        <w:t>严重失信主体</w:t>
      </w:r>
      <w:r>
        <w:rPr>
          <w:rFonts w:hint="eastAsia" w:ascii="宋体" w:hAnsi="宋体" w:cs="宋体"/>
          <w:color w:val="auto"/>
        </w:rPr>
        <w:t>名单。</w:t>
      </w:r>
    </w:p>
    <w:p w14:paraId="4A4FF5C3">
      <w:pPr>
        <w:pStyle w:val="6"/>
        <w:spacing w:before="85" w:line="360" w:lineRule="auto"/>
        <w:ind w:left="11" w:right="147" w:firstLine="569"/>
        <w:rPr>
          <w:rFonts w:hint="eastAsia" w:ascii="宋体" w:hAnsi="宋体" w:cs="宋体"/>
          <w:color w:val="auto"/>
        </w:rPr>
      </w:pPr>
      <w:r>
        <w:rPr>
          <w:rFonts w:hint="eastAsia" w:ascii="宋体" w:hAnsi="宋体" w:cs="宋体"/>
          <w:color w:val="auto"/>
        </w:rPr>
        <w:t xml:space="preserve">3.我方 </w:t>
      </w:r>
      <w:r>
        <w:rPr>
          <w:rFonts w:hint="eastAsia" w:ascii="宋体" w:hAnsi="宋体" w:cs="宋体"/>
          <w:color w:val="auto"/>
          <w:u w:val="single"/>
        </w:rPr>
        <w:t xml:space="preserve">      </w:t>
      </w:r>
      <w:r>
        <w:rPr>
          <w:rFonts w:hint="eastAsia" w:ascii="宋体" w:hAnsi="宋体" w:cs="宋体"/>
          <w:color w:val="auto"/>
        </w:rPr>
        <w:t>（填 “未被列入”或 “被列入”） 重大税收违法失信主体名单。</w:t>
      </w:r>
    </w:p>
    <w:p w14:paraId="78941CF8">
      <w:pPr>
        <w:pStyle w:val="6"/>
        <w:spacing w:before="53" w:line="360" w:lineRule="auto"/>
        <w:ind w:left="15" w:right="147" w:firstLine="560"/>
        <w:rPr>
          <w:rFonts w:hint="eastAsia" w:ascii="宋体" w:hAnsi="宋体" w:cs="宋体"/>
          <w:color w:val="auto"/>
        </w:rPr>
      </w:pPr>
      <w:r>
        <w:rPr>
          <w:rFonts w:hint="eastAsia" w:ascii="宋体" w:hAnsi="宋体" w:cs="宋体"/>
          <w:color w:val="auto"/>
        </w:rPr>
        <w:t xml:space="preserve">4.我方 </w:t>
      </w:r>
      <w:r>
        <w:rPr>
          <w:rFonts w:hint="eastAsia" w:ascii="宋体" w:hAnsi="宋体" w:cs="宋体"/>
          <w:color w:val="auto"/>
          <w:u w:val="single"/>
        </w:rPr>
        <w:t xml:space="preserve">      </w:t>
      </w:r>
      <w:r>
        <w:rPr>
          <w:rFonts w:hint="eastAsia" w:ascii="宋体" w:hAnsi="宋体" w:cs="宋体"/>
          <w:color w:val="auto"/>
        </w:rPr>
        <w:t>（填 “未被列入”或 “被列入”）政府采购严重违法失信行为记录名单。</w:t>
      </w:r>
    </w:p>
    <w:p w14:paraId="65283BD8">
      <w:pPr>
        <w:pStyle w:val="6"/>
        <w:spacing w:before="115" w:line="360" w:lineRule="auto"/>
        <w:ind w:left="23" w:right="140" w:firstLine="561"/>
        <w:rPr>
          <w:rFonts w:hint="eastAsia" w:ascii="宋体" w:hAnsi="宋体" w:cs="宋体"/>
          <w:color w:val="auto"/>
        </w:rPr>
      </w:pPr>
      <w:r>
        <w:rPr>
          <w:rFonts w:hint="eastAsia" w:ascii="宋体" w:hAnsi="宋体" w:cs="宋体"/>
          <w:color w:val="auto"/>
        </w:rPr>
        <w:t>如有不实，我方将无条件地退出本项 目的采购活动，并遵照《政府采购法》有关 “提供虚假材料的规定”接受处罚。</w:t>
      </w:r>
    </w:p>
    <w:p w14:paraId="538CC115">
      <w:pPr>
        <w:pStyle w:val="6"/>
        <w:spacing w:before="50" w:line="360" w:lineRule="auto"/>
        <w:ind w:left="585"/>
        <w:rPr>
          <w:rFonts w:hint="eastAsia" w:ascii="宋体" w:hAnsi="宋体" w:cs="宋体"/>
          <w:color w:val="auto"/>
        </w:rPr>
      </w:pPr>
      <w:r>
        <w:rPr>
          <w:rFonts w:hint="eastAsia" w:ascii="宋体" w:hAnsi="宋体" w:cs="宋体"/>
          <w:color w:val="auto"/>
        </w:rPr>
        <w:t>特此声明。</w:t>
      </w:r>
    </w:p>
    <w:p w14:paraId="59D826E2">
      <w:pPr>
        <w:pStyle w:val="6"/>
        <w:spacing w:before="108" w:line="360" w:lineRule="auto"/>
        <w:ind w:left="4845"/>
        <w:rPr>
          <w:rFonts w:hint="eastAsia" w:ascii="宋体" w:hAnsi="宋体" w:cs="宋体"/>
          <w:color w:val="auto"/>
        </w:rPr>
      </w:pPr>
      <w:r>
        <w:rPr>
          <w:rFonts w:hint="eastAsia" w:ascii="宋体" w:hAnsi="宋体" w:cs="宋体"/>
          <w:color w:val="auto"/>
        </w:rPr>
        <w:t>投标人：</w:t>
      </w:r>
      <w:r>
        <w:rPr>
          <w:rFonts w:hint="eastAsia" w:ascii="宋体" w:hAnsi="宋体" w:cs="宋体"/>
          <w:color w:val="auto"/>
          <w:u w:val="single"/>
        </w:rPr>
        <w:t xml:space="preserve"> 名称 </w:t>
      </w:r>
      <w:r>
        <w:rPr>
          <w:rFonts w:hint="eastAsia" w:ascii="宋体" w:hAnsi="宋体" w:cs="宋体"/>
          <w:color w:val="auto"/>
        </w:rPr>
        <w:t>（加盖公章）</w:t>
      </w:r>
    </w:p>
    <w:p w14:paraId="5458874A">
      <w:pPr>
        <w:pStyle w:val="6"/>
        <w:spacing w:before="138" w:line="360" w:lineRule="auto"/>
        <w:ind w:left="4903"/>
        <w:rPr>
          <w:rFonts w:hint="eastAsia" w:ascii="宋体" w:hAnsi="宋体" w:cs="宋体"/>
          <w:color w:val="auto"/>
        </w:rPr>
      </w:pPr>
      <w:r>
        <w:rPr>
          <w:rFonts w:hint="eastAsia" w:ascii="宋体" w:hAnsi="宋体" w:cs="宋体"/>
          <w:color w:val="auto"/>
        </w:rPr>
        <w:t>日  期：    年  月  日</w:t>
      </w:r>
    </w:p>
    <w:p w14:paraId="634AFDE5">
      <w:pPr>
        <w:spacing w:line="360" w:lineRule="auto"/>
        <w:rPr>
          <w:rFonts w:hint="eastAsia" w:ascii="宋体" w:hAnsi="宋体" w:cs="宋体"/>
          <w:sz w:val="24"/>
        </w:rPr>
      </w:pPr>
    </w:p>
    <w:p w14:paraId="4EFB1621">
      <w:pPr>
        <w:spacing w:line="360" w:lineRule="auto"/>
        <w:rPr>
          <w:rFonts w:hint="eastAsia" w:ascii="宋体" w:hAnsi="宋体" w:cs="宋体"/>
          <w:sz w:val="24"/>
        </w:rPr>
      </w:pPr>
    </w:p>
    <w:p w14:paraId="118CC4F6">
      <w:pPr>
        <w:rPr>
          <w:rFonts w:hint="eastAsia" w:ascii="宋体" w:hAnsi="宋体" w:cs="宋体"/>
          <w:sz w:val="24"/>
        </w:rPr>
      </w:pPr>
      <w:r>
        <w:rPr>
          <w:rFonts w:hint="eastAsia" w:ascii="宋体" w:hAnsi="宋体" w:cs="宋体"/>
          <w:sz w:val="24"/>
        </w:rPr>
        <w:br w:type="page"/>
      </w:r>
    </w:p>
    <w:p w14:paraId="606CC418">
      <w:pPr>
        <w:spacing w:line="360" w:lineRule="auto"/>
        <w:rPr>
          <w:rFonts w:hint="eastAsia" w:ascii="宋体" w:hAnsi="宋体" w:cs="宋体"/>
          <w:b/>
          <w:color w:val="000000"/>
          <w:sz w:val="24"/>
        </w:rPr>
      </w:pPr>
      <w:r>
        <w:rPr>
          <w:rFonts w:hint="eastAsia" w:ascii="宋体" w:hAnsi="宋体" w:cs="宋体"/>
          <w:b/>
          <w:color w:val="000000"/>
          <w:sz w:val="24"/>
        </w:rPr>
        <w:t>附件2：</w:t>
      </w:r>
    </w:p>
    <w:p w14:paraId="47ABA56F">
      <w:pPr>
        <w:spacing w:line="360" w:lineRule="auto"/>
        <w:jc w:val="center"/>
        <w:rPr>
          <w:rFonts w:hint="eastAsia" w:ascii="宋体" w:hAnsi="宋体" w:cs="宋体"/>
          <w:b/>
          <w:color w:val="000000"/>
          <w:sz w:val="44"/>
          <w:szCs w:val="44"/>
        </w:rPr>
      </w:pPr>
      <w:r>
        <w:rPr>
          <w:rFonts w:hint="eastAsia" w:ascii="宋体" w:hAnsi="宋体" w:cs="宋体"/>
          <w:b/>
          <w:color w:val="000000"/>
          <w:sz w:val="24"/>
        </w:rPr>
        <w:t>非联合体投标声明函</w:t>
      </w:r>
    </w:p>
    <w:p w14:paraId="1EF66F90">
      <w:pPr>
        <w:spacing w:line="360" w:lineRule="auto"/>
        <w:jc w:val="left"/>
        <w:rPr>
          <w:rFonts w:hint="eastAsia" w:ascii="宋体" w:hAnsi="宋体" w:cs="宋体"/>
          <w:color w:val="000000"/>
          <w:sz w:val="24"/>
        </w:rPr>
      </w:pPr>
    </w:p>
    <w:p w14:paraId="6F22B1CA">
      <w:pPr>
        <w:spacing w:line="360" w:lineRule="auto"/>
        <w:jc w:val="left"/>
        <w:rPr>
          <w:rFonts w:hint="eastAsia" w:ascii="宋体" w:hAnsi="宋体" w:cs="宋体"/>
          <w:color w:val="000000"/>
          <w:sz w:val="24"/>
          <w:u w:val="single"/>
        </w:rPr>
      </w:pPr>
      <w:r>
        <w:rPr>
          <w:rFonts w:hint="eastAsia" w:ascii="宋体" w:hAnsi="宋体" w:cs="宋体"/>
          <w:color w:val="000000"/>
          <w:sz w:val="24"/>
        </w:rPr>
        <w:t>致：</w:t>
      </w:r>
      <w:r>
        <w:rPr>
          <w:rFonts w:hint="eastAsia" w:ascii="宋体" w:hAnsi="宋体" w:cs="宋体"/>
          <w:color w:val="000000"/>
          <w:sz w:val="24"/>
          <w:u w:val="single"/>
        </w:rPr>
        <w:t xml:space="preserve">                    （招标人名称）</w:t>
      </w:r>
    </w:p>
    <w:p w14:paraId="210B815B">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我公司收到贵单位（项目名称：</w:t>
      </w:r>
      <w:r>
        <w:rPr>
          <w:rFonts w:hint="eastAsia" w:ascii="宋体" w:hAnsi="宋体" w:cs="宋体"/>
          <w:color w:val="000000"/>
          <w:sz w:val="24"/>
          <w:u w:val="single"/>
        </w:rPr>
        <w:t xml:space="preserve">            </w:t>
      </w:r>
      <w:r>
        <w:rPr>
          <w:rFonts w:hint="eastAsia" w:ascii="宋体" w:hAnsi="宋体" w:cs="宋体"/>
          <w:sz w:val="24"/>
        </w:rPr>
        <w:t>项目编号：</w:t>
      </w:r>
      <w:r>
        <w:rPr>
          <w:rFonts w:hint="eastAsia" w:ascii="宋体" w:hAnsi="宋体" w:cs="宋体"/>
          <w:sz w:val="24"/>
          <w:u w:val="single"/>
        </w:rPr>
        <w:t xml:space="preserve">       </w:t>
      </w:r>
      <w:r>
        <w:rPr>
          <w:rFonts w:hint="eastAsia" w:ascii="宋体" w:hAnsi="宋体" w:cs="宋体"/>
          <w:color w:val="000000"/>
          <w:sz w:val="24"/>
        </w:rPr>
        <w:t>）的招标文件，经详细研究，我们决定参加该项目的招标活动。为此，我方郑重声明以下内容，并负法律责任。</w:t>
      </w:r>
    </w:p>
    <w:p w14:paraId="516E33FC">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1.本项目我公司以自己的名义参加投标，不存在联合体投标的情况。</w:t>
      </w:r>
    </w:p>
    <w:p w14:paraId="0BCD1FAB">
      <w:pPr>
        <w:pStyle w:val="14"/>
        <w:spacing w:before="0" w:beforeAutospacing="0" w:after="0" w:afterAutospacing="0" w:line="360" w:lineRule="auto"/>
        <w:ind w:firstLine="480" w:firstLineChars="200"/>
        <w:rPr>
          <w:rFonts w:hint="eastAsia" w:ascii="宋体" w:hAnsi="宋体" w:cs="宋体"/>
          <w:color w:val="000000"/>
          <w:szCs w:val="24"/>
        </w:rPr>
      </w:pPr>
      <w:r>
        <w:rPr>
          <w:rFonts w:hint="eastAsia" w:ascii="宋体" w:hAnsi="宋体" w:cs="宋体"/>
          <w:color w:val="000000"/>
          <w:szCs w:val="24"/>
        </w:rPr>
        <w:t>2.我公司愿按《中华人民共和国民法典》履行自己的全部责任。</w:t>
      </w:r>
    </w:p>
    <w:p w14:paraId="5744A3C8">
      <w:pPr>
        <w:pStyle w:val="14"/>
        <w:spacing w:before="0" w:beforeAutospacing="0" w:after="0" w:afterAutospacing="0" w:line="360" w:lineRule="auto"/>
        <w:ind w:firstLine="480" w:firstLineChars="200"/>
        <w:rPr>
          <w:rFonts w:hint="eastAsia" w:ascii="宋体" w:hAnsi="宋体" w:cs="宋体"/>
          <w:color w:val="000000"/>
          <w:szCs w:val="24"/>
        </w:rPr>
      </w:pPr>
      <w:r>
        <w:rPr>
          <w:rFonts w:hint="eastAsia" w:ascii="宋体" w:hAnsi="宋体" w:cs="宋体"/>
          <w:color w:val="000000"/>
          <w:szCs w:val="24"/>
        </w:rPr>
        <w:t>特此声明。</w:t>
      </w:r>
    </w:p>
    <w:p w14:paraId="7F4C267D">
      <w:pPr>
        <w:pStyle w:val="14"/>
        <w:spacing w:before="0" w:beforeAutospacing="0" w:after="0" w:afterAutospacing="0" w:line="360" w:lineRule="auto"/>
        <w:ind w:firstLine="480" w:firstLineChars="200"/>
        <w:rPr>
          <w:rFonts w:hint="eastAsia" w:ascii="宋体" w:hAnsi="宋体" w:cs="宋体"/>
          <w:color w:val="000000"/>
        </w:rPr>
      </w:pPr>
    </w:p>
    <w:p w14:paraId="276D8CC3">
      <w:pPr>
        <w:pStyle w:val="11"/>
        <w:rPr>
          <w:rFonts w:hint="eastAsia" w:ascii="宋体" w:hAnsi="宋体" w:cs="宋体"/>
          <w:color w:val="000000"/>
        </w:rPr>
      </w:pPr>
    </w:p>
    <w:p w14:paraId="30BDD85A">
      <w:pPr>
        <w:pStyle w:val="11"/>
        <w:rPr>
          <w:rFonts w:hint="eastAsia" w:ascii="宋体" w:hAnsi="宋体" w:cs="宋体"/>
          <w:color w:val="000000"/>
        </w:rPr>
      </w:pPr>
    </w:p>
    <w:p w14:paraId="7E21C16B">
      <w:pPr>
        <w:pStyle w:val="11"/>
        <w:rPr>
          <w:rFonts w:hint="eastAsia" w:ascii="宋体" w:hAnsi="宋体" w:cs="宋体"/>
          <w:color w:val="000000"/>
        </w:rPr>
      </w:pPr>
    </w:p>
    <w:p w14:paraId="70062612">
      <w:pPr>
        <w:pStyle w:val="11"/>
        <w:rPr>
          <w:rFonts w:hint="eastAsia" w:ascii="宋体" w:hAnsi="宋体" w:cs="宋体"/>
          <w:color w:val="000000"/>
        </w:rPr>
      </w:pPr>
    </w:p>
    <w:p w14:paraId="36EF78A6">
      <w:pPr>
        <w:pStyle w:val="11"/>
        <w:rPr>
          <w:rFonts w:hint="eastAsia" w:ascii="宋体" w:hAnsi="宋体" w:cs="宋体"/>
          <w:color w:val="000000"/>
        </w:rPr>
      </w:pPr>
    </w:p>
    <w:p w14:paraId="1BF458BD">
      <w:pPr>
        <w:spacing w:line="360" w:lineRule="auto"/>
        <w:ind w:firstLine="480" w:firstLineChars="200"/>
        <w:jc w:val="left"/>
        <w:rPr>
          <w:rFonts w:hint="eastAsia" w:ascii="宋体" w:hAnsi="宋体" w:cs="宋体"/>
          <w:bCs/>
          <w:color w:val="000000"/>
          <w:sz w:val="24"/>
        </w:rPr>
      </w:pPr>
      <w:r>
        <w:rPr>
          <w:rFonts w:hint="eastAsia" w:ascii="宋体" w:hAnsi="宋体" w:cs="宋体"/>
          <w:bCs/>
          <w:color w:val="000000"/>
          <w:sz w:val="24"/>
        </w:rPr>
        <w:t>投标人：</w:t>
      </w:r>
      <w:r>
        <w:rPr>
          <w:rFonts w:hint="eastAsia" w:ascii="宋体" w:hAnsi="宋体" w:cs="宋体"/>
          <w:bCs/>
          <w:color w:val="000000"/>
          <w:sz w:val="24"/>
          <w:u w:val="single"/>
        </w:rPr>
        <w:t xml:space="preserve">                                    </w:t>
      </w:r>
      <w:r>
        <w:rPr>
          <w:rFonts w:hint="eastAsia" w:ascii="宋体" w:hAnsi="宋体" w:cs="宋体"/>
          <w:bCs/>
          <w:color w:val="000000"/>
          <w:sz w:val="24"/>
        </w:rPr>
        <w:t xml:space="preserve">（盖章）                                </w:t>
      </w:r>
    </w:p>
    <w:p w14:paraId="07FD1BBC">
      <w:pPr>
        <w:spacing w:line="360" w:lineRule="auto"/>
        <w:ind w:firstLine="480" w:firstLineChars="200"/>
        <w:jc w:val="left"/>
        <w:rPr>
          <w:rFonts w:hint="eastAsia" w:ascii="宋体" w:hAnsi="宋体" w:cs="宋体"/>
          <w:bCs/>
          <w:color w:val="000000"/>
          <w:sz w:val="24"/>
        </w:rPr>
      </w:pPr>
      <w:r>
        <w:rPr>
          <w:rFonts w:hint="eastAsia" w:ascii="宋体" w:hAnsi="宋体" w:cs="宋体"/>
          <w:bCs/>
          <w:color w:val="000000"/>
          <w:sz w:val="24"/>
        </w:rPr>
        <w:t>法定代表人：</w:t>
      </w:r>
      <w:r>
        <w:rPr>
          <w:rFonts w:hint="eastAsia" w:ascii="宋体" w:hAnsi="宋体" w:cs="宋体"/>
          <w:bCs/>
          <w:color w:val="000000"/>
          <w:sz w:val="24"/>
          <w:u w:val="single"/>
        </w:rPr>
        <w:t xml:space="preserve">                       </w:t>
      </w:r>
      <w:r>
        <w:rPr>
          <w:rFonts w:hint="eastAsia" w:ascii="宋体" w:hAnsi="宋体" w:cs="宋体"/>
          <w:bCs/>
          <w:color w:val="000000"/>
          <w:sz w:val="24"/>
        </w:rPr>
        <w:t>（签字或法人印鉴）</w:t>
      </w:r>
    </w:p>
    <w:p w14:paraId="141DC34E">
      <w:pPr>
        <w:spacing w:line="360" w:lineRule="auto"/>
        <w:ind w:firstLine="480" w:firstLineChars="200"/>
        <w:jc w:val="left"/>
        <w:rPr>
          <w:rFonts w:hint="eastAsia" w:ascii="宋体" w:hAnsi="宋体" w:cs="宋体"/>
          <w:bCs/>
          <w:color w:val="000000"/>
          <w:sz w:val="24"/>
        </w:rPr>
      </w:pPr>
      <w:r>
        <w:rPr>
          <w:rFonts w:hint="eastAsia" w:ascii="宋体" w:hAnsi="宋体" w:cs="宋体"/>
          <w:bCs/>
          <w:color w:val="000000"/>
          <w:sz w:val="24"/>
        </w:rPr>
        <w:t>委托代理人：</w:t>
      </w:r>
      <w:r>
        <w:rPr>
          <w:rFonts w:hint="eastAsia" w:ascii="宋体" w:hAnsi="宋体" w:cs="宋体"/>
          <w:bCs/>
          <w:color w:val="000000"/>
          <w:sz w:val="24"/>
          <w:u w:val="single"/>
        </w:rPr>
        <w:t xml:space="preserve">                          </w:t>
      </w:r>
      <w:r>
        <w:rPr>
          <w:rFonts w:hint="eastAsia" w:ascii="宋体" w:hAnsi="宋体" w:cs="宋体"/>
          <w:bCs/>
          <w:color w:val="000000"/>
          <w:sz w:val="24"/>
        </w:rPr>
        <w:t xml:space="preserve">（签字或盖章）  </w:t>
      </w:r>
    </w:p>
    <w:p w14:paraId="54DA502A">
      <w:pPr>
        <w:pStyle w:val="7"/>
        <w:autoSpaceDE w:val="0"/>
        <w:autoSpaceDN w:val="0"/>
        <w:adjustRightInd w:val="0"/>
        <w:spacing w:line="460" w:lineRule="exact"/>
        <w:rPr>
          <w:rFonts w:hint="eastAsia" w:cs="宋体"/>
          <w:bCs/>
          <w:color w:val="000000"/>
          <w:sz w:val="24"/>
        </w:rPr>
      </w:pPr>
      <w:r>
        <w:rPr>
          <w:rFonts w:hint="eastAsia" w:cs="宋体"/>
          <w:bCs/>
          <w:color w:val="000000"/>
          <w:sz w:val="24"/>
        </w:rPr>
        <w:t>日    期：</w:t>
      </w:r>
      <w:r>
        <w:rPr>
          <w:rFonts w:hint="eastAsia" w:cs="宋体"/>
          <w:bCs/>
          <w:color w:val="000000"/>
          <w:sz w:val="24"/>
          <w:u w:val="single"/>
        </w:rPr>
        <w:t xml:space="preserve">       </w:t>
      </w:r>
      <w:r>
        <w:rPr>
          <w:rFonts w:hint="eastAsia" w:cs="宋体"/>
          <w:bCs/>
          <w:color w:val="000000"/>
          <w:sz w:val="24"/>
        </w:rPr>
        <w:t>年</w:t>
      </w:r>
      <w:r>
        <w:rPr>
          <w:rFonts w:hint="eastAsia" w:cs="宋体"/>
          <w:bCs/>
          <w:color w:val="000000"/>
          <w:sz w:val="24"/>
          <w:u w:val="single"/>
        </w:rPr>
        <w:t xml:space="preserve">       </w:t>
      </w:r>
      <w:r>
        <w:rPr>
          <w:rFonts w:hint="eastAsia" w:cs="宋体"/>
          <w:bCs/>
          <w:color w:val="000000"/>
          <w:sz w:val="24"/>
        </w:rPr>
        <w:t>月</w:t>
      </w:r>
      <w:r>
        <w:rPr>
          <w:rFonts w:hint="eastAsia" w:cs="宋体"/>
          <w:bCs/>
          <w:color w:val="000000"/>
          <w:sz w:val="24"/>
          <w:u w:val="single"/>
        </w:rPr>
        <w:t xml:space="preserve">      </w:t>
      </w:r>
      <w:r>
        <w:rPr>
          <w:rFonts w:hint="eastAsia" w:cs="宋体"/>
          <w:bCs/>
          <w:color w:val="000000"/>
          <w:sz w:val="24"/>
        </w:rPr>
        <w:t>日</w:t>
      </w:r>
    </w:p>
    <w:p w14:paraId="56424A60">
      <w:pPr>
        <w:spacing w:line="360" w:lineRule="auto"/>
        <w:rPr>
          <w:rFonts w:hint="eastAsia" w:ascii="宋体" w:hAnsi="宋体" w:cs="宋体"/>
          <w:sz w:val="24"/>
        </w:rPr>
      </w:pPr>
    </w:p>
    <w:p w14:paraId="482C2D06">
      <w:pPr>
        <w:rPr>
          <w:rFonts w:hint="eastAsia" w:ascii="宋体" w:hAnsi="宋体" w:cs="宋体"/>
          <w:b/>
          <w:sz w:val="32"/>
          <w:szCs w:val="32"/>
        </w:rPr>
      </w:pPr>
      <w:r>
        <w:rPr>
          <w:rFonts w:hint="eastAsia" w:ascii="宋体" w:hAnsi="宋体" w:cs="宋体"/>
          <w:b/>
          <w:sz w:val="32"/>
          <w:szCs w:val="32"/>
        </w:rPr>
        <w:br w:type="page"/>
      </w:r>
    </w:p>
    <w:p w14:paraId="61C82B73">
      <w:pPr>
        <w:spacing w:line="360" w:lineRule="atLeast"/>
        <w:jc w:val="center"/>
        <w:rPr>
          <w:rFonts w:hint="eastAsia" w:ascii="宋体" w:hAnsi="宋体" w:cs="宋体"/>
          <w:b/>
          <w:sz w:val="32"/>
          <w:szCs w:val="32"/>
        </w:rPr>
      </w:pPr>
      <w:r>
        <w:rPr>
          <w:rFonts w:hint="eastAsia" w:ascii="宋体" w:hAnsi="宋体" w:cs="宋体"/>
          <w:b/>
          <w:sz w:val="32"/>
          <w:szCs w:val="32"/>
        </w:rPr>
        <w:t>第五部分 投标方案</w:t>
      </w:r>
    </w:p>
    <w:p w14:paraId="5737C6AC">
      <w:pPr>
        <w:kinsoku w:val="0"/>
        <w:spacing w:line="500" w:lineRule="exact"/>
        <w:ind w:firstLine="420"/>
        <w:rPr>
          <w:rFonts w:hint="eastAsia" w:ascii="宋体" w:hAnsi="宋体" w:cs="宋体"/>
          <w:sz w:val="24"/>
        </w:rPr>
      </w:pPr>
      <w:r>
        <w:rPr>
          <w:rFonts w:hint="eastAsia" w:ascii="宋体" w:hAnsi="宋体" w:cs="宋体"/>
          <w:sz w:val="24"/>
        </w:rPr>
        <w:t>1、投标人企业简介；</w:t>
      </w:r>
    </w:p>
    <w:p w14:paraId="11CDA3E8">
      <w:pPr>
        <w:kinsoku w:val="0"/>
        <w:spacing w:line="500" w:lineRule="exact"/>
        <w:ind w:firstLine="420"/>
        <w:rPr>
          <w:rFonts w:hint="eastAsia" w:ascii="宋体" w:hAnsi="宋体" w:cs="宋体"/>
          <w:bCs/>
          <w:sz w:val="24"/>
        </w:rPr>
      </w:pPr>
      <w:r>
        <w:rPr>
          <w:rFonts w:hint="eastAsia" w:ascii="宋体" w:hAnsi="宋体" w:cs="宋体"/>
          <w:bCs/>
          <w:sz w:val="24"/>
        </w:rPr>
        <w:t>2、技术方案；</w:t>
      </w:r>
    </w:p>
    <w:p w14:paraId="1915B295">
      <w:pPr>
        <w:kinsoku w:val="0"/>
        <w:spacing w:line="500" w:lineRule="exact"/>
        <w:ind w:firstLine="420"/>
        <w:rPr>
          <w:rFonts w:hint="eastAsia" w:ascii="宋体" w:hAnsi="宋体" w:cs="宋体"/>
          <w:bCs/>
          <w:sz w:val="24"/>
        </w:rPr>
      </w:pPr>
      <w:r>
        <w:rPr>
          <w:rFonts w:hint="eastAsia" w:ascii="宋体" w:hAnsi="宋体" w:cs="宋体"/>
          <w:bCs/>
          <w:sz w:val="24"/>
        </w:rPr>
        <w:t>3、实施方案；</w:t>
      </w:r>
    </w:p>
    <w:p w14:paraId="7070B38D">
      <w:pPr>
        <w:kinsoku w:val="0"/>
        <w:spacing w:line="500" w:lineRule="exact"/>
        <w:ind w:firstLine="420"/>
        <w:rPr>
          <w:rFonts w:hint="eastAsia" w:ascii="宋体" w:hAnsi="宋体" w:cs="宋体"/>
          <w:bCs/>
          <w:sz w:val="24"/>
        </w:rPr>
      </w:pPr>
      <w:r>
        <w:rPr>
          <w:rFonts w:hint="eastAsia" w:ascii="宋体" w:hAnsi="宋体" w:cs="宋体"/>
          <w:bCs/>
          <w:sz w:val="24"/>
        </w:rPr>
        <w:t>4、实施团队；</w:t>
      </w:r>
    </w:p>
    <w:p w14:paraId="2EA5159F">
      <w:pPr>
        <w:kinsoku w:val="0"/>
        <w:spacing w:line="500" w:lineRule="exact"/>
        <w:ind w:firstLine="420"/>
        <w:rPr>
          <w:rFonts w:hint="eastAsia" w:ascii="宋体" w:hAnsi="宋体" w:cs="宋体"/>
          <w:bCs/>
          <w:sz w:val="24"/>
        </w:rPr>
      </w:pPr>
      <w:r>
        <w:rPr>
          <w:rFonts w:hint="eastAsia" w:ascii="宋体" w:hAnsi="宋体" w:cs="宋体"/>
          <w:bCs/>
          <w:sz w:val="24"/>
        </w:rPr>
        <w:t>5、</w:t>
      </w:r>
      <w:r>
        <w:rPr>
          <w:rFonts w:hint="eastAsia" w:ascii="宋体" w:hAnsi="宋体" w:cs="宋体"/>
          <w:sz w:val="24"/>
        </w:rPr>
        <w:t>安全保密措施；</w:t>
      </w:r>
    </w:p>
    <w:p w14:paraId="0E3B2FBC">
      <w:pPr>
        <w:kinsoku w:val="0"/>
        <w:spacing w:line="500" w:lineRule="exact"/>
        <w:ind w:firstLine="420"/>
        <w:rPr>
          <w:rFonts w:hint="eastAsia" w:ascii="宋体" w:hAnsi="宋体" w:cs="宋体"/>
          <w:bCs/>
          <w:sz w:val="24"/>
        </w:rPr>
      </w:pPr>
      <w:r>
        <w:rPr>
          <w:rFonts w:hint="eastAsia" w:ascii="宋体" w:hAnsi="宋体" w:cs="宋体"/>
          <w:bCs/>
          <w:sz w:val="24"/>
        </w:rPr>
        <w:t>6、项目质量保障措施；</w:t>
      </w:r>
    </w:p>
    <w:p w14:paraId="0FA2F0E7">
      <w:pPr>
        <w:kinsoku w:val="0"/>
        <w:spacing w:line="500" w:lineRule="exact"/>
        <w:ind w:firstLine="420"/>
        <w:rPr>
          <w:rFonts w:hint="eastAsia" w:ascii="宋体" w:hAnsi="宋体" w:cs="宋体"/>
          <w:bCs/>
          <w:sz w:val="24"/>
        </w:rPr>
      </w:pPr>
      <w:r>
        <w:rPr>
          <w:rFonts w:hint="eastAsia" w:ascii="宋体" w:hAnsi="宋体" w:cs="宋体"/>
          <w:bCs/>
          <w:sz w:val="24"/>
        </w:rPr>
        <w:t>7、售后服务及培训计划；</w:t>
      </w:r>
    </w:p>
    <w:p w14:paraId="79008AD5">
      <w:pPr>
        <w:kinsoku w:val="0"/>
        <w:spacing w:line="500" w:lineRule="exact"/>
        <w:ind w:firstLine="420"/>
        <w:rPr>
          <w:rFonts w:hint="eastAsia" w:ascii="宋体" w:hAnsi="宋体" w:cs="宋体"/>
          <w:bCs/>
          <w:sz w:val="24"/>
        </w:rPr>
      </w:pPr>
      <w:r>
        <w:rPr>
          <w:rFonts w:hint="eastAsia" w:ascii="宋体" w:hAnsi="宋体" w:cs="宋体"/>
          <w:bCs/>
          <w:sz w:val="24"/>
        </w:rPr>
        <w:t>8、业绩；</w:t>
      </w:r>
    </w:p>
    <w:p w14:paraId="24DB0112">
      <w:pPr>
        <w:kinsoku w:val="0"/>
        <w:spacing w:line="500" w:lineRule="exact"/>
        <w:ind w:firstLine="420"/>
        <w:rPr>
          <w:rFonts w:hint="eastAsia" w:ascii="宋体" w:hAnsi="宋体" w:cs="宋体"/>
          <w:bCs/>
          <w:sz w:val="24"/>
        </w:rPr>
      </w:pPr>
      <w:r>
        <w:rPr>
          <w:rFonts w:hint="eastAsia" w:ascii="宋体" w:hAnsi="宋体" w:cs="宋体"/>
          <w:bCs/>
          <w:sz w:val="24"/>
        </w:rPr>
        <w:t>9、投标单位认为有必要说明的问题。</w:t>
      </w:r>
    </w:p>
    <w:p w14:paraId="00C4D467">
      <w:pPr>
        <w:kinsoku w:val="0"/>
        <w:spacing w:line="500" w:lineRule="exact"/>
        <w:rPr>
          <w:rFonts w:hint="eastAsia" w:ascii="宋体" w:hAnsi="宋体" w:cs="宋体"/>
          <w:b/>
          <w:sz w:val="24"/>
        </w:rPr>
      </w:pPr>
    </w:p>
    <w:p w14:paraId="1A152420">
      <w:pPr>
        <w:kinsoku w:val="0"/>
        <w:spacing w:line="500" w:lineRule="exact"/>
        <w:rPr>
          <w:rFonts w:hint="eastAsia" w:ascii="宋体" w:hAnsi="宋体" w:cs="宋体"/>
          <w:color w:val="0000FF"/>
          <w:sz w:val="24"/>
        </w:rPr>
      </w:pPr>
      <w:r>
        <w:rPr>
          <w:rFonts w:hint="eastAsia" w:ascii="宋体" w:hAnsi="宋体" w:cs="宋体"/>
          <w:b/>
          <w:color w:val="0000FF"/>
          <w:sz w:val="24"/>
        </w:rPr>
        <w:t>（各投标人根据采购内容及评标办法，可自主编写方案说明，包含但不限于以上内容）</w:t>
      </w:r>
    </w:p>
    <w:p w14:paraId="381795A6">
      <w:pPr>
        <w:rPr>
          <w:rFonts w:hint="eastAsia" w:ascii="宋体" w:hAnsi="宋体" w:cs="宋体"/>
          <w:sz w:val="24"/>
          <w:szCs w:val="28"/>
        </w:rPr>
      </w:pPr>
      <w:r>
        <w:rPr>
          <w:rFonts w:hint="eastAsia" w:ascii="宋体" w:hAnsi="宋体" w:cs="宋体"/>
          <w:sz w:val="24"/>
        </w:rPr>
        <w:br w:type="page"/>
      </w:r>
    </w:p>
    <w:p w14:paraId="7BD4E538">
      <w:pPr>
        <w:spacing w:line="360" w:lineRule="atLeast"/>
        <w:jc w:val="center"/>
        <w:rPr>
          <w:rFonts w:hint="eastAsia" w:ascii="宋体" w:hAnsi="宋体" w:cs="宋体"/>
          <w:b/>
          <w:sz w:val="32"/>
          <w:szCs w:val="32"/>
        </w:rPr>
      </w:pPr>
      <w:r>
        <w:rPr>
          <w:rFonts w:hint="eastAsia" w:ascii="宋体" w:hAnsi="宋体" w:cs="宋体"/>
          <w:b/>
          <w:sz w:val="32"/>
          <w:szCs w:val="32"/>
        </w:rPr>
        <w:t>第六部分  供应商参加政府采购活动承诺书</w:t>
      </w:r>
    </w:p>
    <w:p w14:paraId="316A8AAF">
      <w:pPr>
        <w:spacing w:line="360" w:lineRule="atLeast"/>
        <w:jc w:val="center"/>
        <w:rPr>
          <w:rFonts w:hint="eastAsia" w:ascii="宋体" w:hAnsi="宋体" w:cs="宋体"/>
          <w:b/>
          <w:sz w:val="24"/>
          <w:szCs w:val="32"/>
        </w:rPr>
      </w:pPr>
    </w:p>
    <w:p w14:paraId="5F57206F">
      <w:pPr>
        <w:pStyle w:val="8"/>
        <w:jc w:val="center"/>
        <w:rPr>
          <w:rFonts w:hint="eastAsia" w:hAnsi="宋体" w:cs="宋体"/>
          <w:b/>
          <w:sz w:val="32"/>
        </w:rPr>
      </w:pPr>
      <w:r>
        <w:rPr>
          <w:rFonts w:hint="eastAsia" w:hAnsi="宋体" w:cs="宋体"/>
          <w:b/>
          <w:sz w:val="32"/>
        </w:rPr>
        <w:t>陕西省政府采购供应商拒绝政府采购领域商业贿赂承诺书</w:t>
      </w:r>
      <w:r>
        <w:rPr>
          <w:rFonts w:hint="eastAsia" w:hAnsi="宋体" w:cs="宋体"/>
          <w:b/>
          <w:sz w:val="32"/>
          <w:szCs w:val="32"/>
        </w:rPr>
        <w:t>Ⅰ</w:t>
      </w:r>
    </w:p>
    <w:p w14:paraId="2C841964">
      <w:pPr>
        <w:rPr>
          <w:rFonts w:hint="eastAsia" w:ascii="宋体" w:hAnsi="宋体" w:cs="宋体"/>
        </w:rPr>
      </w:pPr>
    </w:p>
    <w:p w14:paraId="62CEEDB7">
      <w:pPr>
        <w:spacing w:line="440" w:lineRule="exact"/>
        <w:ind w:firstLine="360" w:firstLineChars="150"/>
        <w:rPr>
          <w:rFonts w:hint="eastAsia" w:ascii="宋体" w:hAnsi="宋体" w:cs="宋体"/>
          <w:sz w:val="24"/>
          <w:szCs w:val="28"/>
        </w:rPr>
      </w:pPr>
      <w:r>
        <w:rPr>
          <w:rFonts w:hint="eastAsia" w:ascii="宋体" w:hAnsi="宋体" w:cs="宋体"/>
          <w:sz w:val="24"/>
          <w:szCs w:val="28"/>
        </w:rPr>
        <w:t xml:space="preserve"> 为响应党中央、</w:t>
      </w:r>
      <w:r>
        <w:rPr>
          <w:rFonts w:hint="eastAsia" w:ascii="宋体" w:hAnsi="宋体" w:cs="宋体"/>
          <w:sz w:val="24"/>
        </w:rPr>
        <w:t>国务院</w:t>
      </w:r>
      <w:r>
        <w:rPr>
          <w:rFonts w:hint="eastAsia" w:ascii="宋体" w:hAnsi="宋体" w:cs="宋体"/>
          <w:sz w:val="24"/>
          <w:szCs w:val="28"/>
        </w:rPr>
        <w:t>关于治理政府采购领域商业贿赂行为的号召，我公司在此庄严承诺：</w:t>
      </w:r>
    </w:p>
    <w:p w14:paraId="37825DE6">
      <w:pPr>
        <w:spacing w:line="440" w:lineRule="exact"/>
        <w:ind w:firstLine="480" w:firstLineChars="200"/>
        <w:rPr>
          <w:rFonts w:hint="eastAsia" w:ascii="宋体" w:hAnsi="宋体" w:cs="宋体"/>
          <w:sz w:val="24"/>
          <w:szCs w:val="28"/>
        </w:rPr>
      </w:pPr>
      <w:r>
        <w:rPr>
          <w:rFonts w:hint="eastAsia" w:ascii="宋体" w:hAnsi="宋体" w:cs="宋体"/>
          <w:sz w:val="24"/>
          <w:szCs w:val="28"/>
        </w:rPr>
        <w:t>1.在参与政府采购活动中遵纪守法、诚信经营、公平竞标；</w:t>
      </w:r>
    </w:p>
    <w:p w14:paraId="1F5900EC">
      <w:pPr>
        <w:spacing w:line="440" w:lineRule="exact"/>
        <w:ind w:firstLine="480" w:firstLineChars="200"/>
        <w:rPr>
          <w:rFonts w:hint="eastAsia" w:ascii="宋体" w:hAnsi="宋体" w:cs="宋体"/>
          <w:sz w:val="24"/>
          <w:szCs w:val="28"/>
        </w:rPr>
      </w:pPr>
      <w:r>
        <w:rPr>
          <w:rFonts w:hint="eastAsia" w:ascii="宋体" w:hAnsi="宋体" w:cs="宋体"/>
          <w:sz w:val="24"/>
          <w:szCs w:val="28"/>
        </w:rPr>
        <w:t>2.不向政府采购人、采购代理机构和政府采购评审专家进行任何形式的商业贿赂以谋取交易机会；</w:t>
      </w:r>
    </w:p>
    <w:p w14:paraId="34851256">
      <w:pPr>
        <w:spacing w:line="440" w:lineRule="exact"/>
        <w:ind w:firstLine="480" w:firstLineChars="200"/>
        <w:rPr>
          <w:rFonts w:hint="eastAsia" w:ascii="宋体" w:hAnsi="宋体" w:cs="宋体"/>
          <w:sz w:val="24"/>
          <w:szCs w:val="28"/>
        </w:rPr>
      </w:pPr>
      <w:r>
        <w:rPr>
          <w:rFonts w:hint="eastAsia" w:ascii="宋体" w:hAnsi="宋体" w:cs="宋体"/>
          <w:sz w:val="24"/>
          <w:szCs w:val="28"/>
        </w:rPr>
        <w:t>3.不向政府采购代理机构和采购人提供虚假资质文件或采用虚假应标方式参与政府采购市场竞争并谋取中标；</w:t>
      </w:r>
    </w:p>
    <w:p w14:paraId="701D3459">
      <w:pPr>
        <w:spacing w:line="440" w:lineRule="exact"/>
        <w:ind w:firstLine="480" w:firstLineChars="200"/>
        <w:rPr>
          <w:rFonts w:hint="eastAsia" w:ascii="宋体" w:hAnsi="宋体" w:cs="宋体"/>
          <w:sz w:val="24"/>
          <w:szCs w:val="28"/>
        </w:rPr>
      </w:pPr>
      <w:r>
        <w:rPr>
          <w:rFonts w:hint="eastAsia" w:ascii="宋体" w:hAnsi="宋体" w:cs="宋体"/>
          <w:sz w:val="24"/>
          <w:szCs w:val="28"/>
        </w:rPr>
        <w:t>4.不采取“围标、陪标”等商业欺诈手段获得政府采购订单；</w:t>
      </w:r>
    </w:p>
    <w:p w14:paraId="2B6E22A2">
      <w:pPr>
        <w:spacing w:line="440" w:lineRule="exact"/>
        <w:ind w:firstLine="480" w:firstLineChars="200"/>
        <w:rPr>
          <w:rFonts w:hint="eastAsia" w:ascii="宋体" w:hAnsi="宋体" w:cs="宋体"/>
          <w:sz w:val="24"/>
          <w:szCs w:val="28"/>
        </w:rPr>
      </w:pPr>
      <w:r>
        <w:rPr>
          <w:rFonts w:hint="eastAsia" w:ascii="宋体" w:hAnsi="宋体" w:cs="宋体"/>
          <w:sz w:val="24"/>
          <w:szCs w:val="28"/>
        </w:rPr>
        <w:t>5.不采取不正当手段诋毁、排挤其他供应商；</w:t>
      </w:r>
    </w:p>
    <w:p w14:paraId="3B3374B2">
      <w:pPr>
        <w:spacing w:line="440" w:lineRule="exact"/>
        <w:ind w:firstLine="480" w:firstLineChars="200"/>
        <w:rPr>
          <w:rFonts w:hint="eastAsia" w:ascii="宋体" w:hAnsi="宋体" w:cs="宋体"/>
          <w:sz w:val="24"/>
          <w:szCs w:val="28"/>
        </w:rPr>
      </w:pPr>
      <w:r>
        <w:rPr>
          <w:rFonts w:hint="eastAsia" w:ascii="宋体" w:hAnsi="宋体" w:cs="宋体"/>
          <w:sz w:val="24"/>
          <w:szCs w:val="28"/>
        </w:rPr>
        <w:t>6.不在提供产品时“偷梁换柱、以次充好”损害采购人的合法权益；</w:t>
      </w:r>
    </w:p>
    <w:p w14:paraId="4010B452">
      <w:pPr>
        <w:spacing w:line="440" w:lineRule="exact"/>
        <w:ind w:firstLine="480" w:firstLineChars="200"/>
        <w:rPr>
          <w:rFonts w:hint="eastAsia" w:ascii="宋体" w:hAnsi="宋体" w:cs="宋体"/>
          <w:sz w:val="24"/>
          <w:szCs w:val="28"/>
        </w:rPr>
      </w:pPr>
      <w:r>
        <w:rPr>
          <w:rFonts w:hint="eastAsia" w:ascii="宋体" w:hAnsi="宋体" w:cs="宋体"/>
          <w:sz w:val="24"/>
          <w:szCs w:val="28"/>
        </w:rPr>
        <w:t>7.不与采购人、采购代理机构政府采购评审专家或其它供应商恶意串通，进行质疑和投诉，维护政府采购市场秩序；</w:t>
      </w:r>
    </w:p>
    <w:p w14:paraId="5BE27798">
      <w:pPr>
        <w:spacing w:line="440" w:lineRule="exact"/>
        <w:ind w:firstLine="480" w:firstLineChars="200"/>
        <w:rPr>
          <w:rFonts w:hint="eastAsia" w:ascii="宋体" w:hAnsi="宋体" w:cs="宋体"/>
          <w:sz w:val="24"/>
          <w:szCs w:val="28"/>
        </w:rPr>
      </w:pPr>
      <w:r>
        <w:rPr>
          <w:rFonts w:hint="eastAsia" w:ascii="宋体" w:hAnsi="宋体" w:cs="宋体"/>
          <w:sz w:val="24"/>
          <w:szCs w:val="28"/>
        </w:rPr>
        <w:t>8.尊重和接受政府采购监督管理部门的监督和政府采购代理机构招标采购要求，承担因违约行为给采购人造成的损失；</w:t>
      </w:r>
    </w:p>
    <w:p w14:paraId="1A12D8D7">
      <w:pPr>
        <w:spacing w:line="440" w:lineRule="exact"/>
        <w:ind w:firstLine="480" w:firstLineChars="200"/>
        <w:rPr>
          <w:rFonts w:hint="eastAsia" w:ascii="宋体" w:hAnsi="宋体" w:cs="宋体"/>
          <w:sz w:val="24"/>
          <w:szCs w:val="28"/>
        </w:rPr>
      </w:pPr>
      <w:r>
        <w:rPr>
          <w:rFonts w:hint="eastAsia" w:ascii="宋体" w:hAnsi="宋体" w:cs="宋体"/>
          <w:sz w:val="24"/>
          <w:szCs w:val="28"/>
        </w:rPr>
        <w:t>9.不发生其他有悖于政府采购公开、公平、公正和诚信原则的行为。</w:t>
      </w:r>
    </w:p>
    <w:p w14:paraId="601562AE">
      <w:pPr>
        <w:spacing w:line="440" w:lineRule="exact"/>
        <w:ind w:firstLine="480" w:firstLineChars="200"/>
        <w:rPr>
          <w:rFonts w:hint="eastAsia" w:ascii="宋体" w:hAnsi="宋体" w:cs="宋体"/>
          <w:sz w:val="24"/>
          <w:szCs w:val="28"/>
        </w:rPr>
      </w:pPr>
    </w:p>
    <w:p w14:paraId="2F779E5B">
      <w:pPr>
        <w:spacing w:line="440" w:lineRule="exact"/>
        <w:ind w:firstLine="480" w:firstLineChars="200"/>
        <w:rPr>
          <w:rFonts w:hint="eastAsia" w:ascii="宋体" w:hAnsi="宋体" w:cs="宋体"/>
          <w:sz w:val="24"/>
          <w:szCs w:val="28"/>
        </w:rPr>
      </w:pPr>
      <w:r>
        <w:rPr>
          <w:rFonts w:hint="eastAsia" w:ascii="宋体" w:hAnsi="宋体" w:cs="宋体"/>
          <w:sz w:val="24"/>
          <w:szCs w:val="28"/>
        </w:rPr>
        <w:t>承诺单位：</w:t>
      </w:r>
      <w:r>
        <w:rPr>
          <w:rFonts w:hint="eastAsia" w:ascii="宋体" w:hAnsi="宋体" w:cs="宋体"/>
          <w:sz w:val="24"/>
          <w:szCs w:val="28"/>
          <w:u w:val="single"/>
        </w:rPr>
        <w:t xml:space="preserve">                    </w:t>
      </w:r>
      <w:r>
        <w:rPr>
          <w:rFonts w:hint="eastAsia" w:ascii="宋体" w:hAnsi="宋体" w:cs="宋体"/>
          <w:sz w:val="24"/>
          <w:szCs w:val="28"/>
        </w:rPr>
        <w:t>（盖章）</w:t>
      </w:r>
    </w:p>
    <w:p w14:paraId="1B02C72D">
      <w:pPr>
        <w:spacing w:line="440" w:lineRule="exact"/>
        <w:ind w:firstLine="360" w:firstLineChars="150"/>
        <w:rPr>
          <w:rFonts w:hint="eastAsia" w:ascii="宋体" w:hAnsi="宋体" w:cs="宋体"/>
          <w:sz w:val="24"/>
          <w:szCs w:val="28"/>
        </w:rPr>
      </w:pPr>
    </w:p>
    <w:p w14:paraId="549FD313">
      <w:pPr>
        <w:spacing w:line="440" w:lineRule="exact"/>
        <w:ind w:firstLine="480" w:firstLineChars="200"/>
        <w:rPr>
          <w:rFonts w:hint="eastAsia" w:ascii="宋体" w:hAnsi="宋体" w:cs="宋体"/>
          <w:sz w:val="24"/>
          <w:szCs w:val="28"/>
        </w:rPr>
      </w:pPr>
      <w:r>
        <w:rPr>
          <w:rFonts w:hint="eastAsia" w:ascii="宋体" w:hAnsi="宋体" w:cs="宋体"/>
          <w:sz w:val="24"/>
          <w:szCs w:val="28"/>
        </w:rPr>
        <w:t>全权代表：</w:t>
      </w:r>
      <w:r>
        <w:rPr>
          <w:rFonts w:hint="eastAsia" w:ascii="宋体" w:hAnsi="宋体" w:cs="宋体"/>
          <w:sz w:val="24"/>
          <w:szCs w:val="28"/>
          <w:u w:val="single"/>
        </w:rPr>
        <w:t xml:space="preserve">                    </w:t>
      </w:r>
      <w:r>
        <w:rPr>
          <w:rFonts w:hint="eastAsia" w:ascii="宋体" w:hAnsi="宋体" w:cs="宋体"/>
          <w:sz w:val="24"/>
        </w:rPr>
        <w:t>（签字或盖章）</w:t>
      </w:r>
    </w:p>
    <w:p w14:paraId="127175EB">
      <w:pPr>
        <w:spacing w:line="440" w:lineRule="exact"/>
        <w:ind w:firstLine="360" w:firstLineChars="150"/>
        <w:rPr>
          <w:rFonts w:hint="eastAsia" w:ascii="宋体" w:hAnsi="宋体" w:cs="宋体"/>
          <w:sz w:val="24"/>
          <w:szCs w:val="28"/>
        </w:rPr>
      </w:pPr>
    </w:p>
    <w:p w14:paraId="25C56F12">
      <w:pPr>
        <w:spacing w:line="440" w:lineRule="exact"/>
        <w:ind w:firstLine="480" w:firstLineChars="200"/>
        <w:rPr>
          <w:rFonts w:hint="eastAsia" w:ascii="宋体" w:hAnsi="宋体" w:cs="宋体"/>
          <w:sz w:val="24"/>
          <w:szCs w:val="28"/>
        </w:rPr>
      </w:pPr>
      <w:r>
        <w:rPr>
          <w:rFonts w:hint="eastAsia" w:ascii="宋体" w:hAnsi="宋体" w:cs="宋体"/>
          <w:sz w:val="24"/>
          <w:szCs w:val="28"/>
        </w:rPr>
        <w:t xml:space="preserve">地址： </w:t>
      </w:r>
      <w:r>
        <w:rPr>
          <w:rFonts w:hint="eastAsia" w:ascii="宋体" w:hAnsi="宋体" w:cs="宋体"/>
          <w:sz w:val="24"/>
          <w:szCs w:val="28"/>
          <w:u w:val="single"/>
        </w:rPr>
        <w:t xml:space="preserve">                        </w:t>
      </w:r>
      <w:r>
        <w:rPr>
          <w:rFonts w:hint="eastAsia" w:ascii="宋体" w:hAnsi="宋体" w:cs="宋体"/>
          <w:sz w:val="24"/>
          <w:szCs w:val="28"/>
        </w:rPr>
        <w:t xml:space="preserve">   邮编：</w:t>
      </w:r>
      <w:r>
        <w:rPr>
          <w:rFonts w:hint="eastAsia" w:ascii="宋体" w:hAnsi="宋体" w:cs="宋体"/>
          <w:sz w:val="24"/>
          <w:szCs w:val="28"/>
          <w:u w:val="single"/>
        </w:rPr>
        <w:t xml:space="preserve">               </w:t>
      </w:r>
    </w:p>
    <w:p w14:paraId="2242CFF2">
      <w:pPr>
        <w:spacing w:line="440" w:lineRule="exact"/>
        <w:ind w:firstLine="480" w:firstLineChars="200"/>
        <w:rPr>
          <w:rFonts w:hint="eastAsia" w:ascii="宋体" w:hAnsi="宋体" w:cs="宋体"/>
          <w:sz w:val="24"/>
          <w:szCs w:val="28"/>
        </w:rPr>
      </w:pPr>
    </w:p>
    <w:p w14:paraId="7830388C">
      <w:pPr>
        <w:spacing w:line="440" w:lineRule="exact"/>
        <w:ind w:firstLine="480" w:firstLineChars="200"/>
        <w:rPr>
          <w:rFonts w:hint="eastAsia" w:ascii="宋体" w:hAnsi="宋体" w:cs="宋体"/>
          <w:sz w:val="24"/>
          <w:szCs w:val="28"/>
        </w:rPr>
      </w:pPr>
      <w:r>
        <w:rPr>
          <w:rFonts w:hint="eastAsia" w:ascii="宋体" w:hAnsi="宋体" w:cs="宋体"/>
          <w:sz w:val="24"/>
          <w:szCs w:val="28"/>
        </w:rPr>
        <w:t>电话：</w:t>
      </w:r>
      <w:r>
        <w:rPr>
          <w:rFonts w:hint="eastAsia" w:ascii="宋体" w:hAnsi="宋体" w:cs="宋体"/>
          <w:sz w:val="24"/>
          <w:szCs w:val="28"/>
          <w:u w:val="single"/>
        </w:rPr>
        <w:t xml:space="preserve">                   </w:t>
      </w:r>
    </w:p>
    <w:p w14:paraId="6CF6578E">
      <w:pPr>
        <w:spacing w:line="440" w:lineRule="exact"/>
        <w:ind w:firstLine="480" w:firstLineChars="200"/>
        <w:rPr>
          <w:rFonts w:hint="eastAsia" w:ascii="宋体" w:hAnsi="宋体" w:cs="宋体"/>
          <w:sz w:val="24"/>
          <w:szCs w:val="28"/>
        </w:rPr>
      </w:pPr>
    </w:p>
    <w:p w14:paraId="4189D6CD">
      <w:pPr>
        <w:spacing w:line="440" w:lineRule="exact"/>
        <w:ind w:firstLine="360" w:firstLineChars="150"/>
        <w:rPr>
          <w:rFonts w:hint="eastAsia" w:ascii="宋体" w:hAnsi="宋体" w:cs="宋体"/>
          <w:sz w:val="24"/>
          <w:szCs w:val="28"/>
        </w:rPr>
      </w:pPr>
    </w:p>
    <w:p w14:paraId="600245D2">
      <w:pPr>
        <w:spacing w:line="440" w:lineRule="exact"/>
        <w:ind w:right="480" w:firstLine="360" w:firstLineChars="150"/>
        <w:jc w:val="center"/>
        <w:rPr>
          <w:rFonts w:hint="eastAsia" w:ascii="宋体" w:hAnsi="宋体" w:cs="宋体"/>
          <w:sz w:val="24"/>
          <w:szCs w:val="28"/>
        </w:rPr>
      </w:pPr>
      <w:r>
        <w:rPr>
          <w:rFonts w:hint="eastAsia" w:ascii="宋体" w:hAnsi="宋体" w:cs="宋体"/>
          <w:sz w:val="24"/>
          <w:szCs w:val="28"/>
        </w:rPr>
        <w:t xml:space="preserve">                                            </w:t>
      </w:r>
      <w:r>
        <w:rPr>
          <w:rFonts w:hint="eastAsia" w:ascii="宋体" w:hAnsi="宋体" w:cs="宋体"/>
          <w:sz w:val="24"/>
          <w:szCs w:val="28"/>
          <w:u w:val="single"/>
        </w:rPr>
        <w:t xml:space="preserve">    </w:t>
      </w:r>
      <w:r>
        <w:rPr>
          <w:rFonts w:hint="eastAsia" w:ascii="宋体" w:hAnsi="宋体" w:cs="宋体"/>
          <w:sz w:val="24"/>
          <w:szCs w:val="28"/>
        </w:rPr>
        <w:t xml:space="preserve"> 年</w:t>
      </w:r>
      <w:r>
        <w:rPr>
          <w:rFonts w:hint="eastAsia" w:ascii="宋体" w:hAnsi="宋体" w:cs="宋体"/>
          <w:sz w:val="24"/>
          <w:szCs w:val="28"/>
          <w:u w:val="single"/>
        </w:rPr>
        <w:t xml:space="preserve">    </w:t>
      </w:r>
      <w:r>
        <w:rPr>
          <w:rFonts w:hint="eastAsia" w:ascii="宋体" w:hAnsi="宋体" w:cs="宋体"/>
          <w:sz w:val="24"/>
          <w:szCs w:val="28"/>
        </w:rPr>
        <w:t>月</w:t>
      </w:r>
      <w:r>
        <w:rPr>
          <w:rFonts w:hint="eastAsia" w:ascii="宋体" w:hAnsi="宋体" w:cs="宋体"/>
          <w:sz w:val="24"/>
          <w:szCs w:val="28"/>
          <w:u w:val="single"/>
        </w:rPr>
        <w:t xml:space="preserve">    </w:t>
      </w:r>
      <w:r>
        <w:rPr>
          <w:rFonts w:hint="eastAsia" w:ascii="宋体" w:hAnsi="宋体" w:cs="宋体"/>
          <w:sz w:val="24"/>
          <w:szCs w:val="28"/>
        </w:rPr>
        <w:t>日</w:t>
      </w:r>
    </w:p>
    <w:p w14:paraId="523D70D7">
      <w:pPr>
        <w:spacing w:line="360" w:lineRule="atLeast"/>
        <w:ind w:firstLine="4189" w:firstLineChars="1304"/>
        <w:rPr>
          <w:rFonts w:hint="eastAsia" w:ascii="宋体" w:hAnsi="宋体" w:cs="宋体"/>
          <w:b/>
          <w:sz w:val="32"/>
          <w:szCs w:val="32"/>
        </w:rPr>
      </w:pPr>
      <w:r>
        <w:rPr>
          <w:rFonts w:hint="eastAsia" w:ascii="宋体" w:hAnsi="宋体" w:cs="宋体"/>
          <w:b/>
          <w:sz w:val="32"/>
          <w:szCs w:val="32"/>
        </w:rPr>
        <w:t>承诺书Ⅱ</w:t>
      </w:r>
    </w:p>
    <w:tbl>
      <w:tblPr>
        <w:tblStyle w:val="1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92B7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1A1EC2FF">
            <w:pPr>
              <w:spacing w:line="360" w:lineRule="atLeast"/>
              <w:rPr>
                <w:rFonts w:hint="eastAsia" w:ascii="宋体" w:hAnsi="宋体" w:cs="宋体"/>
                <w:sz w:val="24"/>
              </w:rPr>
            </w:pPr>
            <w:r>
              <w:rPr>
                <w:rFonts w:hint="eastAsia" w:ascii="宋体" w:hAnsi="宋体" w:cs="宋体"/>
                <w:sz w:val="24"/>
              </w:rPr>
              <w:t xml:space="preserve">致：铭森信达（陕西）项目管理有限公司 </w:t>
            </w:r>
          </w:p>
        </w:tc>
      </w:tr>
      <w:tr w14:paraId="40EE7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0292485B">
            <w:pPr>
              <w:spacing w:line="360" w:lineRule="atLeast"/>
              <w:ind w:firstLine="480" w:firstLineChars="200"/>
              <w:rPr>
                <w:rFonts w:hint="eastAsia" w:ascii="宋体" w:hAnsi="宋体" w:cs="宋体"/>
                <w:sz w:val="24"/>
              </w:rPr>
            </w:pPr>
            <w:r>
              <w:rPr>
                <w:rFonts w:hint="eastAsia" w:ascii="宋体" w:hAnsi="宋体" w:cs="宋体"/>
                <w:sz w:val="24"/>
              </w:rPr>
              <w:t>作为参加贵单位组织的招标采购项目的投标单位，本公司承诺：在参加本项目招标之前不存在被依法禁止经营行为、财产被接管或冻结的情况，如有隐瞒实情，愿承担一切责任及后果。</w:t>
            </w:r>
          </w:p>
        </w:tc>
      </w:tr>
      <w:tr w14:paraId="109C3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784CA70">
            <w:pPr>
              <w:spacing w:line="360" w:lineRule="atLeast"/>
              <w:jc w:val="center"/>
              <w:rPr>
                <w:rFonts w:hint="eastAsia" w:ascii="宋体" w:hAnsi="宋体" w:cs="宋体"/>
                <w:sz w:val="24"/>
              </w:rPr>
            </w:pPr>
            <w:r>
              <w:rPr>
                <w:rFonts w:hint="eastAsia" w:ascii="宋体" w:hAnsi="宋体" w:cs="宋体"/>
                <w:sz w:val="24"/>
              </w:rPr>
              <w:t>投标单位</w:t>
            </w:r>
          </w:p>
        </w:tc>
        <w:tc>
          <w:tcPr>
            <w:tcW w:w="3420" w:type="dxa"/>
            <w:vAlign w:val="center"/>
          </w:tcPr>
          <w:p w14:paraId="5C56F9BC">
            <w:pPr>
              <w:spacing w:line="360" w:lineRule="atLeast"/>
              <w:jc w:val="center"/>
              <w:rPr>
                <w:rFonts w:hint="eastAsia" w:ascii="宋体" w:hAnsi="宋体" w:cs="宋体"/>
                <w:sz w:val="24"/>
              </w:rPr>
            </w:pPr>
            <w:r>
              <w:rPr>
                <w:rFonts w:hint="eastAsia" w:ascii="宋体" w:hAnsi="宋体" w:cs="宋体"/>
                <w:sz w:val="24"/>
              </w:rPr>
              <w:t>法定代表人</w:t>
            </w:r>
          </w:p>
        </w:tc>
        <w:tc>
          <w:tcPr>
            <w:tcW w:w="2340" w:type="dxa"/>
            <w:vAlign w:val="center"/>
          </w:tcPr>
          <w:p w14:paraId="0FB79357">
            <w:pPr>
              <w:spacing w:line="360" w:lineRule="atLeast"/>
              <w:jc w:val="center"/>
              <w:rPr>
                <w:rFonts w:hint="eastAsia" w:ascii="宋体" w:hAnsi="宋体" w:cs="宋体"/>
                <w:sz w:val="24"/>
              </w:rPr>
            </w:pPr>
            <w:r>
              <w:rPr>
                <w:rFonts w:hint="eastAsia" w:ascii="宋体" w:hAnsi="宋体" w:cs="宋体"/>
                <w:sz w:val="24"/>
              </w:rPr>
              <w:t>日  期</w:t>
            </w:r>
          </w:p>
        </w:tc>
      </w:tr>
      <w:tr w14:paraId="16771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3C1AD0A">
            <w:pPr>
              <w:spacing w:line="360" w:lineRule="atLeast"/>
              <w:jc w:val="center"/>
              <w:rPr>
                <w:rFonts w:hint="eastAsia" w:ascii="宋体" w:hAnsi="宋体" w:cs="宋体"/>
                <w:sz w:val="24"/>
              </w:rPr>
            </w:pPr>
            <w:r>
              <w:rPr>
                <w:rFonts w:hint="eastAsia" w:ascii="宋体" w:hAnsi="宋体" w:cs="宋体"/>
                <w:sz w:val="24"/>
              </w:rPr>
              <w:t>（企业公章）</w:t>
            </w:r>
          </w:p>
        </w:tc>
        <w:tc>
          <w:tcPr>
            <w:tcW w:w="3420" w:type="dxa"/>
            <w:vAlign w:val="center"/>
          </w:tcPr>
          <w:p w14:paraId="48182CC7">
            <w:pPr>
              <w:spacing w:line="360" w:lineRule="atLeast"/>
              <w:jc w:val="center"/>
              <w:rPr>
                <w:rFonts w:hint="eastAsia" w:ascii="宋体" w:hAnsi="宋体" w:cs="宋体"/>
                <w:sz w:val="24"/>
              </w:rPr>
            </w:pPr>
            <w:r>
              <w:rPr>
                <w:rFonts w:hint="eastAsia" w:ascii="宋体" w:hAnsi="宋体" w:cs="宋体"/>
                <w:sz w:val="24"/>
              </w:rPr>
              <w:t>（签字或盖章）</w:t>
            </w:r>
          </w:p>
        </w:tc>
        <w:tc>
          <w:tcPr>
            <w:tcW w:w="2340" w:type="dxa"/>
            <w:vAlign w:val="center"/>
          </w:tcPr>
          <w:p w14:paraId="627AA775">
            <w:pPr>
              <w:spacing w:line="360" w:lineRule="atLeast"/>
              <w:ind w:firstLine="240" w:firstLineChars="100"/>
              <w:jc w:val="center"/>
              <w:rPr>
                <w:rFonts w:hint="eastAsia" w:ascii="宋体" w:hAnsi="宋体" w:cs="宋体"/>
                <w:sz w:val="24"/>
              </w:rPr>
            </w:pPr>
            <w:r>
              <w:rPr>
                <w:rFonts w:hint="eastAsia" w:ascii="宋体" w:hAnsi="宋体" w:cs="宋体"/>
                <w:sz w:val="24"/>
              </w:rPr>
              <w:t>年  月  日</w:t>
            </w:r>
          </w:p>
        </w:tc>
      </w:tr>
    </w:tbl>
    <w:p w14:paraId="7127F08D">
      <w:pPr>
        <w:spacing w:line="360" w:lineRule="atLeast"/>
        <w:rPr>
          <w:rFonts w:hint="eastAsia" w:ascii="宋体" w:hAnsi="宋体" w:cs="宋体"/>
          <w:b/>
          <w:sz w:val="42"/>
          <w:szCs w:val="42"/>
        </w:rPr>
      </w:pPr>
    </w:p>
    <w:p w14:paraId="24444271">
      <w:pPr>
        <w:spacing w:line="360" w:lineRule="atLeast"/>
        <w:jc w:val="center"/>
        <w:rPr>
          <w:rFonts w:hint="eastAsia" w:ascii="宋体" w:hAnsi="宋体" w:cs="宋体"/>
          <w:b/>
          <w:sz w:val="32"/>
          <w:szCs w:val="32"/>
        </w:rPr>
      </w:pPr>
      <w:r>
        <w:rPr>
          <w:rFonts w:hint="eastAsia" w:ascii="宋体" w:hAnsi="宋体" w:cs="宋体"/>
          <w:b/>
          <w:sz w:val="32"/>
          <w:szCs w:val="32"/>
        </w:rPr>
        <w:t>承诺书Ⅲ</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2"/>
        <w:gridCol w:w="3765"/>
        <w:gridCol w:w="2577"/>
      </w:tblGrid>
      <w:tr w14:paraId="79E91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474" w:type="dxa"/>
            <w:gridSpan w:val="3"/>
            <w:vAlign w:val="center"/>
          </w:tcPr>
          <w:p w14:paraId="69B5AE35">
            <w:pPr>
              <w:spacing w:line="360" w:lineRule="atLeast"/>
              <w:rPr>
                <w:rFonts w:hint="eastAsia" w:ascii="宋体" w:hAnsi="宋体" w:cs="宋体"/>
                <w:sz w:val="24"/>
              </w:rPr>
            </w:pPr>
            <w:r>
              <w:rPr>
                <w:rFonts w:hint="eastAsia" w:ascii="宋体" w:hAnsi="宋体" w:cs="宋体"/>
                <w:sz w:val="24"/>
              </w:rPr>
              <w:t xml:space="preserve">致：铭森信达（陕西）项目管理有限公司 </w:t>
            </w:r>
          </w:p>
        </w:tc>
      </w:tr>
      <w:tr w14:paraId="183CD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9474" w:type="dxa"/>
            <w:gridSpan w:val="3"/>
            <w:vAlign w:val="center"/>
          </w:tcPr>
          <w:p w14:paraId="7E9EBC10">
            <w:pPr>
              <w:spacing w:line="360" w:lineRule="atLeast"/>
              <w:ind w:firstLine="480" w:firstLineChars="200"/>
              <w:rPr>
                <w:rFonts w:hint="eastAsia" w:ascii="宋体" w:hAnsi="宋体" w:cs="宋体"/>
                <w:sz w:val="24"/>
              </w:rPr>
            </w:pPr>
            <w:r>
              <w:rPr>
                <w:rFonts w:hint="eastAsia" w:ascii="宋体" w:hAnsi="宋体" w:cs="宋体"/>
                <w:sz w:val="24"/>
              </w:rPr>
              <w:t>作为参加贵公司组织的谈判采购项目的投标单位，本公司郑重申告：近三年因产品（设备）供货问题（水货、替代品、次品、翻新品等）的不法行为记录为</w:t>
            </w:r>
            <w:r>
              <w:rPr>
                <w:rFonts w:hint="eastAsia" w:ascii="宋体" w:hAnsi="宋体" w:cs="宋体"/>
                <w:sz w:val="24"/>
                <w:u w:val="single"/>
              </w:rPr>
              <w:t xml:space="preserve">   </w:t>
            </w:r>
            <w:r>
              <w:rPr>
                <w:rFonts w:hint="eastAsia" w:ascii="宋体" w:hAnsi="宋体" w:cs="宋体"/>
                <w:sz w:val="24"/>
              </w:rPr>
              <w:t>次（没有填零），如有隐瞒实情，愿承担一切责任及后果。</w:t>
            </w:r>
          </w:p>
          <w:p w14:paraId="2AA1B22B">
            <w:pPr>
              <w:spacing w:line="360" w:lineRule="atLeast"/>
              <w:ind w:firstLine="360" w:firstLineChars="150"/>
              <w:rPr>
                <w:rFonts w:hint="eastAsia" w:ascii="宋体" w:hAnsi="宋体" w:cs="宋体"/>
                <w:sz w:val="24"/>
              </w:rPr>
            </w:pPr>
            <w:r>
              <w:rPr>
                <w:rFonts w:hint="eastAsia" w:ascii="宋体" w:hAnsi="宋体" w:cs="宋体"/>
                <w:sz w:val="24"/>
              </w:rPr>
              <w:t>本公司承诺：本次投标标的物为正品行货。</w:t>
            </w:r>
          </w:p>
        </w:tc>
      </w:tr>
      <w:tr w14:paraId="2DF0E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132" w:type="dxa"/>
            <w:vAlign w:val="center"/>
          </w:tcPr>
          <w:p w14:paraId="70C1F9AA">
            <w:pPr>
              <w:spacing w:line="360" w:lineRule="atLeast"/>
              <w:jc w:val="center"/>
              <w:rPr>
                <w:rFonts w:hint="eastAsia" w:ascii="宋体" w:hAnsi="宋体" w:cs="宋体"/>
                <w:sz w:val="24"/>
              </w:rPr>
            </w:pPr>
            <w:r>
              <w:rPr>
                <w:rFonts w:hint="eastAsia" w:ascii="宋体" w:hAnsi="宋体" w:cs="宋体"/>
                <w:sz w:val="24"/>
              </w:rPr>
              <w:t>投标单位</w:t>
            </w:r>
          </w:p>
        </w:tc>
        <w:tc>
          <w:tcPr>
            <w:tcW w:w="3765" w:type="dxa"/>
            <w:vAlign w:val="center"/>
          </w:tcPr>
          <w:p w14:paraId="5C93DFF9">
            <w:pPr>
              <w:spacing w:line="360" w:lineRule="atLeast"/>
              <w:jc w:val="center"/>
              <w:rPr>
                <w:rFonts w:hint="eastAsia" w:ascii="宋体" w:hAnsi="宋体" w:cs="宋体"/>
                <w:sz w:val="24"/>
              </w:rPr>
            </w:pPr>
            <w:r>
              <w:rPr>
                <w:rFonts w:hint="eastAsia" w:ascii="宋体" w:hAnsi="宋体" w:cs="宋体"/>
                <w:sz w:val="24"/>
              </w:rPr>
              <w:t>法定代表人</w:t>
            </w:r>
          </w:p>
        </w:tc>
        <w:tc>
          <w:tcPr>
            <w:tcW w:w="2577" w:type="dxa"/>
            <w:vAlign w:val="center"/>
          </w:tcPr>
          <w:p w14:paraId="30043EFB">
            <w:pPr>
              <w:spacing w:line="360" w:lineRule="atLeast"/>
              <w:jc w:val="center"/>
              <w:rPr>
                <w:rFonts w:hint="eastAsia" w:ascii="宋体" w:hAnsi="宋体" w:cs="宋体"/>
                <w:sz w:val="24"/>
              </w:rPr>
            </w:pPr>
            <w:r>
              <w:rPr>
                <w:rFonts w:hint="eastAsia" w:ascii="宋体" w:hAnsi="宋体" w:cs="宋体"/>
                <w:sz w:val="24"/>
              </w:rPr>
              <w:t>日   期</w:t>
            </w:r>
          </w:p>
        </w:tc>
      </w:tr>
      <w:tr w14:paraId="366B6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9" w:hRule="atLeast"/>
          <w:jc w:val="center"/>
        </w:trPr>
        <w:tc>
          <w:tcPr>
            <w:tcW w:w="3132" w:type="dxa"/>
            <w:vAlign w:val="center"/>
          </w:tcPr>
          <w:p w14:paraId="0F2AD7BF">
            <w:pPr>
              <w:spacing w:line="360" w:lineRule="atLeast"/>
              <w:jc w:val="center"/>
              <w:rPr>
                <w:rFonts w:hint="eastAsia" w:ascii="宋体" w:hAnsi="宋体" w:cs="宋体"/>
                <w:sz w:val="24"/>
              </w:rPr>
            </w:pPr>
            <w:r>
              <w:rPr>
                <w:rFonts w:hint="eastAsia" w:ascii="宋体" w:hAnsi="宋体" w:cs="宋体"/>
                <w:sz w:val="24"/>
              </w:rPr>
              <w:t>（公章）</w:t>
            </w:r>
          </w:p>
        </w:tc>
        <w:tc>
          <w:tcPr>
            <w:tcW w:w="3765" w:type="dxa"/>
            <w:vAlign w:val="center"/>
          </w:tcPr>
          <w:p w14:paraId="79A36DEF">
            <w:pPr>
              <w:spacing w:line="360" w:lineRule="atLeast"/>
              <w:jc w:val="center"/>
              <w:rPr>
                <w:rFonts w:hint="eastAsia" w:ascii="宋体" w:hAnsi="宋体" w:cs="宋体"/>
                <w:sz w:val="24"/>
              </w:rPr>
            </w:pPr>
            <w:r>
              <w:rPr>
                <w:rFonts w:hint="eastAsia" w:ascii="宋体" w:hAnsi="宋体" w:cs="宋体"/>
                <w:sz w:val="24"/>
              </w:rPr>
              <w:t>（签字或盖章）</w:t>
            </w:r>
          </w:p>
        </w:tc>
        <w:tc>
          <w:tcPr>
            <w:tcW w:w="2577" w:type="dxa"/>
            <w:vAlign w:val="center"/>
          </w:tcPr>
          <w:p w14:paraId="0DBD68D5">
            <w:pPr>
              <w:spacing w:line="360" w:lineRule="atLeast"/>
              <w:ind w:firstLine="240" w:firstLineChars="100"/>
              <w:jc w:val="center"/>
              <w:rPr>
                <w:rFonts w:hint="eastAsia" w:ascii="宋体" w:hAnsi="宋体" w:cs="宋体"/>
                <w:sz w:val="24"/>
              </w:rPr>
            </w:pPr>
            <w:r>
              <w:rPr>
                <w:rFonts w:hint="eastAsia" w:ascii="宋体" w:hAnsi="宋体" w:cs="宋体"/>
                <w:sz w:val="24"/>
              </w:rPr>
              <w:t>年  月  日</w:t>
            </w:r>
          </w:p>
        </w:tc>
      </w:tr>
    </w:tbl>
    <w:p w14:paraId="50A938FD">
      <w:pPr>
        <w:spacing w:line="360" w:lineRule="atLeast"/>
        <w:rPr>
          <w:rFonts w:hint="eastAsia" w:ascii="宋体" w:hAnsi="宋体" w:cs="宋体"/>
          <w:b/>
          <w:sz w:val="32"/>
          <w:szCs w:val="32"/>
        </w:rPr>
      </w:pPr>
    </w:p>
    <w:p w14:paraId="06FC2C63">
      <w:pPr>
        <w:spacing w:line="360" w:lineRule="atLeast"/>
        <w:jc w:val="center"/>
        <w:rPr>
          <w:rFonts w:hint="eastAsia" w:ascii="宋体" w:hAnsi="宋体" w:cs="宋体"/>
          <w:b/>
          <w:sz w:val="32"/>
          <w:szCs w:val="32"/>
        </w:rPr>
      </w:pPr>
      <w:r>
        <w:rPr>
          <w:rFonts w:hint="eastAsia" w:ascii="宋体" w:hAnsi="宋体" w:cs="宋体"/>
          <w:b/>
          <w:sz w:val="32"/>
          <w:szCs w:val="32"/>
        </w:rPr>
        <w:t>承诺书Ⅳ</w:t>
      </w:r>
    </w:p>
    <w:tbl>
      <w:tblPr>
        <w:tblStyle w:val="1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792E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133F89B7">
            <w:pPr>
              <w:spacing w:line="360" w:lineRule="atLeast"/>
              <w:rPr>
                <w:rFonts w:hint="eastAsia" w:ascii="宋体" w:hAnsi="宋体" w:cs="宋体"/>
                <w:sz w:val="24"/>
              </w:rPr>
            </w:pPr>
            <w:r>
              <w:rPr>
                <w:rFonts w:hint="eastAsia" w:ascii="宋体" w:hAnsi="宋体" w:cs="宋体"/>
                <w:sz w:val="24"/>
              </w:rPr>
              <w:t xml:space="preserve">致：铭森信达（陕西）项目管理有限公司 </w:t>
            </w:r>
          </w:p>
        </w:tc>
      </w:tr>
      <w:tr w14:paraId="5ACBF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A35535E">
            <w:pPr>
              <w:spacing w:line="360" w:lineRule="atLeast"/>
              <w:ind w:firstLine="480" w:firstLineChars="200"/>
              <w:rPr>
                <w:rFonts w:hint="eastAsia" w:ascii="宋体" w:hAnsi="宋体" w:cs="宋体"/>
                <w:sz w:val="24"/>
              </w:rPr>
            </w:pPr>
            <w:r>
              <w:rPr>
                <w:rFonts w:hint="eastAsia" w:ascii="宋体" w:hAnsi="宋体" w:cs="宋体"/>
                <w:sz w:val="24"/>
              </w:rPr>
              <w:t>作为参加贵公司组织的招标采购项目的投标单位，本公司承诺：参加本次投标提交的所有资质证明文件及业绩证明是真实的、有效的，如有隐瞒实情，愿承担一切责任及后果。</w:t>
            </w:r>
          </w:p>
        </w:tc>
      </w:tr>
      <w:tr w14:paraId="10517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E50AAFC">
            <w:pPr>
              <w:spacing w:line="360" w:lineRule="atLeast"/>
              <w:jc w:val="center"/>
              <w:rPr>
                <w:rFonts w:hint="eastAsia" w:ascii="宋体" w:hAnsi="宋体" w:cs="宋体"/>
                <w:sz w:val="24"/>
              </w:rPr>
            </w:pPr>
            <w:r>
              <w:rPr>
                <w:rFonts w:hint="eastAsia" w:ascii="宋体" w:hAnsi="宋体" w:cs="宋体"/>
                <w:sz w:val="24"/>
              </w:rPr>
              <w:t>投标单位</w:t>
            </w:r>
          </w:p>
        </w:tc>
        <w:tc>
          <w:tcPr>
            <w:tcW w:w="3420" w:type="dxa"/>
            <w:vAlign w:val="center"/>
          </w:tcPr>
          <w:p w14:paraId="57BC6049">
            <w:pPr>
              <w:spacing w:line="360" w:lineRule="atLeast"/>
              <w:jc w:val="center"/>
              <w:rPr>
                <w:rFonts w:hint="eastAsia" w:ascii="宋体" w:hAnsi="宋体" w:cs="宋体"/>
                <w:sz w:val="24"/>
              </w:rPr>
            </w:pPr>
            <w:r>
              <w:rPr>
                <w:rFonts w:hint="eastAsia" w:ascii="宋体" w:hAnsi="宋体" w:cs="宋体"/>
                <w:sz w:val="24"/>
              </w:rPr>
              <w:t>法定代表人</w:t>
            </w:r>
          </w:p>
        </w:tc>
        <w:tc>
          <w:tcPr>
            <w:tcW w:w="2340" w:type="dxa"/>
            <w:vAlign w:val="center"/>
          </w:tcPr>
          <w:p w14:paraId="70C6A915">
            <w:pPr>
              <w:spacing w:line="360" w:lineRule="atLeast"/>
              <w:jc w:val="center"/>
              <w:rPr>
                <w:rFonts w:hint="eastAsia" w:ascii="宋体" w:hAnsi="宋体" w:cs="宋体"/>
                <w:sz w:val="24"/>
              </w:rPr>
            </w:pPr>
            <w:r>
              <w:rPr>
                <w:rFonts w:hint="eastAsia" w:ascii="宋体" w:hAnsi="宋体" w:cs="宋体"/>
                <w:sz w:val="24"/>
              </w:rPr>
              <w:t>日   期</w:t>
            </w:r>
          </w:p>
        </w:tc>
      </w:tr>
      <w:tr w14:paraId="056D1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18D330B">
            <w:pPr>
              <w:spacing w:line="360" w:lineRule="atLeast"/>
              <w:jc w:val="center"/>
              <w:rPr>
                <w:rFonts w:hint="eastAsia" w:ascii="宋体" w:hAnsi="宋体" w:cs="宋体"/>
                <w:sz w:val="24"/>
              </w:rPr>
            </w:pPr>
            <w:r>
              <w:rPr>
                <w:rFonts w:hint="eastAsia" w:ascii="宋体" w:hAnsi="宋体" w:cs="宋体"/>
                <w:sz w:val="24"/>
              </w:rPr>
              <w:t>（企业公章）</w:t>
            </w:r>
          </w:p>
        </w:tc>
        <w:tc>
          <w:tcPr>
            <w:tcW w:w="3420" w:type="dxa"/>
            <w:vAlign w:val="center"/>
          </w:tcPr>
          <w:p w14:paraId="40EBFBD2">
            <w:pPr>
              <w:spacing w:line="360" w:lineRule="atLeast"/>
              <w:jc w:val="center"/>
              <w:rPr>
                <w:rFonts w:hint="eastAsia" w:ascii="宋体" w:hAnsi="宋体" w:cs="宋体"/>
                <w:sz w:val="24"/>
              </w:rPr>
            </w:pPr>
            <w:r>
              <w:rPr>
                <w:rFonts w:hint="eastAsia" w:ascii="宋体" w:hAnsi="宋体" w:cs="宋体"/>
                <w:sz w:val="24"/>
              </w:rPr>
              <w:t>（签字或盖章）</w:t>
            </w:r>
          </w:p>
        </w:tc>
        <w:tc>
          <w:tcPr>
            <w:tcW w:w="2340" w:type="dxa"/>
            <w:vAlign w:val="center"/>
          </w:tcPr>
          <w:p w14:paraId="3828846D">
            <w:pPr>
              <w:spacing w:line="360" w:lineRule="atLeast"/>
              <w:ind w:firstLine="240" w:firstLineChars="100"/>
              <w:jc w:val="center"/>
              <w:rPr>
                <w:rFonts w:hint="eastAsia" w:ascii="宋体" w:hAnsi="宋体" w:cs="宋体"/>
                <w:sz w:val="24"/>
              </w:rPr>
            </w:pPr>
            <w:r>
              <w:rPr>
                <w:rFonts w:hint="eastAsia" w:ascii="宋体" w:hAnsi="宋体" w:cs="宋体"/>
                <w:sz w:val="24"/>
              </w:rPr>
              <w:t>年  月  日</w:t>
            </w:r>
          </w:p>
        </w:tc>
      </w:tr>
    </w:tbl>
    <w:p w14:paraId="45B07FF9">
      <w:pPr>
        <w:rPr>
          <w:rFonts w:hint="eastAsia" w:ascii="宋体" w:hAnsi="宋体" w:cs="宋体"/>
          <w:b/>
          <w:bCs/>
          <w:sz w:val="32"/>
          <w:szCs w:val="32"/>
        </w:rPr>
      </w:pPr>
      <w:bookmarkStart w:id="14" w:name="_Toc11970"/>
      <w:bookmarkStart w:id="15" w:name="_Toc25411"/>
      <w:r>
        <w:rPr>
          <w:rFonts w:hint="eastAsia" w:ascii="宋体" w:hAnsi="宋体" w:cs="宋体"/>
          <w:b/>
          <w:bCs/>
          <w:sz w:val="32"/>
          <w:szCs w:val="32"/>
        </w:rPr>
        <w:br w:type="page"/>
      </w:r>
    </w:p>
    <w:p w14:paraId="1F2A522B">
      <w:pPr>
        <w:tabs>
          <w:tab w:val="left" w:pos="1755"/>
        </w:tabs>
        <w:spacing w:line="500" w:lineRule="atLeast"/>
        <w:outlineLvl w:val="1"/>
        <w:rPr>
          <w:rFonts w:hint="eastAsia" w:ascii="宋体" w:hAnsi="宋体" w:cs="宋体"/>
          <w:b/>
          <w:bCs/>
          <w:sz w:val="32"/>
          <w:szCs w:val="32"/>
        </w:rPr>
      </w:pPr>
      <w:r>
        <w:rPr>
          <w:rFonts w:hint="eastAsia" w:ascii="宋体" w:hAnsi="宋体" w:cs="宋体"/>
          <w:b/>
          <w:bCs/>
          <w:sz w:val="32"/>
          <w:szCs w:val="32"/>
        </w:rPr>
        <w:t>附件</w:t>
      </w:r>
      <w:bookmarkEnd w:id="14"/>
      <w:bookmarkEnd w:id="15"/>
      <w:r>
        <w:rPr>
          <w:rFonts w:hint="eastAsia" w:ascii="宋体" w:hAnsi="宋体" w:cs="宋体"/>
          <w:b/>
          <w:bCs/>
          <w:sz w:val="32"/>
          <w:szCs w:val="32"/>
        </w:rPr>
        <w:t>3</w:t>
      </w:r>
    </w:p>
    <w:p w14:paraId="359F05E0">
      <w:pPr>
        <w:spacing w:line="360" w:lineRule="auto"/>
        <w:ind w:firstLine="557" w:firstLineChars="198"/>
        <w:jc w:val="center"/>
        <w:rPr>
          <w:rFonts w:hint="eastAsia" w:ascii="宋体" w:hAnsi="宋体" w:cs="宋体"/>
          <w:b/>
          <w:bCs/>
          <w:sz w:val="28"/>
          <w:szCs w:val="28"/>
        </w:rPr>
      </w:pPr>
      <w:bookmarkStart w:id="16" w:name="_Toc32499"/>
      <w:bookmarkStart w:id="17" w:name="_Toc26990"/>
      <w:r>
        <w:rPr>
          <w:rFonts w:hint="eastAsia" w:ascii="宋体" w:hAnsi="宋体" w:cs="宋体"/>
          <w:b/>
          <w:bCs/>
          <w:sz w:val="28"/>
          <w:szCs w:val="28"/>
        </w:rPr>
        <w:t xml:space="preserve">一、中小企业声明函（货物） </w:t>
      </w:r>
    </w:p>
    <w:p w14:paraId="30B13C71">
      <w:pPr>
        <w:spacing w:line="360" w:lineRule="auto"/>
        <w:ind w:firstLine="480" w:firstLineChars="200"/>
        <w:rPr>
          <w:rFonts w:hint="eastAsia" w:ascii="宋体" w:hAnsi="宋体" w:cs="宋体"/>
          <w:bCs/>
          <w:sz w:val="24"/>
        </w:rPr>
      </w:pPr>
      <w:r>
        <w:rPr>
          <w:rFonts w:hint="eastAsia" w:ascii="宋体" w:hAnsi="宋体" w:cs="宋体"/>
          <w:bCs/>
          <w:sz w:val="24"/>
        </w:rPr>
        <w:t>本公司（联合体）郑重声明，根据《政府采购促进中小企业发展管理办法》（财库﹝2020﹞46 号）的规定，本公司（联合体）参加（</w:t>
      </w:r>
      <w:r>
        <w:rPr>
          <w:rFonts w:hint="eastAsia" w:ascii="宋体" w:hAnsi="宋体" w:cs="宋体"/>
          <w:bCs/>
          <w:sz w:val="24"/>
          <w:u w:val="single"/>
        </w:rPr>
        <w:t>单位名称</w:t>
      </w:r>
      <w:r>
        <w:rPr>
          <w:rFonts w:hint="eastAsia" w:ascii="宋体" w:hAnsi="宋体" w:cs="宋体"/>
          <w:bCs/>
          <w:sz w:val="24"/>
        </w:rPr>
        <w:t>）的（</w:t>
      </w:r>
      <w:r>
        <w:rPr>
          <w:rFonts w:hint="eastAsia" w:ascii="宋体" w:hAnsi="宋体" w:cs="宋体"/>
          <w:bCs/>
          <w:sz w:val="24"/>
          <w:u w:val="single"/>
        </w:rPr>
        <w:t>项目名称</w:t>
      </w:r>
      <w:r>
        <w:rPr>
          <w:rFonts w:hint="eastAsia" w:ascii="宋体" w:hAnsi="宋体" w:cs="宋体"/>
          <w:bCs/>
          <w:sz w:val="24"/>
        </w:rPr>
        <w:t>）采购活动，提供的货物全部由符合政策要求的中小企业制造。相关企业（含联合体中的中小企业、签订分包意向协议的中小企业）的具体情况如下：</w:t>
      </w:r>
    </w:p>
    <w:p w14:paraId="1A687B44">
      <w:pPr>
        <w:spacing w:line="360" w:lineRule="auto"/>
        <w:rPr>
          <w:rFonts w:hint="eastAsia" w:ascii="宋体" w:hAnsi="宋体" w:cs="宋体"/>
          <w:bCs/>
          <w:sz w:val="24"/>
        </w:rPr>
      </w:pPr>
      <w:r>
        <w:rPr>
          <w:rFonts w:hint="eastAsia" w:ascii="宋体" w:hAnsi="宋体" w:cs="宋体"/>
          <w:bCs/>
          <w:sz w:val="24"/>
        </w:rPr>
        <w:t>1. （标的名称） ，属于（采购文件中明确的所属行业）行业；制造商为（企业名称），从业人员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w:t>
      </w:r>
      <w:r>
        <w:rPr>
          <w:rFonts w:hint="eastAsia" w:ascii="宋体" w:hAnsi="宋体" w:cs="宋体"/>
          <w:w w:val="99"/>
          <w:sz w:val="24"/>
        </w:rPr>
        <w:t>元</w:t>
      </w:r>
      <w:r>
        <w:fldChar w:fldCharType="begin"/>
      </w:r>
      <w:r>
        <w:instrText xml:space="preserve"> HYPERLINK \l "_bookmark0" </w:instrText>
      </w:r>
      <w:r>
        <w:fldChar w:fldCharType="separate"/>
      </w:r>
      <w:r>
        <w:rPr>
          <w:rFonts w:hint="eastAsia" w:ascii="宋体" w:hAnsi="宋体" w:cs="宋体"/>
          <w:sz w:val="13"/>
          <w:szCs w:val="13"/>
        </w:rPr>
        <w:t>1</w:t>
      </w:r>
      <w:r>
        <w:rPr>
          <w:rFonts w:hint="eastAsia" w:ascii="宋体" w:hAnsi="宋体" w:cs="宋体"/>
          <w:sz w:val="13"/>
          <w:szCs w:val="13"/>
        </w:rPr>
        <w:fldChar w:fldCharType="end"/>
      </w:r>
      <w:r>
        <w:rPr>
          <w:rFonts w:hint="eastAsia" w:ascii="宋体" w:hAnsi="宋体" w:cs="宋体"/>
          <w:bCs/>
          <w:sz w:val="24"/>
        </w:rPr>
        <w:t>，属于（中型企业、小型企业、微型企业）；</w:t>
      </w:r>
    </w:p>
    <w:p w14:paraId="354DACBB">
      <w:pPr>
        <w:spacing w:line="360" w:lineRule="auto"/>
        <w:rPr>
          <w:rFonts w:hint="eastAsia" w:ascii="宋体" w:hAnsi="宋体" w:cs="宋体"/>
          <w:bCs/>
          <w:sz w:val="24"/>
        </w:rPr>
      </w:pPr>
      <w:r>
        <w:rPr>
          <w:rFonts w:hint="eastAsia" w:ascii="宋体" w:hAnsi="宋体" w:cs="宋体"/>
          <w:bCs/>
          <w:sz w:val="24"/>
        </w:rPr>
        <w:t>2. （标的名称） ，属于（采购文件中明确的所属行业）行业；制造商为（企业名称），从业人员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w:t>
      </w:r>
      <w:r>
        <w:rPr>
          <w:rFonts w:hint="eastAsia" w:ascii="宋体" w:hAnsi="宋体" w:cs="宋体"/>
          <w:w w:val="99"/>
          <w:sz w:val="24"/>
        </w:rPr>
        <w:t>元</w:t>
      </w:r>
      <w:r>
        <w:fldChar w:fldCharType="begin"/>
      </w:r>
      <w:r>
        <w:instrText xml:space="preserve"> HYPERLINK \l "_bookmark0" </w:instrText>
      </w:r>
      <w:r>
        <w:fldChar w:fldCharType="separate"/>
      </w:r>
      <w:r>
        <w:rPr>
          <w:rFonts w:hint="eastAsia" w:ascii="宋体" w:hAnsi="宋体" w:cs="宋体"/>
          <w:sz w:val="13"/>
          <w:szCs w:val="13"/>
        </w:rPr>
        <w:t>1</w:t>
      </w:r>
      <w:r>
        <w:rPr>
          <w:rFonts w:hint="eastAsia" w:ascii="宋体" w:hAnsi="宋体" w:cs="宋体"/>
          <w:sz w:val="13"/>
          <w:szCs w:val="13"/>
        </w:rPr>
        <w:fldChar w:fldCharType="end"/>
      </w:r>
      <w:r>
        <w:rPr>
          <w:rFonts w:hint="eastAsia" w:ascii="宋体" w:hAnsi="宋体" w:cs="宋体"/>
          <w:bCs/>
          <w:sz w:val="24"/>
        </w:rPr>
        <w:t>，属于（中型企业、小型企业、微型企业）；</w:t>
      </w:r>
    </w:p>
    <w:p w14:paraId="7FE85147">
      <w:pPr>
        <w:spacing w:line="360" w:lineRule="auto"/>
        <w:ind w:firstLine="475" w:firstLineChars="198"/>
        <w:rPr>
          <w:rFonts w:hint="eastAsia" w:ascii="宋体" w:hAnsi="宋体" w:cs="宋体"/>
          <w:bCs/>
          <w:sz w:val="24"/>
        </w:rPr>
      </w:pPr>
      <w:r>
        <w:rPr>
          <w:rFonts w:hint="eastAsia" w:ascii="宋体" w:hAnsi="宋体" w:cs="宋体"/>
          <w:bCs/>
          <w:sz w:val="24"/>
        </w:rPr>
        <w:t>……</w:t>
      </w:r>
    </w:p>
    <w:p w14:paraId="0E831EB6">
      <w:pPr>
        <w:spacing w:line="360" w:lineRule="auto"/>
        <w:ind w:firstLine="475" w:firstLineChars="198"/>
        <w:rPr>
          <w:rFonts w:hint="eastAsia" w:ascii="宋体" w:hAnsi="宋体" w:cs="宋体"/>
          <w:bCs/>
          <w:sz w:val="24"/>
        </w:rPr>
      </w:pPr>
      <w:r>
        <w:rPr>
          <w:rFonts w:hint="eastAsia" w:ascii="宋体" w:hAnsi="宋体" w:cs="宋体"/>
          <w:bCs/>
          <w:sz w:val="24"/>
        </w:rPr>
        <w:t>以上企业，不属于大企业的分支机构，不存在控股股东为大企业的情形，也不存在与大企业的负责人为同一人的情形。</w:t>
      </w:r>
    </w:p>
    <w:p w14:paraId="573DE0CA">
      <w:pPr>
        <w:spacing w:line="360" w:lineRule="auto"/>
        <w:ind w:firstLine="475" w:firstLineChars="198"/>
        <w:rPr>
          <w:rFonts w:hint="eastAsia" w:ascii="宋体" w:hAnsi="宋体" w:cs="宋体"/>
          <w:bCs/>
          <w:sz w:val="24"/>
        </w:rPr>
      </w:pPr>
      <w:r>
        <w:rPr>
          <w:rFonts w:hint="eastAsia" w:ascii="宋体" w:hAnsi="宋体" w:cs="宋体"/>
          <w:bCs/>
          <w:sz w:val="24"/>
        </w:rPr>
        <w:t>本企业对上述声明内容的真实性负责。如有虚假，将依法承担相应责任。</w:t>
      </w:r>
    </w:p>
    <w:p w14:paraId="7BE599D1">
      <w:pPr>
        <w:spacing w:line="480" w:lineRule="exact"/>
        <w:ind w:firstLine="480" w:firstLineChars="200"/>
        <w:jc w:val="right"/>
        <w:rPr>
          <w:rFonts w:hint="eastAsia" w:ascii="宋体" w:hAnsi="宋体" w:cs="宋体"/>
          <w:bCs/>
          <w:sz w:val="24"/>
        </w:rPr>
      </w:pPr>
    </w:p>
    <w:p w14:paraId="324AF178">
      <w:pPr>
        <w:spacing w:line="480" w:lineRule="exact"/>
        <w:ind w:firstLine="480" w:firstLineChars="200"/>
        <w:jc w:val="center"/>
        <w:rPr>
          <w:rFonts w:hint="eastAsia" w:ascii="宋体" w:hAnsi="宋体" w:cs="宋体"/>
          <w:bCs/>
          <w:sz w:val="24"/>
        </w:rPr>
      </w:pPr>
      <w:r>
        <w:rPr>
          <w:rFonts w:hint="eastAsia" w:ascii="宋体" w:hAnsi="宋体" w:cs="宋体"/>
          <w:bCs/>
          <w:sz w:val="24"/>
        </w:rPr>
        <w:t>企业名称（盖章）：</w:t>
      </w:r>
    </w:p>
    <w:p w14:paraId="001E5CE4">
      <w:pPr>
        <w:spacing w:line="480" w:lineRule="exact"/>
        <w:ind w:firstLine="480" w:firstLineChars="200"/>
        <w:jc w:val="center"/>
        <w:rPr>
          <w:rFonts w:hint="eastAsia" w:ascii="宋体" w:hAnsi="宋体" w:cs="宋体"/>
          <w:bCs/>
          <w:sz w:val="24"/>
        </w:rPr>
      </w:pPr>
      <w:r>
        <w:rPr>
          <w:rFonts w:hint="eastAsia" w:ascii="宋体" w:hAnsi="宋体" w:cs="宋体"/>
          <w:bCs/>
          <w:sz w:val="24"/>
        </w:rPr>
        <w:t xml:space="preserve">            日期：</w:t>
      </w:r>
    </w:p>
    <w:p w14:paraId="27DE5791">
      <w:pPr>
        <w:spacing w:line="480" w:lineRule="exact"/>
        <w:ind w:firstLine="482" w:firstLineChars="200"/>
        <w:jc w:val="left"/>
        <w:rPr>
          <w:rFonts w:hint="eastAsia" w:ascii="宋体" w:hAnsi="宋体" w:cs="宋体"/>
          <w:b/>
          <w:sz w:val="24"/>
        </w:rPr>
      </w:pPr>
      <w:r>
        <w:rPr>
          <w:rFonts w:hint="eastAsia" w:ascii="宋体" w:hAnsi="宋体" w:cs="宋体"/>
          <w:b/>
          <w:sz w:val="24"/>
        </w:rPr>
        <w:t>备注：</w:t>
      </w:r>
    </w:p>
    <w:p w14:paraId="17D22D1F">
      <w:pPr>
        <w:spacing w:line="440" w:lineRule="exact"/>
        <w:ind w:firstLine="482"/>
        <w:rPr>
          <w:rFonts w:hint="eastAsia" w:ascii="宋体" w:hAnsi="宋体" w:cs="宋体"/>
          <w:b/>
          <w:sz w:val="24"/>
          <w:szCs w:val="22"/>
        </w:rPr>
      </w:pPr>
      <w:r>
        <w:rPr>
          <w:rFonts w:hint="eastAsia" w:ascii="宋体" w:hAnsi="宋体" w:cs="宋体"/>
          <w:b/>
          <w:sz w:val="24"/>
        </w:rPr>
        <w:t>1.从业人员、营业收入、资产总额填报上一年度数据，无上一年度数据的新成立企业可不填报。</w:t>
      </w:r>
    </w:p>
    <w:p w14:paraId="7519BF26">
      <w:pPr>
        <w:ind w:firstLine="482" w:firstLineChars="200"/>
        <w:rPr>
          <w:rFonts w:hint="eastAsia" w:ascii="宋体" w:hAnsi="宋体" w:cs="宋体"/>
          <w:b/>
          <w:bCs/>
          <w:sz w:val="28"/>
          <w:szCs w:val="28"/>
        </w:rPr>
      </w:pPr>
      <w:r>
        <w:rPr>
          <w:rFonts w:hint="eastAsia" w:ascii="宋体" w:hAnsi="宋体" w:cs="宋体"/>
          <w:b/>
          <w:sz w:val="24"/>
          <w:szCs w:val="22"/>
        </w:rPr>
        <w:t>2.本项目标的物所属行业：工业。</w:t>
      </w:r>
      <w:r>
        <w:rPr>
          <w:rFonts w:hint="eastAsia" w:ascii="宋体" w:hAnsi="宋体" w:cs="宋体"/>
          <w:b/>
          <w:bCs/>
          <w:sz w:val="28"/>
          <w:szCs w:val="28"/>
        </w:rPr>
        <w:br w:type="page"/>
      </w:r>
    </w:p>
    <w:p w14:paraId="77C6FA2E">
      <w:pPr>
        <w:tabs>
          <w:tab w:val="left" w:pos="1755"/>
        </w:tabs>
        <w:spacing w:line="360" w:lineRule="auto"/>
        <w:jc w:val="center"/>
        <w:outlineLvl w:val="2"/>
        <w:rPr>
          <w:rFonts w:hint="eastAsia" w:ascii="宋体" w:hAnsi="宋体" w:cs="宋体"/>
          <w:b/>
          <w:bCs/>
          <w:sz w:val="28"/>
          <w:szCs w:val="28"/>
        </w:rPr>
      </w:pPr>
      <w:r>
        <w:rPr>
          <w:rFonts w:hint="eastAsia" w:ascii="宋体" w:hAnsi="宋体" w:cs="宋体"/>
          <w:b/>
          <w:bCs/>
          <w:sz w:val="28"/>
          <w:szCs w:val="28"/>
        </w:rPr>
        <w:t>二、</w:t>
      </w:r>
      <w:bookmarkEnd w:id="16"/>
      <w:bookmarkEnd w:id="17"/>
      <w:r>
        <w:rPr>
          <w:rFonts w:hint="eastAsia" w:ascii="宋体" w:hAnsi="宋体" w:cs="宋体"/>
          <w:b/>
          <w:kern w:val="0"/>
          <w:sz w:val="28"/>
          <w:szCs w:val="28"/>
          <w:lang w:val="zh-CN"/>
        </w:rPr>
        <w:t>残疾人福利性单位声明函（非</w:t>
      </w:r>
      <w:r>
        <w:rPr>
          <w:rFonts w:hint="eastAsia" w:ascii="宋体" w:hAnsi="宋体" w:cs="宋体"/>
          <w:b/>
          <w:bCs/>
          <w:sz w:val="28"/>
          <w:szCs w:val="28"/>
        </w:rPr>
        <w:t>残疾人福利企业</w:t>
      </w:r>
      <w:r>
        <w:rPr>
          <w:rFonts w:hint="eastAsia" w:ascii="宋体" w:hAnsi="宋体" w:cs="宋体"/>
          <w:b/>
          <w:kern w:val="0"/>
          <w:sz w:val="28"/>
          <w:szCs w:val="28"/>
          <w:lang w:val="zh-CN"/>
        </w:rPr>
        <w:t>不</w:t>
      </w:r>
      <w:r>
        <w:rPr>
          <w:rFonts w:hint="eastAsia" w:ascii="宋体" w:hAnsi="宋体" w:cs="宋体"/>
          <w:b/>
          <w:bCs/>
          <w:kern w:val="0"/>
          <w:sz w:val="28"/>
          <w:szCs w:val="28"/>
        </w:rPr>
        <w:t>填写</w:t>
      </w:r>
      <w:r>
        <w:rPr>
          <w:rFonts w:hint="eastAsia" w:ascii="宋体" w:hAnsi="宋体" w:cs="宋体"/>
          <w:b/>
          <w:kern w:val="0"/>
          <w:sz w:val="28"/>
          <w:szCs w:val="28"/>
          <w:lang w:val="zh-CN"/>
        </w:rPr>
        <w:t>）</w:t>
      </w:r>
    </w:p>
    <w:p w14:paraId="2778ADC6">
      <w:pPr>
        <w:spacing w:line="360" w:lineRule="auto"/>
        <w:rPr>
          <w:rFonts w:hint="eastAsia" w:ascii="宋体" w:hAnsi="宋体" w:cs="宋体"/>
          <w:b/>
          <w:sz w:val="32"/>
          <w:szCs w:val="32"/>
          <w:shd w:val="pct10" w:color="auto" w:fill="FFFFFF"/>
        </w:rPr>
      </w:pPr>
    </w:p>
    <w:p w14:paraId="5BAF5088">
      <w:pPr>
        <w:spacing w:line="360" w:lineRule="auto"/>
        <w:ind w:firstLine="480" w:firstLineChars="200"/>
        <w:rPr>
          <w:rFonts w:hint="eastAsia" w:ascii="宋体" w:hAnsi="宋体" w:cs="宋体"/>
          <w:sz w:val="24"/>
        </w:rPr>
      </w:pPr>
      <w:r>
        <w:rPr>
          <w:rFonts w:hint="eastAsia" w:ascii="宋体" w:hAnsi="宋体" w:cs="宋体"/>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cs="宋体"/>
          <w:sz w:val="24"/>
          <w:u w:val="single"/>
        </w:rPr>
        <w:t xml:space="preserve">        </w:t>
      </w:r>
      <w:r>
        <w:rPr>
          <w:rFonts w:hint="eastAsia" w:ascii="宋体" w:hAnsi="宋体" w:cs="宋体"/>
          <w:sz w:val="24"/>
        </w:rPr>
        <w:t>项目采购活动提供本单位制造的货物（由本单位承担工程/提供服务），或者提供其他残疾人福利性单位制造的货物（不包括使用非残疾人福利性单位注册商标的货物）。</w:t>
      </w:r>
    </w:p>
    <w:p w14:paraId="6FB155CF">
      <w:pPr>
        <w:spacing w:line="360" w:lineRule="auto"/>
        <w:ind w:firstLine="480" w:firstLineChars="200"/>
        <w:rPr>
          <w:rFonts w:hint="eastAsia" w:ascii="宋体" w:hAnsi="宋体" w:cs="宋体"/>
          <w:sz w:val="24"/>
        </w:rPr>
      </w:pPr>
      <w:r>
        <w:rPr>
          <w:rFonts w:hint="eastAsia" w:ascii="宋体" w:hAnsi="宋体" w:cs="宋体"/>
          <w:sz w:val="24"/>
        </w:rPr>
        <w:t>本单位对上述声明的真实性负责。如有虚假，将依法承担相应责任。</w:t>
      </w:r>
    </w:p>
    <w:p w14:paraId="0135CF54">
      <w:pPr>
        <w:spacing w:line="360" w:lineRule="auto"/>
        <w:ind w:firstLine="480" w:firstLineChars="200"/>
        <w:rPr>
          <w:rFonts w:hint="eastAsia" w:ascii="宋体" w:hAnsi="宋体" w:cs="宋体"/>
          <w:sz w:val="24"/>
        </w:rPr>
      </w:pPr>
    </w:p>
    <w:p w14:paraId="085F7700">
      <w:pPr>
        <w:spacing w:line="360" w:lineRule="auto"/>
        <w:ind w:firstLine="480" w:firstLineChars="200"/>
        <w:rPr>
          <w:rFonts w:hint="eastAsia" w:ascii="宋体" w:hAnsi="宋体" w:cs="宋体"/>
          <w:sz w:val="24"/>
        </w:rPr>
      </w:pPr>
    </w:p>
    <w:p w14:paraId="5164F84B">
      <w:pPr>
        <w:tabs>
          <w:tab w:val="left" w:pos="4860"/>
          <w:tab w:val="left" w:pos="8040"/>
          <w:tab w:val="left" w:pos="8160"/>
        </w:tabs>
        <w:spacing w:line="360" w:lineRule="auto"/>
        <w:ind w:right="862" w:firstLine="480" w:firstLineChars="200"/>
        <w:jc w:val="center"/>
        <w:rPr>
          <w:rFonts w:hint="eastAsia" w:ascii="宋体" w:hAnsi="宋体" w:cs="宋体"/>
          <w:sz w:val="24"/>
          <w:u w:val="single"/>
        </w:rPr>
      </w:pPr>
      <w:r>
        <w:rPr>
          <w:rFonts w:hint="eastAsia" w:ascii="宋体" w:hAnsi="宋体" w:cs="宋体"/>
          <w:sz w:val="24"/>
        </w:rPr>
        <w:t xml:space="preserve">          单位名称（盖章）：</w:t>
      </w:r>
      <w:r>
        <w:rPr>
          <w:rFonts w:hint="eastAsia" w:ascii="宋体" w:hAnsi="宋体" w:cs="宋体"/>
          <w:sz w:val="24"/>
          <w:u w:val="single"/>
        </w:rPr>
        <w:t xml:space="preserve">                   </w:t>
      </w:r>
    </w:p>
    <w:p w14:paraId="29962A8E">
      <w:pPr>
        <w:tabs>
          <w:tab w:val="left" w:pos="4860"/>
        </w:tabs>
        <w:spacing w:line="360" w:lineRule="auto"/>
        <w:ind w:right="1560" w:firstLine="480" w:firstLineChars="200"/>
        <w:jc w:val="center"/>
        <w:rPr>
          <w:rFonts w:hint="eastAsia" w:ascii="宋体" w:hAnsi="宋体" w:cs="宋体"/>
          <w:sz w:val="24"/>
        </w:rPr>
      </w:pPr>
      <w:r>
        <w:rPr>
          <w:rFonts w:hint="eastAsia" w:ascii="宋体" w:hAnsi="宋体" w:cs="宋体"/>
          <w:sz w:val="24"/>
        </w:rPr>
        <w:t xml:space="preserve">       </w:t>
      </w:r>
    </w:p>
    <w:p w14:paraId="00EB4888">
      <w:pPr>
        <w:tabs>
          <w:tab w:val="left" w:pos="4860"/>
        </w:tabs>
        <w:spacing w:line="360" w:lineRule="auto"/>
        <w:ind w:right="1560" w:firstLine="480" w:firstLineChars="200"/>
        <w:jc w:val="center"/>
        <w:rPr>
          <w:rFonts w:hint="eastAsia" w:ascii="宋体" w:hAnsi="宋体" w:cs="宋体"/>
          <w:sz w:val="24"/>
        </w:rPr>
      </w:pPr>
      <w:r>
        <w:rPr>
          <w:rFonts w:hint="eastAsia" w:ascii="宋体" w:hAnsi="宋体" w:cs="宋体"/>
          <w:sz w:val="24"/>
        </w:rPr>
        <w:t xml:space="preserve">                             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D4A2CB2">
      <w:pPr>
        <w:spacing w:line="360" w:lineRule="auto"/>
        <w:ind w:firstLine="482" w:firstLineChars="200"/>
        <w:rPr>
          <w:rFonts w:hint="eastAsia" w:ascii="宋体" w:hAnsi="宋体" w:cs="宋体"/>
          <w:b/>
          <w:sz w:val="24"/>
          <w:shd w:val="pct10" w:color="auto" w:fill="FFFFFF"/>
        </w:rPr>
      </w:pPr>
    </w:p>
    <w:p w14:paraId="01A197B7">
      <w:pPr>
        <w:spacing w:line="360" w:lineRule="auto"/>
        <w:ind w:firstLine="482" w:firstLineChars="200"/>
        <w:rPr>
          <w:rFonts w:hint="eastAsia" w:ascii="宋体" w:hAnsi="宋体" w:cs="宋体"/>
          <w:b/>
          <w:sz w:val="24"/>
          <w:shd w:val="pct10" w:color="auto" w:fill="FFFFFF"/>
        </w:rPr>
      </w:pPr>
    </w:p>
    <w:p w14:paraId="2F45E767">
      <w:pPr>
        <w:kinsoku w:val="0"/>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备注：投标人提供的《残疾人福利性单位声明函》必须真实有效，如果被举报经查实出具虚假声明函的，将被取消投标资格，并按有关规定予以处理。</w:t>
      </w:r>
    </w:p>
    <w:p w14:paraId="27CB1C6F">
      <w:pPr>
        <w:tabs>
          <w:tab w:val="left" w:pos="1755"/>
        </w:tabs>
        <w:spacing w:line="360" w:lineRule="auto"/>
        <w:jc w:val="center"/>
        <w:outlineLvl w:val="1"/>
        <w:rPr>
          <w:rFonts w:hint="eastAsia" w:ascii="宋体" w:hAnsi="宋体" w:cs="宋体"/>
          <w:b/>
          <w:bCs/>
          <w:sz w:val="24"/>
        </w:rPr>
      </w:pPr>
    </w:p>
    <w:p w14:paraId="360E8E47">
      <w:pPr>
        <w:tabs>
          <w:tab w:val="left" w:pos="1755"/>
        </w:tabs>
        <w:spacing w:line="500" w:lineRule="atLeast"/>
        <w:jc w:val="center"/>
        <w:outlineLvl w:val="1"/>
        <w:rPr>
          <w:rFonts w:hint="eastAsia" w:ascii="宋体" w:hAnsi="宋体" w:cs="宋体"/>
          <w:b/>
          <w:bCs/>
          <w:sz w:val="32"/>
          <w:szCs w:val="32"/>
        </w:rPr>
      </w:pPr>
    </w:p>
    <w:p w14:paraId="6775019C">
      <w:pPr>
        <w:tabs>
          <w:tab w:val="left" w:pos="1755"/>
        </w:tabs>
        <w:spacing w:line="500" w:lineRule="atLeast"/>
        <w:jc w:val="center"/>
        <w:outlineLvl w:val="1"/>
        <w:rPr>
          <w:rFonts w:hint="eastAsia" w:ascii="宋体" w:hAnsi="宋体" w:cs="宋体"/>
          <w:b/>
          <w:bCs/>
          <w:sz w:val="32"/>
          <w:szCs w:val="32"/>
        </w:rPr>
      </w:pPr>
    </w:p>
    <w:p w14:paraId="0ECBAEAB">
      <w:pPr>
        <w:tabs>
          <w:tab w:val="left" w:pos="1755"/>
        </w:tabs>
        <w:spacing w:line="500" w:lineRule="atLeast"/>
        <w:jc w:val="center"/>
        <w:outlineLvl w:val="2"/>
        <w:rPr>
          <w:rFonts w:hint="eastAsia" w:ascii="宋体" w:hAnsi="宋体" w:cs="宋体"/>
          <w:b/>
          <w:bCs/>
          <w:sz w:val="28"/>
          <w:szCs w:val="28"/>
        </w:rPr>
      </w:pPr>
    </w:p>
    <w:p w14:paraId="36F8864D">
      <w:pPr>
        <w:spacing w:before="157" w:beforeLines="50" w:after="315" w:afterLines="100"/>
        <w:rPr>
          <w:rFonts w:hint="eastAsia" w:ascii="宋体" w:hAnsi="宋体" w:cs="宋体"/>
          <w:b/>
          <w:szCs w:val="21"/>
          <w:lang w:val="en-GB"/>
        </w:rPr>
      </w:pPr>
    </w:p>
    <w:p w14:paraId="774509F1">
      <w:pPr>
        <w:spacing w:before="157" w:beforeLines="50" w:after="315" w:afterLines="100"/>
        <w:rPr>
          <w:rFonts w:hint="eastAsia" w:ascii="宋体" w:hAnsi="宋体" w:cs="宋体"/>
          <w:b/>
          <w:szCs w:val="21"/>
          <w:lang w:val="en-GB"/>
        </w:rPr>
      </w:pPr>
    </w:p>
    <w:p w14:paraId="2E9B57D1">
      <w:pPr>
        <w:spacing w:before="157" w:beforeLines="50" w:after="315" w:afterLines="100"/>
        <w:rPr>
          <w:rFonts w:hint="eastAsia" w:ascii="宋体" w:hAnsi="宋体" w:cs="宋体"/>
          <w:b/>
          <w:szCs w:val="21"/>
          <w:lang w:val="en-GB"/>
        </w:rPr>
      </w:pPr>
    </w:p>
    <w:p w14:paraId="1884AABF">
      <w:pPr>
        <w:spacing w:before="157" w:beforeLines="50" w:after="315" w:afterLines="100"/>
        <w:rPr>
          <w:rFonts w:hint="eastAsia" w:ascii="宋体" w:hAnsi="宋体" w:cs="宋体"/>
          <w:b/>
          <w:szCs w:val="21"/>
          <w:lang w:val="en-GB"/>
        </w:rPr>
      </w:pPr>
    </w:p>
    <w:p w14:paraId="34970F3E">
      <w:pPr>
        <w:tabs>
          <w:tab w:val="left" w:pos="1755"/>
        </w:tabs>
        <w:spacing w:line="360" w:lineRule="auto"/>
        <w:jc w:val="center"/>
        <w:outlineLvl w:val="2"/>
        <w:rPr>
          <w:rFonts w:hint="eastAsia" w:ascii="宋体" w:hAnsi="宋体" w:cs="宋体"/>
          <w:b/>
          <w:kern w:val="0"/>
          <w:sz w:val="28"/>
          <w:szCs w:val="28"/>
          <w:lang w:val="zh-CN"/>
        </w:rPr>
      </w:pPr>
      <w:r>
        <w:rPr>
          <w:rFonts w:hint="eastAsia" w:ascii="宋体" w:hAnsi="宋体" w:cs="宋体"/>
          <w:b/>
          <w:kern w:val="0"/>
          <w:sz w:val="28"/>
          <w:szCs w:val="28"/>
        </w:rPr>
        <w:t>三、</w:t>
      </w:r>
      <w:r>
        <w:rPr>
          <w:rFonts w:hint="eastAsia" w:ascii="宋体" w:hAnsi="宋体" w:cs="宋体"/>
          <w:b/>
          <w:kern w:val="0"/>
          <w:sz w:val="28"/>
          <w:szCs w:val="28"/>
          <w:lang w:val="zh-CN"/>
        </w:rPr>
        <w:t>监狱企业声明函</w:t>
      </w:r>
    </w:p>
    <w:p w14:paraId="22309DA9">
      <w:pPr>
        <w:tabs>
          <w:tab w:val="left" w:pos="1755"/>
        </w:tabs>
        <w:spacing w:line="360" w:lineRule="auto"/>
        <w:jc w:val="center"/>
        <w:outlineLvl w:val="2"/>
        <w:rPr>
          <w:rFonts w:hint="eastAsia" w:ascii="宋体" w:hAnsi="宋体" w:cs="宋体"/>
          <w:b/>
          <w:bCs/>
          <w:sz w:val="28"/>
          <w:szCs w:val="28"/>
        </w:rPr>
      </w:pPr>
      <w:r>
        <w:rPr>
          <w:rFonts w:hint="eastAsia" w:ascii="宋体" w:hAnsi="宋体" w:cs="宋体"/>
          <w:b/>
          <w:kern w:val="0"/>
          <w:sz w:val="28"/>
          <w:szCs w:val="28"/>
          <w:lang w:val="zh-CN"/>
        </w:rPr>
        <w:t>（非监狱企业不</w:t>
      </w:r>
      <w:r>
        <w:rPr>
          <w:rFonts w:hint="eastAsia" w:ascii="宋体" w:hAnsi="宋体" w:cs="宋体"/>
          <w:b/>
          <w:bCs/>
          <w:kern w:val="0"/>
          <w:sz w:val="28"/>
          <w:szCs w:val="28"/>
        </w:rPr>
        <w:t>填写，但必须提交空表</w:t>
      </w:r>
      <w:r>
        <w:rPr>
          <w:rFonts w:hint="eastAsia" w:ascii="宋体" w:hAnsi="宋体" w:cs="宋体"/>
          <w:b/>
          <w:kern w:val="0"/>
          <w:sz w:val="28"/>
          <w:szCs w:val="28"/>
          <w:lang w:val="zh-CN"/>
        </w:rPr>
        <w:t>）</w:t>
      </w:r>
    </w:p>
    <w:p w14:paraId="3E1D1198">
      <w:pPr>
        <w:spacing w:line="360" w:lineRule="atLeast"/>
        <w:rPr>
          <w:rFonts w:hint="eastAsia" w:ascii="宋体" w:hAnsi="宋体" w:cs="宋体"/>
          <w:sz w:val="32"/>
          <w:szCs w:val="32"/>
        </w:rPr>
      </w:pPr>
    </w:p>
    <w:p w14:paraId="7C38CCB5">
      <w:pPr>
        <w:spacing w:line="360" w:lineRule="auto"/>
        <w:ind w:firstLine="480" w:firstLineChars="200"/>
        <w:rPr>
          <w:rFonts w:hint="eastAsia" w:ascii="宋体" w:hAnsi="宋体" w:cs="宋体"/>
          <w:sz w:val="24"/>
          <w:szCs w:val="22"/>
        </w:rPr>
      </w:pPr>
      <w:r>
        <w:rPr>
          <w:rFonts w:hint="eastAsia" w:ascii="宋体" w:hAnsi="宋体" w:cs="宋体"/>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A122973">
      <w:pPr>
        <w:spacing w:line="360" w:lineRule="atLeast"/>
        <w:rPr>
          <w:rFonts w:hint="eastAsia" w:ascii="宋体" w:hAnsi="宋体" w:cs="宋体"/>
          <w:sz w:val="32"/>
          <w:szCs w:val="32"/>
        </w:rPr>
      </w:pPr>
    </w:p>
    <w:p w14:paraId="15CCF79F">
      <w:pPr>
        <w:pStyle w:val="17"/>
        <w:rPr>
          <w:rFonts w:hint="eastAsia" w:ascii="宋体" w:hAnsi="宋体" w:cs="宋体"/>
        </w:rPr>
      </w:pPr>
    </w:p>
    <w:p w14:paraId="7344563E">
      <w:pPr>
        <w:tabs>
          <w:tab w:val="left" w:pos="4860"/>
          <w:tab w:val="left" w:pos="8040"/>
          <w:tab w:val="left" w:pos="8160"/>
        </w:tabs>
        <w:spacing w:line="360" w:lineRule="auto"/>
        <w:ind w:right="862" w:firstLine="480" w:firstLineChars="200"/>
        <w:jc w:val="center"/>
        <w:rPr>
          <w:rFonts w:hint="eastAsia" w:ascii="宋体" w:hAnsi="宋体" w:cs="宋体"/>
          <w:sz w:val="24"/>
          <w:u w:val="single"/>
        </w:rPr>
      </w:pPr>
      <w:r>
        <w:rPr>
          <w:rFonts w:hint="eastAsia" w:ascii="宋体" w:hAnsi="宋体" w:cs="宋体"/>
          <w:sz w:val="24"/>
        </w:rPr>
        <w:t xml:space="preserve">        单位名称（盖章）：</w:t>
      </w:r>
      <w:r>
        <w:rPr>
          <w:rFonts w:hint="eastAsia" w:ascii="宋体" w:hAnsi="宋体" w:cs="宋体"/>
          <w:sz w:val="24"/>
          <w:u w:val="single"/>
        </w:rPr>
        <w:t xml:space="preserve">                   </w:t>
      </w:r>
    </w:p>
    <w:p w14:paraId="1FAD6D4E">
      <w:pPr>
        <w:tabs>
          <w:tab w:val="left" w:pos="4860"/>
        </w:tabs>
        <w:spacing w:line="360" w:lineRule="auto"/>
        <w:ind w:right="1560" w:firstLine="480" w:firstLineChars="200"/>
        <w:jc w:val="center"/>
        <w:rPr>
          <w:rFonts w:hint="eastAsia" w:ascii="宋体" w:hAnsi="宋体" w:cs="宋体"/>
          <w:sz w:val="24"/>
        </w:rPr>
      </w:pPr>
      <w:r>
        <w:rPr>
          <w:rFonts w:hint="eastAsia" w:ascii="宋体" w:hAnsi="宋体" w:cs="宋体"/>
          <w:sz w:val="24"/>
        </w:rPr>
        <w:t xml:space="preserve">       </w:t>
      </w:r>
    </w:p>
    <w:p w14:paraId="5B4708A6">
      <w:pPr>
        <w:tabs>
          <w:tab w:val="left" w:pos="4860"/>
        </w:tabs>
        <w:spacing w:line="360" w:lineRule="auto"/>
        <w:ind w:right="670" w:firstLine="480" w:firstLineChars="200"/>
        <w:jc w:val="center"/>
        <w:rPr>
          <w:rFonts w:hint="eastAsia" w:ascii="宋体" w:hAnsi="宋体" w:cs="宋体"/>
          <w:sz w:val="24"/>
        </w:rPr>
      </w:pPr>
      <w:r>
        <w:rPr>
          <w:rFonts w:hint="eastAsia" w:ascii="宋体" w:hAnsi="宋体" w:cs="宋体"/>
          <w:sz w:val="24"/>
        </w:rPr>
        <w:t xml:space="preserve">                           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F23B4CD">
      <w:pPr>
        <w:rPr>
          <w:rFonts w:hint="eastAsia" w:ascii="宋体" w:hAnsi="宋体" w:cs="宋体"/>
        </w:rPr>
      </w:pPr>
    </w:p>
    <w:p w14:paraId="27DBF6EA">
      <w:pPr>
        <w:rPr>
          <w:rFonts w:hint="eastAsia" w:ascii="宋体" w:hAnsi="宋体" w:cs="宋体"/>
        </w:rPr>
      </w:pPr>
    </w:p>
    <w:p w14:paraId="3C9C2BB3">
      <w:pPr>
        <w:rPr>
          <w:rFonts w:hint="eastAsia" w:ascii="宋体" w:hAnsi="宋体" w:cs="宋体"/>
        </w:rPr>
      </w:pPr>
    </w:p>
    <w:p w14:paraId="4E4550D0">
      <w:pPr>
        <w:rPr>
          <w:rFonts w:hint="eastAsia" w:ascii="宋体" w:hAnsi="宋体" w:cs="宋体"/>
        </w:rPr>
      </w:pPr>
    </w:p>
    <w:p w14:paraId="543A0CC9">
      <w:pPr>
        <w:rPr>
          <w:rFonts w:hint="eastAsia" w:ascii="宋体" w:hAnsi="宋体" w:cs="宋体"/>
        </w:rPr>
      </w:pPr>
    </w:p>
    <w:p w14:paraId="520950F6">
      <w:pPr>
        <w:rPr>
          <w:rFonts w:hint="eastAsia" w:ascii="宋体" w:hAnsi="宋体" w:cs="宋体"/>
        </w:rPr>
      </w:pPr>
    </w:p>
    <w:p w14:paraId="4A73D451">
      <w:pPr>
        <w:rPr>
          <w:rFonts w:hint="eastAsia" w:ascii="宋体" w:hAnsi="宋体" w:cs="宋体"/>
        </w:rPr>
      </w:pPr>
    </w:p>
    <w:p w14:paraId="58A5174B">
      <w:r>
        <w:br w:type="page"/>
      </w:r>
    </w:p>
    <w:p w14:paraId="507B795A">
      <w:pPr>
        <w:spacing w:line="500" w:lineRule="atLeast"/>
        <w:jc w:val="left"/>
        <w:outlineLvl w:val="2"/>
        <w:rPr>
          <w:rFonts w:hint="eastAsia" w:ascii="宋体" w:hAnsi="宋体" w:cs="宋体"/>
          <w:b/>
          <w:bCs/>
          <w:kern w:val="0"/>
          <w:sz w:val="28"/>
          <w:szCs w:val="28"/>
        </w:rPr>
      </w:pPr>
      <w:r>
        <w:rPr>
          <w:rFonts w:hint="eastAsia" w:ascii="宋体" w:hAnsi="宋体" w:cs="宋体"/>
          <w:b/>
          <w:bCs/>
          <w:kern w:val="0"/>
          <w:sz w:val="28"/>
          <w:szCs w:val="28"/>
        </w:rPr>
        <w:t>附件4：</w:t>
      </w:r>
    </w:p>
    <w:p w14:paraId="2BEB5B1F">
      <w:pPr>
        <w:pStyle w:val="14"/>
        <w:widowControl/>
        <w:shd w:val="clear" w:color="auto" w:fill="FFFFFF"/>
        <w:spacing w:before="30" w:beforeAutospacing="0" w:after="30" w:afterAutospacing="0"/>
        <w:jc w:val="center"/>
        <w:rPr>
          <w:rFonts w:hint="eastAsia" w:ascii="宋体" w:hAnsi="宋体" w:cs="宋体"/>
          <w:color w:val="333333"/>
          <w:sz w:val="28"/>
          <w:szCs w:val="28"/>
        </w:rPr>
      </w:pPr>
      <w:r>
        <w:rPr>
          <w:rStyle w:val="21"/>
          <w:rFonts w:hint="eastAsia" w:ascii="宋体" w:hAnsi="宋体" w:cs="宋体"/>
          <w:color w:val="333333"/>
          <w:sz w:val="28"/>
          <w:szCs w:val="28"/>
          <w:shd w:val="clear" w:color="auto" w:fill="FFFFFF"/>
        </w:rPr>
        <w:t>关于符合本国产品标准的声明函</w:t>
      </w:r>
    </w:p>
    <w:p w14:paraId="7F137D8A">
      <w:pPr>
        <w:pStyle w:val="14"/>
        <w:widowControl/>
        <w:shd w:val="clear" w:color="auto" w:fill="FFFFFF"/>
        <w:spacing w:before="30" w:beforeAutospacing="0" w:after="30" w:afterAutospacing="0"/>
        <w:ind w:firstLine="420"/>
        <w:rPr>
          <w:rFonts w:hint="eastAsia" w:ascii="宋体" w:hAnsi="宋体" w:cs="宋体"/>
          <w:color w:val="333333"/>
          <w:szCs w:val="24"/>
        </w:rPr>
      </w:pPr>
    </w:p>
    <w:p w14:paraId="29C409B3">
      <w:pPr>
        <w:pStyle w:val="14"/>
        <w:widowControl/>
        <w:shd w:val="clear" w:color="auto" w:fill="FFFFFF"/>
        <w:spacing w:before="30" w:beforeAutospacing="0" w:after="30" w:afterAutospacing="0" w:line="360" w:lineRule="auto"/>
        <w:ind w:firstLine="420"/>
        <w:rPr>
          <w:rFonts w:hint="eastAsia" w:ascii="宋体" w:hAnsi="宋体" w:cs="宋体"/>
          <w:color w:val="333333"/>
          <w:szCs w:val="24"/>
        </w:rPr>
      </w:pPr>
      <w:r>
        <w:rPr>
          <w:rFonts w:hint="eastAsia" w:ascii="宋体" w:hAnsi="宋体" w:cs="宋体"/>
          <w:color w:val="333333"/>
          <w:szCs w:val="24"/>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0B4E786">
      <w:pPr>
        <w:pStyle w:val="14"/>
        <w:widowControl/>
        <w:shd w:val="clear" w:color="auto" w:fill="FFFFFF"/>
        <w:spacing w:before="30" w:beforeAutospacing="0" w:after="30" w:afterAutospacing="0" w:line="360" w:lineRule="auto"/>
        <w:ind w:firstLine="420"/>
        <w:rPr>
          <w:rFonts w:hint="eastAsia" w:ascii="宋体" w:hAnsi="宋体" w:cs="宋体"/>
          <w:color w:val="333333"/>
          <w:szCs w:val="24"/>
        </w:rPr>
      </w:pPr>
      <w:r>
        <w:rPr>
          <w:rFonts w:hint="eastAsia" w:ascii="宋体" w:hAnsi="宋体" w:cs="宋体"/>
          <w:color w:val="333333"/>
          <w:szCs w:val="24"/>
          <w:shd w:val="clear" w:color="auto" w:fill="FFFFFF"/>
        </w:rPr>
        <w:t>1.</w:t>
      </w:r>
      <w:r>
        <w:rPr>
          <w:rStyle w:val="22"/>
          <w:rFonts w:hint="eastAsia" w:ascii="宋体" w:hAnsi="宋体" w:cs="宋体"/>
          <w:i w:val="0"/>
          <w:color w:val="333333"/>
          <w:szCs w:val="24"/>
          <w:shd w:val="clear" w:color="auto" w:fill="FFFFFF"/>
        </w:rPr>
        <w:t>（产品名称1）</w:t>
      </w:r>
      <w:r>
        <w:rPr>
          <w:rStyle w:val="22"/>
          <w:rFonts w:hint="eastAsia" w:ascii="宋体" w:hAnsi="宋体" w:cs="宋体"/>
          <w:i w:val="0"/>
          <w:color w:val="333333"/>
          <w:szCs w:val="24"/>
          <w:shd w:val="clear" w:color="auto" w:fill="FFFFFF"/>
          <w:vertAlign w:val="superscript"/>
        </w:rPr>
        <w:t>1</w:t>
      </w:r>
      <w:r>
        <w:rPr>
          <w:rFonts w:hint="eastAsia" w:ascii="宋体" w:hAnsi="宋体" w:cs="宋体"/>
          <w:color w:val="333333"/>
          <w:szCs w:val="24"/>
          <w:shd w:val="clear" w:color="auto" w:fill="FFFFFF"/>
        </w:rPr>
        <w:t>，生产厂为</w:t>
      </w:r>
      <w:r>
        <w:rPr>
          <w:rStyle w:val="22"/>
          <w:rFonts w:hint="eastAsia" w:ascii="宋体" w:hAnsi="宋体" w:cs="宋体"/>
          <w:i w:val="0"/>
          <w:color w:val="333333"/>
          <w:szCs w:val="24"/>
          <w:shd w:val="clear" w:color="auto" w:fill="FFFFFF"/>
        </w:rPr>
        <w:t>（厂名）</w:t>
      </w:r>
      <w:r>
        <w:rPr>
          <w:rStyle w:val="22"/>
          <w:rFonts w:hint="eastAsia" w:ascii="宋体" w:hAnsi="宋体" w:cs="宋体"/>
          <w:i w:val="0"/>
          <w:color w:val="333333"/>
          <w:szCs w:val="24"/>
          <w:shd w:val="clear" w:color="auto" w:fill="FFFFFF"/>
          <w:vertAlign w:val="superscript"/>
        </w:rPr>
        <w:t>2</w:t>
      </w:r>
      <w:r>
        <w:rPr>
          <w:rFonts w:hint="eastAsia" w:ascii="宋体" w:hAnsi="宋体" w:cs="宋体"/>
          <w:color w:val="333333"/>
          <w:szCs w:val="24"/>
          <w:shd w:val="clear" w:color="auto" w:fill="FFFFFF"/>
        </w:rPr>
        <w:t>，厂址为</w:t>
      </w:r>
      <w:r>
        <w:rPr>
          <w:rStyle w:val="22"/>
          <w:rFonts w:hint="eastAsia" w:ascii="宋体" w:hAnsi="宋体" w:cs="宋体"/>
          <w:i w:val="0"/>
          <w:color w:val="333333"/>
          <w:szCs w:val="24"/>
          <w:shd w:val="clear" w:color="auto" w:fill="FFFFFF"/>
        </w:rPr>
        <w:t>（生产厂址）</w:t>
      </w:r>
      <w:r>
        <w:rPr>
          <w:rFonts w:hint="eastAsia" w:ascii="宋体" w:hAnsi="宋体" w:cs="宋体"/>
          <w:color w:val="333333"/>
          <w:szCs w:val="24"/>
          <w:shd w:val="clear" w:color="auto" w:fill="FFFFFF"/>
        </w:rPr>
        <w:t>。</w:t>
      </w:r>
      <w:r>
        <w:rPr>
          <w:rStyle w:val="22"/>
          <w:rFonts w:hint="eastAsia" w:ascii="宋体" w:hAnsi="宋体" w:cs="宋体"/>
          <w:i w:val="0"/>
          <w:color w:val="333333"/>
          <w:szCs w:val="24"/>
          <w:shd w:val="clear" w:color="auto" w:fill="FFFFFF"/>
        </w:rPr>
        <w:t>（产品名称1）</w:t>
      </w:r>
      <w:r>
        <w:rPr>
          <w:rFonts w:hint="eastAsia" w:ascii="宋体" w:hAnsi="宋体" w:cs="宋体"/>
          <w:color w:val="333333"/>
          <w:szCs w:val="24"/>
          <w:shd w:val="clear" w:color="auto" w:fill="FFFFFF"/>
        </w:rPr>
        <w:t>的中国境内生产的组件成本占比≥</w:t>
      </w:r>
      <w:r>
        <w:rPr>
          <w:rStyle w:val="22"/>
          <w:rFonts w:hint="eastAsia" w:ascii="宋体" w:hAnsi="宋体" w:cs="宋体"/>
          <w:i w:val="0"/>
          <w:color w:val="333333"/>
          <w:szCs w:val="24"/>
          <w:shd w:val="clear" w:color="auto" w:fill="FFFFFF"/>
        </w:rPr>
        <w:t>（规定比例）</w:t>
      </w:r>
      <w:r>
        <w:rPr>
          <w:rStyle w:val="22"/>
          <w:rFonts w:hint="eastAsia" w:ascii="宋体" w:hAnsi="宋体" w:cs="宋体"/>
          <w:i w:val="0"/>
          <w:color w:val="333333"/>
          <w:szCs w:val="24"/>
          <w:shd w:val="clear" w:color="auto" w:fill="FFFFFF"/>
          <w:vertAlign w:val="superscript"/>
        </w:rPr>
        <w:t>3</w:t>
      </w:r>
      <w:r>
        <w:rPr>
          <w:rFonts w:hint="eastAsia" w:ascii="宋体" w:hAnsi="宋体" w:cs="宋体"/>
          <w:color w:val="333333"/>
          <w:szCs w:val="24"/>
          <w:shd w:val="clear" w:color="auto" w:fill="FFFFFF"/>
        </w:rPr>
        <w:t>。</w:t>
      </w:r>
      <w:r>
        <w:rPr>
          <w:rStyle w:val="22"/>
          <w:rFonts w:hint="eastAsia" w:ascii="宋体" w:hAnsi="宋体" w:cs="宋体"/>
          <w:i w:val="0"/>
          <w:color w:val="333333"/>
          <w:szCs w:val="24"/>
          <w:shd w:val="clear" w:color="auto" w:fill="FFFFFF"/>
        </w:rPr>
        <w:t>（产品名称1）</w:t>
      </w:r>
      <w:r>
        <w:rPr>
          <w:rFonts w:hint="eastAsia" w:ascii="宋体" w:hAnsi="宋体" w:cs="宋体"/>
          <w:color w:val="333333"/>
          <w:szCs w:val="24"/>
          <w:shd w:val="clear" w:color="auto" w:fill="FFFFFF"/>
        </w:rPr>
        <w:t>的</w:t>
      </w:r>
      <w:r>
        <w:rPr>
          <w:rStyle w:val="22"/>
          <w:rFonts w:hint="eastAsia" w:ascii="宋体" w:hAnsi="宋体" w:cs="宋体"/>
          <w:i w:val="0"/>
          <w:color w:val="333333"/>
          <w:szCs w:val="24"/>
          <w:shd w:val="clear" w:color="auto" w:fill="FFFFFF"/>
        </w:rPr>
        <w:t>（关键组件）</w:t>
      </w:r>
      <w:r>
        <w:rPr>
          <w:rStyle w:val="22"/>
          <w:rFonts w:hint="eastAsia" w:ascii="宋体" w:hAnsi="宋体" w:cs="宋体"/>
          <w:i w:val="0"/>
          <w:color w:val="333333"/>
          <w:szCs w:val="24"/>
          <w:shd w:val="clear" w:color="auto" w:fill="FFFFFF"/>
          <w:vertAlign w:val="superscript"/>
        </w:rPr>
        <w:t>4</w:t>
      </w:r>
      <w:r>
        <w:rPr>
          <w:rFonts w:hint="eastAsia" w:ascii="宋体" w:hAnsi="宋体" w:cs="宋体"/>
          <w:color w:val="333333"/>
          <w:szCs w:val="24"/>
          <w:shd w:val="clear" w:color="auto" w:fill="FFFFFF"/>
        </w:rPr>
        <w:t>在中国境内生产。</w:t>
      </w:r>
      <w:r>
        <w:rPr>
          <w:rStyle w:val="22"/>
          <w:rFonts w:hint="eastAsia" w:ascii="宋体" w:hAnsi="宋体" w:cs="宋体"/>
          <w:i w:val="0"/>
          <w:color w:val="333333"/>
          <w:szCs w:val="24"/>
          <w:shd w:val="clear" w:color="auto" w:fill="FFFFFF"/>
        </w:rPr>
        <w:t>（产品名称1）</w:t>
      </w:r>
      <w:r>
        <w:rPr>
          <w:rFonts w:hint="eastAsia" w:ascii="宋体" w:hAnsi="宋体" w:cs="宋体"/>
          <w:color w:val="333333"/>
          <w:szCs w:val="24"/>
          <w:shd w:val="clear" w:color="auto" w:fill="FFFFFF"/>
        </w:rPr>
        <w:t>的</w:t>
      </w:r>
      <w:r>
        <w:rPr>
          <w:rStyle w:val="22"/>
          <w:rFonts w:hint="eastAsia" w:ascii="宋体" w:hAnsi="宋体" w:cs="宋体"/>
          <w:i w:val="0"/>
          <w:color w:val="333333"/>
          <w:szCs w:val="24"/>
          <w:shd w:val="clear" w:color="auto" w:fill="FFFFFF"/>
        </w:rPr>
        <w:t>（关键工序）</w:t>
      </w:r>
      <w:r>
        <w:rPr>
          <w:rStyle w:val="22"/>
          <w:rFonts w:hint="eastAsia" w:ascii="宋体" w:hAnsi="宋体" w:cs="宋体"/>
          <w:i w:val="0"/>
          <w:color w:val="333333"/>
          <w:szCs w:val="24"/>
          <w:shd w:val="clear" w:color="auto" w:fill="FFFFFF"/>
          <w:vertAlign w:val="superscript"/>
        </w:rPr>
        <w:t>5</w:t>
      </w:r>
      <w:r>
        <w:rPr>
          <w:rFonts w:hint="eastAsia" w:ascii="宋体" w:hAnsi="宋体" w:cs="宋体"/>
          <w:color w:val="333333"/>
          <w:szCs w:val="24"/>
          <w:shd w:val="clear" w:color="auto" w:fill="FFFFFF"/>
        </w:rPr>
        <w:t>在中国境内完成。</w:t>
      </w:r>
    </w:p>
    <w:p w14:paraId="1722F52C">
      <w:pPr>
        <w:pStyle w:val="14"/>
        <w:widowControl/>
        <w:shd w:val="clear" w:color="auto" w:fill="FFFFFF"/>
        <w:spacing w:before="30" w:beforeAutospacing="0" w:after="30" w:afterAutospacing="0" w:line="360" w:lineRule="auto"/>
        <w:ind w:firstLine="420"/>
        <w:rPr>
          <w:rFonts w:hint="eastAsia" w:ascii="宋体" w:hAnsi="宋体" w:cs="宋体"/>
          <w:color w:val="333333"/>
          <w:szCs w:val="24"/>
        </w:rPr>
      </w:pPr>
      <w:r>
        <w:rPr>
          <w:rFonts w:hint="eastAsia" w:ascii="宋体" w:hAnsi="宋体" w:cs="宋体"/>
          <w:color w:val="333333"/>
          <w:szCs w:val="24"/>
          <w:shd w:val="clear" w:color="auto" w:fill="FFFFFF"/>
        </w:rPr>
        <w:t>2.</w:t>
      </w:r>
      <w:r>
        <w:rPr>
          <w:rStyle w:val="22"/>
          <w:rFonts w:hint="eastAsia" w:ascii="宋体" w:hAnsi="宋体" w:cs="宋体"/>
          <w:i w:val="0"/>
          <w:color w:val="333333"/>
          <w:szCs w:val="24"/>
          <w:shd w:val="clear" w:color="auto" w:fill="FFFFFF"/>
        </w:rPr>
        <w:t>（产品名称2）</w:t>
      </w:r>
      <w:r>
        <w:rPr>
          <w:rFonts w:hint="eastAsia" w:ascii="宋体" w:hAnsi="宋体" w:cs="宋体"/>
          <w:color w:val="333333"/>
          <w:szCs w:val="24"/>
          <w:shd w:val="clear" w:color="auto" w:fill="FFFFFF"/>
        </w:rPr>
        <w:t>，生产厂为</w:t>
      </w:r>
      <w:r>
        <w:rPr>
          <w:rStyle w:val="22"/>
          <w:rFonts w:hint="eastAsia" w:ascii="宋体" w:hAnsi="宋体" w:cs="宋体"/>
          <w:i w:val="0"/>
          <w:color w:val="333333"/>
          <w:szCs w:val="24"/>
          <w:shd w:val="clear" w:color="auto" w:fill="FFFFFF"/>
        </w:rPr>
        <w:t>（厂名）</w:t>
      </w:r>
      <w:r>
        <w:rPr>
          <w:rFonts w:hint="eastAsia" w:ascii="宋体" w:hAnsi="宋体" w:cs="宋体"/>
          <w:color w:val="333333"/>
          <w:szCs w:val="24"/>
          <w:shd w:val="clear" w:color="auto" w:fill="FFFFFF"/>
        </w:rPr>
        <w:t>，厂址为</w:t>
      </w:r>
      <w:r>
        <w:rPr>
          <w:rStyle w:val="22"/>
          <w:rFonts w:hint="eastAsia" w:ascii="宋体" w:hAnsi="宋体" w:cs="宋体"/>
          <w:i w:val="0"/>
          <w:color w:val="333333"/>
          <w:szCs w:val="24"/>
          <w:shd w:val="clear" w:color="auto" w:fill="FFFFFF"/>
        </w:rPr>
        <w:t>（生产厂址）</w:t>
      </w:r>
      <w:r>
        <w:rPr>
          <w:rFonts w:hint="eastAsia" w:ascii="宋体" w:hAnsi="宋体" w:cs="宋体"/>
          <w:color w:val="333333"/>
          <w:szCs w:val="24"/>
          <w:shd w:val="clear" w:color="auto" w:fill="FFFFFF"/>
        </w:rPr>
        <w:t>。</w:t>
      </w:r>
      <w:r>
        <w:rPr>
          <w:rStyle w:val="22"/>
          <w:rFonts w:hint="eastAsia" w:ascii="宋体" w:hAnsi="宋体" w:cs="宋体"/>
          <w:i w:val="0"/>
          <w:color w:val="333333"/>
          <w:szCs w:val="24"/>
          <w:shd w:val="clear" w:color="auto" w:fill="FFFFFF"/>
        </w:rPr>
        <w:t>（产品名称2）</w:t>
      </w:r>
      <w:r>
        <w:rPr>
          <w:rFonts w:hint="eastAsia" w:ascii="宋体" w:hAnsi="宋体" w:cs="宋体"/>
          <w:color w:val="333333"/>
          <w:szCs w:val="24"/>
          <w:shd w:val="clear" w:color="auto" w:fill="FFFFFF"/>
        </w:rPr>
        <w:t>的中国境内生产的组件成本占比≥</w:t>
      </w:r>
      <w:r>
        <w:rPr>
          <w:rStyle w:val="22"/>
          <w:rFonts w:hint="eastAsia" w:ascii="宋体" w:hAnsi="宋体" w:cs="宋体"/>
          <w:i w:val="0"/>
          <w:color w:val="333333"/>
          <w:szCs w:val="24"/>
          <w:shd w:val="clear" w:color="auto" w:fill="FFFFFF"/>
        </w:rPr>
        <w:t>（规定比例）</w:t>
      </w:r>
      <w:r>
        <w:rPr>
          <w:rFonts w:hint="eastAsia" w:ascii="宋体" w:hAnsi="宋体" w:cs="宋体"/>
          <w:color w:val="333333"/>
          <w:szCs w:val="24"/>
          <w:shd w:val="clear" w:color="auto" w:fill="FFFFFF"/>
        </w:rPr>
        <w:t>。</w:t>
      </w:r>
      <w:r>
        <w:rPr>
          <w:rStyle w:val="22"/>
          <w:rFonts w:hint="eastAsia" w:ascii="宋体" w:hAnsi="宋体" w:cs="宋体"/>
          <w:i w:val="0"/>
          <w:color w:val="333333"/>
          <w:szCs w:val="24"/>
          <w:shd w:val="clear" w:color="auto" w:fill="FFFFFF"/>
        </w:rPr>
        <w:t>（产品名称2）</w:t>
      </w:r>
      <w:r>
        <w:rPr>
          <w:rFonts w:hint="eastAsia" w:ascii="宋体" w:hAnsi="宋体" w:cs="宋体"/>
          <w:color w:val="333333"/>
          <w:szCs w:val="24"/>
          <w:shd w:val="clear" w:color="auto" w:fill="FFFFFF"/>
        </w:rPr>
        <w:t>的</w:t>
      </w:r>
      <w:r>
        <w:rPr>
          <w:rStyle w:val="22"/>
          <w:rFonts w:hint="eastAsia" w:ascii="宋体" w:hAnsi="宋体" w:cs="宋体"/>
          <w:i w:val="0"/>
          <w:color w:val="333333"/>
          <w:szCs w:val="24"/>
          <w:shd w:val="clear" w:color="auto" w:fill="FFFFFF"/>
        </w:rPr>
        <w:t>（关键组件）</w:t>
      </w:r>
      <w:r>
        <w:rPr>
          <w:rFonts w:hint="eastAsia" w:ascii="宋体" w:hAnsi="宋体" w:cs="宋体"/>
          <w:color w:val="333333"/>
          <w:szCs w:val="24"/>
          <w:shd w:val="clear" w:color="auto" w:fill="FFFFFF"/>
        </w:rPr>
        <w:t>在中国境内生产。</w:t>
      </w:r>
      <w:r>
        <w:rPr>
          <w:rStyle w:val="22"/>
          <w:rFonts w:hint="eastAsia" w:ascii="宋体" w:hAnsi="宋体" w:cs="宋体"/>
          <w:i w:val="0"/>
          <w:color w:val="333333"/>
          <w:szCs w:val="24"/>
          <w:shd w:val="clear" w:color="auto" w:fill="FFFFFF"/>
        </w:rPr>
        <w:t>（产品名称2）</w:t>
      </w:r>
      <w:r>
        <w:rPr>
          <w:rFonts w:hint="eastAsia" w:ascii="宋体" w:hAnsi="宋体" w:cs="宋体"/>
          <w:color w:val="333333"/>
          <w:szCs w:val="24"/>
          <w:shd w:val="clear" w:color="auto" w:fill="FFFFFF"/>
        </w:rPr>
        <w:t>的</w:t>
      </w:r>
      <w:r>
        <w:rPr>
          <w:rStyle w:val="22"/>
          <w:rFonts w:hint="eastAsia" w:ascii="宋体" w:hAnsi="宋体" w:cs="宋体"/>
          <w:i w:val="0"/>
          <w:color w:val="333333"/>
          <w:szCs w:val="24"/>
          <w:shd w:val="clear" w:color="auto" w:fill="FFFFFF"/>
        </w:rPr>
        <w:t>（关键工序）</w:t>
      </w:r>
      <w:r>
        <w:rPr>
          <w:rFonts w:hint="eastAsia" w:ascii="宋体" w:hAnsi="宋体" w:cs="宋体"/>
          <w:color w:val="333333"/>
          <w:szCs w:val="24"/>
          <w:shd w:val="clear" w:color="auto" w:fill="FFFFFF"/>
        </w:rPr>
        <w:t>在中国境内完成。</w:t>
      </w:r>
    </w:p>
    <w:p w14:paraId="33244545">
      <w:pPr>
        <w:pStyle w:val="14"/>
        <w:widowControl/>
        <w:shd w:val="clear" w:color="auto" w:fill="FFFFFF"/>
        <w:spacing w:before="30" w:beforeAutospacing="0" w:after="30" w:afterAutospacing="0" w:line="360" w:lineRule="auto"/>
        <w:ind w:firstLine="420"/>
        <w:rPr>
          <w:rFonts w:hint="eastAsia" w:ascii="宋体" w:hAnsi="宋体" w:cs="宋体"/>
          <w:color w:val="333333"/>
          <w:szCs w:val="24"/>
        </w:rPr>
      </w:pPr>
      <w:r>
        <w:rPr>
          <w:rFonts w:hint="eastAsia" w:ascii="宋体" w:hAnsi="宋体" w:cs="宋体"/>
          <w:color w:val="333333"/>
          <w:szCs w:val="24"/>
          <w:shd w:val="clear" w:color="auto" w:fill="FFFFFF"/>
        </w:rPr>
        <w:t>……</w:t>
      </w:r>
    </w:p>
    <w:p w14:paraId="118228F5">
      <w:pPr>
        <w:pStyle w:val="14"/>
        <w:widowControl/>
        <w:shd w:val="clear" w:color="auto" w:fill="FFFFFF"/>
        <w:spacing w:before="30" w:beforeAutospacing="0" w:after="30" w:afterAutospacing="0" w:line="360" w:lineRule="auto"/>
        <w:ind w:firstLine="420"/>
        <w:rPr>
          <w:rFonts w:hint="eastAsia" w:ascii="宋体" w:hAnsi="宋体" w:cs="宋体"/>
          <w:color w:val="333333"/>
          <w:szCs w:val="24"/>
        </w:rPr>
      </w:pPr>
      <w:r>
        <w:rPr>
          <w:rFonts w:hint="eastAsia" w:ascii="宋体" w:hAnsi="宋体" w:cs="宋体"/>
          <w:color w:val="333333"/>
          <w:szCs w:val="24"/>
          <w:shd w:val="clear" w:color="auto" w:fill="FFFFFF"/>
        </w:rPr>
        <w:t>本公司（单位）对上述声明内容的真实性负责。如有虚假，愿承担相应法律责任。</w:t>
      </w:r>
    </w:p>
    <w:p w14:paraId="4969FE05">
      <w:pPr>
        <w:pStyle w:val="14"/>
        <w:widowControl/>
        <w:shd w:val="clear" w:color="auto" w:fill="FFFFFF"/>
        <w:spacing w:before="30" w:beforeAutospacing="0" w:after="30" w:afterAutospacing="0" w:line="360" w:lineRule="auto"/>
        <w:ind w:firstLine="420"/>
        <w:jc w:val="right"/>
        <w:rPr>
          <w:rFonts w:hint="eastAsia" w:ascii="宋体" w:hAnsi="宋体" w:cs="宋体"/>
          <w:color w:val="333333"/>
          <w:szCs w:val="24"/>
        </w:rPr>
      </w:pPr>
      <w:r>
        <w:rPr>
          <w:rFonts w:hint="eastAsia" w:ascii="宋体" w:hAnsi="宋体" w:cs="宋体"/>
          <w:color w:val="333333"/>
          <w:szCs w:val="24"/>
          <w:shd w:val="clear" w:color="auto" w:fill="FFFFFF"/>
        </w:rPr>
        <w:t>公司（单位）名称（盖章）：      </w:t>
      </w:r>
    </w:p>
    <w:p w14:paraId="0242D671">
      <w:pPr>
        <w:pStyle w:val="14"/>
        <w:widowControl/>
        <w:shd w:val="clear" w:color="auto" w:fill="FFFFFF"/>
        <w:spacing w:before="30" w:beforeAutospacing="0" w:after="30" w:afterAutospacing="0" w:line="360" w:lineRule="auto"/>
        <w:ind w:left="4200" w:firstLine="420"/>
        <w:jc w:val="center"/>
        <w:rPr>
          <w:rFonts w:hint="eastAsia" w:ascii="宋体" w:hAnsi="宋体" w:cs="宋体"/>
          <w:color w:val="333333"/>
          <w:szCs w:val="24"/>
        </w:rPr>
      </w:pPr>
      <w:r>
        <w:rPr>
          <w:rFonts w:hint="eastAsia" w:ascii="宋体" w:hAnsi="宋体" w:cs="宋体"/>
          <w:color w:val="333333"/>
          <w:szCs w:val="24"/>
          <w:shd w:val="clear" w:color="auto" w:fill="FFFFFF"/>
        </w:rPr>
        <w:t>日期：　年　　月　日    </w:t>
      </w:r>
    </w:p>
    <w:p w14:paraId="5929719C">
      <w:pPr>
        <w:pStyle w:val="14"/>
        <w:widowControl/>
        <w:shd w:val="clear" w:color="auto" w:fill="FFFFFF"/>
        <w:spacing w:before="30" w:beforeAutospacing="0" w:after="30" w:afterAutospacing="0"/>
        <w:ind w:firstLine="420"/>
        <w:rPr>
          <w:rFonts w:hint="eastAsia" w:ascii="宋体" w:hAnsi="宋体" w:cs="宋体"/>
          <w:color w:val="333333"/>
          <w:szCs w:val="24"/>
        </w:rPr>
      </w:pPr>
    </w:p>
    <w:p w14:paraId="25F84F3C">
      <w:pPr>
        <w:pStyle w:val="14"/>
        <w:widowControl/>
        <w:shd w:val="clear" w:color="auto" w:fill="FFFFFF"/>
        <w:spacing w:before="30" w:beforeAutospacing="0" w:after="30" w:afterAutospacing="0"/>
        <w:ind w:firstLine="420"/>
        <w:rPr>
          <w:rFonts w:hint="eastAsia" w:ascii="宋体" w:hAnsi="宋体" w:cs="宋体"/>
          <w:color w:val="333333"/>
          <w:szCs w:val="24"/>
        </w:rPr>
      </w:pPr>
    </w:p>
    <w:p w14:paraId="420467F2">
      <w:pPr>
        <w:pStyle w:val="14"/>
        <w:widowControl/>
        <w:shd w:val="clear" w:color="auto" w:fill="FFFFFF"/>
        <w:spacing w:before="30" w:beforeAutospacing="0" w:after="30" w:afterAutospacing="0"/>
        <w:rPr>
          <w:rFonts w:hint="eastAsia" w:ascii="宋体" w:hAnsi="宋体" w:cs="宋体"/>
          <w:color w:val="333333"/>
          <w:szCs w:val="24"/>
          <w:shd w:val="clear" w:color="auto" w:fill="FFFFFF"/>
        </w:rPr>
      </w:pPr>
    </w:p>
    <w:p w14:paraId="3E147CC4">
      <w:pPr>
        <w:pStyle w:val="14"/>
        <w:widowControl/>
        <w:shd w:val="clear" w:color="auto" w:fill="FFFFFF"/>
        <w:spacing w:before="30" w:beforeAutospacing="0" w:after="30" w:afterAutospacing="0"/>
        <w:rPr>
          <w:rFonts w:hint="eastAsia" w:ascii="宋体" w:hAnsi="宋体" w:cs="宋体"/>
          <w:color w:val="333333"/>
          <w:szCs w:val="24"/>
          <w:shd w:val="clear" w:color="auto" w:fill="FFFFFF"/>
        </w:rPr>
      </w:pPr>
    </w:p>
    <w:p w14:paraId="33033A7A">
      <w:pPr>
        <w:pStyle w:val="14"/>
        <w:widowControl/>
        <w:shd w:val="clear" w:color="auto" w:fill="FFFFFF"/>
        <w:spacing w:before="30" w:beforeAutospacing="0" w:after="30" w:afterAutospacing="0"/>
        <w:rPr>
          <w:rFonts w:hint="eastAsia" w:ascii="宋体" w:hAnsi="宋体" w:cs="宋体"/>
          <w:color w:val="333333"/>
          <w:szCs w:val="24"/>
        </w:rPr>
      </w:pPr>
      <w:r>
        <w:rPr>
          <w:rFonts w:hint="eastAsia" w:ascii="宋体" w:hAnsi="宋体" w:cs="宋体"/>
          <w:color w:val="333333"/>
          <w:szCs w:val="24"/>
          <w:shd w:val="clear" w:color="auto" w:fill="FFFFFF"/>
        </w:rPr>
        <w:t>_____________________________</w:t>
      </w:r>
    </w:p>
    <w:p w14:paraId="1DE73AE8">
      <w:pPr>
        <w:pStyle w:val="14"/>
        <w:widowControl/>
        <w:shd w:val="clear" w:color="auto" w:fill="FFFFFF"/>
        <w:spacing w:before="30" w:beforeAutospacing="0" w:after="30" w:afterAutospacing="0"/>
        <w:ind w:firstLine="420"/>
        <w:rPr>
          <w:rFonts w:hint="eastAsia" w:ascii="宋体" w:hAnsi="宋体" w:cs="宋体"/>
          <w:color w:val="333333"/>
          <w:szCs w:val="24"/>
        </w:rPr>
      </w:pPr>
      <w:r>
        <w:rPr>
          <w:rFonts w:hint="eastAsia" w:ascii="宋体" w:hAnsi="宋体" w:cs="宋体"/>
          <w:color w:val="333333"/>
          <w:szCs w:val="24"/>
          <w:shd w:val="clear" w:color="auto" w:fill="FFFFFF"/>
        </w:rPr>
        <w:t>1.产品如有型号，请在“产品名称”栏一并填写。</w:t>
      </w:r>
    </w:p>
    <w:p w14:paraId="4ACB8EED">
      <w:pPr>
        <w:pStyle w:val="14"/>
        <w:widowControl/>
        <w:shd w:val="clear" w:color="auto" w:fill="FFFFFF"/>
        <w:spacing w:before="30" w:beforeAutospacing="0" w:after="30" w:afterAutospacing="0"/>
        <w:ind w:firstLine="420"/>
        <w:rPr>
          <w:rFonts w:hint="eastAsia" w:ascii="宋体" w:hAnsi="宋体" w:cs="宋体"/>
          <w:color w:val="333333"/>
          <w:szCs w:val="24"/>
        </w:rPr>
      </w:pPr>
      <w:r>
        <w:rPr>
          <w:rFonts w:hint="eastAsia" w:ascii="宋体" w:hAnsi="宋体" w:cs="宋体"/>
          <w:color w:val="333333"/>
          <w:szCs w:val="24"/>
          <w:shd w:val="clear" w:color="auto" w:fill="FFFFFF"/>
        </w:rPr>
        <w:t>2.生产厂名与厂址应与生产厂营业执照载明的相关信息保持一致。</w:t>
      </w:r>
    </w:p>
    <w:p w14:paraId="7E370039">
      <w:pPr>
        <w:pStyle w:val="14"/>
        <w:widowControl/>
        <w:shd w:val="clear" w:color="auto" w:fill="FFFFFF"/>
        <w:spacing w:before="30" w:beforeAutospacing="0" w:after="30" w:afterAutospacing="0"/>
        <w:ind w:firstLine="420"/>
        <w:rPr>
          <w:rFonts w:hint="eastAsia" w:ascii="宋体" w:hAnsi="宋体" w:cs="宋体"/>
          <w:color w:val="333333"/>
          <w:szCs w:val="24"/>
        </w:rPr>
      </w:pPr>
      <w:r>
        <w:rPr>
          <w:rFonts w:hint="eastAsia" w:ascii="宋体" w:hAnsi="宋体" w:cs="宋体"/>
          <w:color w:val="333333"/>
          <w:szCs w:val="24"/>
          <w:shd w:val="clear" w:color="auto" w:fill="FFFFFF"/>
        </w:rPr>
        <w:t>3.该产品的中国境内生产的组件成本占比相关要求实施前，“规定比例”栏可不填，下同。</w:t>
      </w:r>
    </w:p>
    <w:p w14:paraId="1F107AA7">
      <w:pPr>
        <w:pStyle w:val="14"/>
        <w:widowControl/>
        <w:shd w:val="clear" w:color="auto" w:fill="FFFFFF"/>
        <w:spacing w:before="30" w:beforeAutospacing="0" w:after="30" w:afterAutospacing="0"/>
        <w:ind w:firstLine="420"/>
        <w:rPr>
          <w:rFonts w:hint="eastAsia" w:ascii="宋体" w:hAnsi="宋体" w:cs="宋体"/>
          <w:color w:val="333333"/>
          <w:szCs w:val="24"/>
          <w:shd w:val="clear" w:color="auto" w:fill="FFFFFF"/>
        </w:rPr>
      </w:pPr>
      <w:r>
        <w:rPr>
          <w:rFonts w:hint="eastAsia" w:ascii="宋体" w:hAnsi="宋体" w:cs="宋体"/>
          <w:color w:val="333333"/>
          <w:szCs w:val="24"/>
          <w:shd w:val="clear" w:color="auto" w:fill="FFFFFF"/>
        </w:rPr>
        <w:t>4.该产品的关键组件要求实施前，“关键组件”栏可不填，下同。</w:t>
      </w:r>
    </w:p>
    <w:p w14:paraId="563E1A87">
      <w:pPr>
        <w:pStyle w:val="14"/>
        <w:widowControl/>
        <w:shd w:val="clear" w:color="auto" w:fill="FFFFFF"/>
        <w:spacing w:before="30" w:beforeAutospacing="0" w:after="30" w:afterAutospacing="0"/>
        <w:ind w:firstLine="420"/>
        <w:rPr>
          <w:rFonts w:hint="eastAsia" w:ascii="宋体" w:hAnsi="宋体" w:cs="宋体"/>
          <w:b/>
          <w:sz w:val="28"/>
          <w:szCs w:val="28"/>
        </w:rPr>
      </w:pPr>
      <w:r>
        <w:rPr>
          <w:rFonts w:hint="eastAsia" w:ascii="宋体" w:hAnsi="宋体" w:cs="宋体"/>
          <w:color w:val="333333"/>
          <w:szCs w:val="24"/>
          <w:shd w:val="clear" w:color="auto" w:fill="FFFFFF"/>
        </w:rPr>
        <w:t>5.该产品的关键工序要求实施前，“关键工序”栏可不填，下同。</w:t>
      </w:r>
      <w:r>
        <w:rPr>
          <w:rFonts w:hint="eastAsia" w:ascii="宋体" w:hAnsi="宋体" w:cs="宋体"/>
          <w:b/>
          <w:sz w:val="28"/>
          <w:szCs w:val="28"/>
        </w:rPr>
        <w:br w:type="page"/>
      </w:r>
    </w:p>
    <w:p w14:paraId="278CA049">
      <w:pPr>
        <w:rPr>
          <w:rFonts w:hint="eastAsia" w:ascii="宋体" w:hAnsi="宋体" w:cs="宋体"/>
          <w:b/>
          <w:sz w:val="28"/>
          <w:szCs w:val="28"/>
        </w:rPr>
      </w:pPr>
      <w:r>
        <w:rPr>
          <w:rFonts w:hint="eastAsia" w:ascii="宋体" w:hAnsi="宋体" w:cs="宋体"/>
          <w:b/>
          <w:sz w:val="28"/>
          <w:szCs w:val="28"/>
        </w:rPr>
        <w:t>附件5：</w:t>
      </w:r>
    </w:p>
    <w:p w14:paraId="58EDD1EE">
      <w:pPr>
        <w:pStyle w:val="14"/>
        <w:widowControl/>
        <w:spacing w:before="0" w:beforeAutospacing="0" w:after="0" w:afterAutospacing="0" w:line="360" w:lineRule="auto"/>
        <w:jc w:val="center"/>
        <w:rPr>
          <w:b/>
          <w:bCs/>
          <w:sz w:val="40"/>
          <w:szCs w:val="40"/>
        </w:rPr>
      </w:pPr>
      <w:r>
        <w:rPr>
          <w:b/>
          <w:bCs/>
          <w:sz w:val="40"/>
          <w:szCs w:val="40"/>
        </w:rPr>
        <w:t>保密承诺书</w:t>
      </w:r>
    </w:p>
    <w:p w14:paraId="369B8741">
      <w:pPr>
        <w:pStyle w:val="14"/>
        <w:widowControl/>
        <w:spacing w:before="0" w:beforeAutospacing="0" w:after="0" w:afterAutospacing="0" w:line="360" w:lineRule="auto"/>
        <w:ind w:firstLine="640" w:firstLineChars="200"/>
        <w:rPr>
          <w:sz w:val="32"/>
          <w:szCs w:val="32"/>
        </w:rPr>
      </w:pPr>
      <w:r>
        <w:rPr>
          <w:sz w:val="32"/>
          <w:szCs w:val="32"/>
        </w:rPr>
        <w:t>为认真遵守保密法规制度，承担应当承担的保密义务，本人庄重承诺：</w:t>
      </w:r>
    </w:p>
    <w:p w14:paraId="07A0A2C1">
      <w:pPr>
        <w:pStyle w:val="14"/>
        <w:widowControl/>
        <w:spacing w:before="0" w:beforeAutospacing="0" w:after="0" w:afterAutospacing="0" w:line="360" w:lineRule="auto"/>
        <w:ind w:left="420" w:firstLine="420"/>
        <w:rPr>
          <w:sz w:val="32"/>
          <w:szCs w:val="32"/>
        </w:rPr>
      </w:pPr>
      <w:r>
        <w:rPr>
          <w:sz w:val="32"/>
          <w:szCs w:val="32"/>
        </w:rPr>
        <w:t>一、认真遵守国家保密法律、法规和规章制度，履行保密义务；</w:t>
      </w:r>
    </w:p>
    <w:p w14:paraId="38908D4C">
      <w:pPr>
        <w:pStyle w:val="14"/>
        <w:widowControl/>
        <w:spacing w:before="0" w:beforeAutospacing="0" w:after="0" w:afterAutospacing="0" w:line="360" w:lineRule="auto"/>
        <w:ind w:left="420" w:firstLine="420"/>
        <w:rPr>
          <w:sz w:val="32"/>
          <w:szCs w:val="32"/>
        </w:rPr>
      </w:pPr>
      <w:r>
        <w:rPr>
          <w:sz w:val="32"/>
          <w:szCs w:val="32"/>
        </w:rPr>
        <w:t>二、按照《延安市电子政务内网安全运行保密管理规定》如实提供个人信息，自愿接受保密审查；</w:t>
      </w:r>
    </w:p>
    <w:p w14:paraId="1C896584">
      <w:pPr>
        <w:pStyle w:val="14"/>
        <w:widowControl/>
        <w:spacing w:before="0" w:beforeAutospacing="0" w:after="0" w:afterAutospacing="0" w:line="360" w:lineRule="auto"/>
        <w:ind w:left="420" w:firstLine="420"/>
        <w:rPr>
          <w:sz w:val="32"/>
          <w:szCs w:val="32"/>
        </w:rPr>
      </w:pPr>
      <w:r>
        <w:rPr>
          <w:sz w:val="32"/>
          <w:szCs w:val="32"/>
        </w:rPr>
        <w:t>三、不违规记录、存储、复制国家秘密信息，不私自抄录、复印秘密文件、资料，不违规留存国家秘密载体；</w:t>
      </w:r>
    </w:p>
    <w:p w14:paraId="5E0848AD">
      <w:pPr>
        <w:pStyle w:val="14"/>
        <w:widowControl/>
        <w:spacing w:before="0" w:beforeAutospacing="0" w:after="0" w:afterAutospacing="0" w:line="360" w:lineRule="auto"/>
        <w:ind w:left="420" w:firstLine="420"/>
        <w:rPr>
          <w:sz w:val="32"/>
          <w:szCs w:val="32"/>
        </w:rPr>
      </w:pPr>
      <w:r>
        <w:rPr>
          <w:sz w:val="32"/>
          <w:szCs w:val="32"/>
        </w:rPr>
        <w:t>四、不在公共场所和家属、子女、亲友谈及国家秘密和政府工作秘密；</w:t>
      </w:r>
    </w:p>
    <w:p w14:paraId="7ED8F8E0">
      <w:pPr>
        <w:pStyle w:val="14"/>
        <w:widowControl/>
        <w:spacing w:before="0" w:beforeAutospacing="0" w:after="0" w:afterAutospacing="0" w:line="360" w:lineRule="auto"/>
        <w:ind w:left="420" w:firstLine="420"/>
        <w:rPr>
          <w:sz w:val="32"/>
          <w:szCs w:val="32"/>
        </w:rPr>
      </w:pPr>
      <w:r>
        <w:rPr>
          <w:sz w:val="32"/>
          <w:szCs w:val="32"/>
        </w:rPr>
        <w:t>五、不以任何方式泄露所接触和知悉的国家秘密，不随意携带秘密存储介质和卷宗到公共场所；</w:t>
      </w:r>
    </w:p>
    <w:p w14:paraId="64D09605">
      <w:pPr>
        <w:pStyle w:val="14"/>
        <w:widowControl/>
        <w:spacing w:before="0" w:beforeAutospacing="0" w:after="0" w:afterAutospacing="0" w:line="360" w:lineRule="auto"/>
        <w:ind w:left="420" w:firstLine="420"/>
        <w:rPr>
          <w:sz w:val="32"/>
          <w:szCs w:val="32"/>
        </w:rPr>
      </w:pPr>
      <w:r>
        <w:rPr>
          <w:sz w:val="32"/>
          <w:szCs w:val="32"/>
        </w:rPr>
        <w:t>六、不用普通电话和无线电话传递国家秘密事项，不用明码电报和不加密传真机传输秘密文件、资料；</w:t>
      </w:r>
    </w:p>
    <w:p w14:paraId="31182658">
      <w:pPr>
        <w:pStyle w:val="14"/>
        <w:widowControl/>
        <w:spacing w:before="0" w:beforeAutospacing="0" w:after="0" w:afterAutospacing="0" w:line="360" w:lineRule="auto"/>
        <w:ind w:left="420" w:firstLine="420"/>
        <w:rPr>
          <w:sz w:val="32"/>
          <w:szCs w:val="32"/>
        </w:rPr>
      </w:pPr>
      <w:r>
        <w:rPr>
          <w:sz w:val="32"/>
          <w:szCs w:val="32"/>
        </w:rPr>
        <w:t>七、未经批准，不擅自发表涉及未公开工作内容的文章、著述；</w:t>
      </w:r>
    </w:p>
    <w:p w14:paraId="0683C05C">
      <w:pPr>
        <w:pStyle w:val="14"/>
        <w:widowControl/>
        <w:spacing w:before="0" w:beforeAutospacing="0" w:after="0" w:afterAutospacing="0" w:line="360" w:lineRule="auto"/>
        <w:ind w:left="420" w:firstLine="420"/>
        <w:rPr>
          <w:sz w:val="32"/>
          <w:szCs w:val="32"/>
        </w:rPr>
      </w:pPr>
      <w:r>
        <w:rPr>
          <w:sz w:val="32"/>
          <w:szCs w:val="32"/>
        </w:rPr>
        <w:t>八、离岗时，自愿接受脱密期管理，签订保密承诺书。</w:t>
      </w:r>
    </w:p>
    <w:p w14:paraId="07773A5B">
      <w:pPr>
        <w:pStyle w:val="14"/>
        <w:widowControl/>
        <w:spacing w:before="0" w:beforeAutospacing="0" w:after="0" w:afterAutospacing="0" w:line="360" w:lineRule="auto"/>
        <w:ind w:left="420" w:firstLine="420"/>
        <w:rPr>
          <w:sz w:val="32"/>
          <w:szCs w:val="32"/>
        </w:rPr>
      </w:pPr>
      <w:r>
        <w:rPr>
          <w:sz w:val="32"/>
          <w:szCs w:val="32"/>
        </w:rPr>
        <w:t>违反上述承诺，自愿承担党纪、政纪责任和法律后果。</w:t>
      </w:r>
    </w:p>
    <w:p w14:paraId="040659A1">
      <w:pPr>
        <w:pStyle w:val="14"/>
        <w:widowControl/>
        <w:spacing w:before="0" w:beforeAutospacing="0" w:after="0" w:afterAutospacing="0" w:line="360" w:lineRule="auto"/>
        <w:jc w:val="center"/>
        <w:rPr>
          <w:sz w:val="32"/>
          <w:szCs w:val="32"/>
        </w:rPr>
      </w:pPr>
      <w:r>
        <w:rPr>
          <w:rFonts w:hint="eastAsia"/>
          <w:sz w:val="32"/>
          <w:szCs w:val="32"/>
        </w:rPr>
        <w:t xml:space="preserve">                         </w:t>
      </w:r>
    </w:p>
    <w:p w14:paraId="02A91B2E">
      <w:pPr>
        <w:pStyle w:val="14"/>
        <w:widowControl/>
        <w:spacing w:before="0" w:beforeAutospacing="0" w:after="0" w:afterAutospacing="0" w:line="360" w:lineRule="auto"/>
        <w:jc w:val="center"/>
        <w:rPr>
          <w:sz w:val="32"/>
          <w:szCs w:val="32"/>
        </w:rPr>
      </w:pPr>
      <w:r>
        <w:rPr>
          <w:rFonts w:hint="eastAsia"/>
          <w:sz w:val="32"/>
          <w:szCs w:val="32"/>
        </w:rPr>
        <w:t xml:space="preserve">                   </w:t>
      </w:r>
      <w:r>
        <w:rPr>
          <w:sz w:val="32"/>
          <w:szCs w:val="32"/>
        </w:rPr>
        <w:t>承诺人签名：</w:t>
      </w:r>
    </w:p>
    <w:p w14:paraId="2C847533">
      <w:pPr>
        <w:pStyle w:val="14"/>
        <w:widowControl/>
        <w:spacing w:before="0" w:beforeAutospacing="0" w:after="0" w:afterAutospacing="0" w:line="360" w:lineRule="auto"/>
        <w:jc w:val="center"/>
        <w:rPr>
          <w:sz w:val="32"/>
          <w:szCs w:val="32"/>
        </w:rPr>
      </w:pPr>
      <w:r>
        <w:rPr>
          <w:rFonts w:hint="eastAsia"/>
          <w:sz w:val="32"/>
          <w:szCs w:val="32"/>
        </w:rPr>
        <w:t xml:space="preserve">                            </w:t>
      </w:r>
      <w:r>
        <w:rPr>
          <w:sz w:val="32"/>
          <w:szCs w:val="32"/>
        </w:rPr>
        <w:t>年</w:t>
      </w:r>
      <w:r>
        <w:rPr>
          <w:rFonts w:hint="eastAsia"/>
          <w:sz w:val="32"/>
          <w:szCs w:val="32"/>
        </w:rPr>
        <w:t xml:space="preserve">   </w:t>
      </w:r>
      <w:r>
        <w:rPr>
          <w:sz w:val="32"/>
          <w:szCs w:val="32"/>
        </w:rPr>
        <w:t xml:space="preserve"> 月 </w:t>
      </w:r>
      <w:r>
        <w:rPr>
          <w:rFonts w:hint="eastAsia"/>
          <w:sz w:val="32"/>
          <w:szCs w:val="32"/>
        </w:rPr>
        <w:t xml:space="preserve">   </w:t>
      </w:r>
      <w:r>
        <w:rPr>
          <w:sz w:val="32"/>
          <w:szCs w:val="32"/>
        </w:rPr>
        <w:t>日</w:t>
      </w:r>
    </w:p>
    <w:p w14:paraId="7090F5ED"/>
    <w:sectPr>
      <w:headerReference r:id="rId14" w:type="default"/>
      <w:footerReference r:id="rId15" w:type="default"/>
      <w:pgSz w:w="11906" w:h="16838"/>
      <w:pgMar w:top="1559" w:right="1134" w:bottom="1020" w:left="1321" w:header="851" w:footer="992" w:gutter="0"/>
      <w:cols w:space="720" w:num="1"/>
      <w:docGrid w:type="lines" w:linePitch="315"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KB" w:date="2026-05-27T11:20:00Z" w:initials="KB">
    <w:p w14:paraId="67EBE2D8">
      <w:pPr>
        <w:pStyle w:val="5"/>
      </w:pPr>
      <w:r>
        <w:t>1</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7EBE2D8" w15:done="1"/>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DB9E8">
    <w:pPr>
      <w:pStyle w:val="1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3B7F9B">
                          <w:pPr>
                            <w:pStyle w:val="10"/>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A3B7F9B">
                    <w:pPr>
                      <w:pStyle w:val="10"/>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F9DCA">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18965">
    <w:pPr>
      <w:pStyle w:val="1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B539B9">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FB539B9">
                    <w:pPr>
                      <w:pStyle w:val="10"/>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08BFE64C">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hpgkvTAAAABQEAAA8AAAAAAAAAAQAgAAAAIgAAAGRycy9k&#10;b3ducmV2LnhtbFBLAQIUABQAAAAIAIdO4kCAW/XPzgEAAKUDAAAOAAAAAAAAAAEAIAAAACIBAABk&#10;cnMvZTJvRG9jLnhtbFBLBQYAAAAABgAGAFkBAABiBQAAAAA=&#10;">
              <v:fill on="f" focussize="0,0"/>
              <v:stroke on="f" weight="1.25pt"/>
              <v:imagedata o:title=""/>
              <o:lock v:ext="edit" aspectratio="f"/>
              <v:textbox inset="0mm,0mm,0mm,0mm" style="mso-fit-shape-to-text:t;">
                <w:txbxContent>
                  <w:p w14:paraId="08BFE64C">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20AD6">
    <w:pPr>
      <w:pStyle w:val="10"/>
      <w:tabs>
        <w:tab w:val="center" w:pos="4725"/>
        <w:tab w:val="clear" w:pos="4153"/>
        <w:tab w:val="clear" w:pos="8306"/>
      </w:tabs>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F89A78">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8F89A78">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ECD00">
    <w:pPr>
      <w:pStyle w:val="10"/>
      <w:tabs>
        <w:tab w:val="left" w:pos="5405"/>
        <w:tab w:val="clear" w:pos="4153"/>
        <w:tab w:val="clear" w:pos="8306"/>
      </w:tabs>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DAB5A1">
                          <w:pPr>
                            <w:pStyle w:val="10"/>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1DAB5A1">
                    <w:pPr>
                      <w:pStyle w:val="10"/>
                    </w:pPr>
                    <w:r>
                      <w:fldChar w:fldCharType="begin"/>
                    </w:r>
                    <w:r>
                      <w:instrText xml:space="preserve"> PAGE  \* MERGEFORMAT </w:instrText>
                    </w:r>
                    <w:r>
                      <w:fldChar w:fldCharType="separate"/>
                    </w:r>
                    <w:r>
                      <w:t>65</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AC4054A">
                          <w:pPr>
                            <w:pStyle w:val="1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3lPQyAgAAY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7eU9DICAABjBAAADgAAAAAAAAABACAAAAAfAQAAZHJzL2Uyb0RvYy54bWxQSwUG&#10;AAAAAAYABgBZAQAAwwUAAAAA&#10;">
              <v:fill on="f" focussize="0,0"/>
              <v:stroke on="f" weight="0.5pt"/>
              <v:imagedata o:title=""/>
              <o:lock v:ext="edit" aspectratio="f"/>
              <v:textbox inset="0mm,0mm,0mm,0mm" style="mso-fit-shape-to-text:t;">
                <w:txbxContent>
                  <w:p w14:paraId="0AC4054A">
                    <w:pPr>
                      <w:pStyle w:val="10"/>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5739765</wp:posOffset>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F965E23">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451.95pt;margin-top:0pt;height:144pt;width:144pt;mso-position-horizontal-relative:margin;mso-wrap-style:none;z-index:251660288;mso-width-relative:page;mso-height-relative:page;" filled="f" stroked="f" coordsize="21600,21600" o:gfxdata="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TX46XXAAAACQEAAA8AAAAAAAAAAQAgAAAAIgAA&#10;AGRycy9kb3ducmV2LnhtbFBLAQIUABQAAAAIAIdO4kD7cxF90AEAAKUDAAAOAAAAAAAAAAEAIAAA&#10;ACYBAABkcnMvZTJvRG9jLnhtbFBLBQYAAAAABgAGAFkBAABoBQAAAAA=&#10;">
              <v:fill on="f" focussize="0,0"/>
              <v:stroke on="f" weight="1.25pt"/>
              <v:imagedata o:title=""/>
              <o:lock v:ext="edit" aspectratio="f"/>
              <v:textbox inset="0mm,0mm,0mm,0mm" style="mso-fit-shape-to-text:t;">
                <w:txbxContent>
                  <w:p w14:paraId="5F965E23">
                    <w:pPr>
                      <w:snapToGrid w:val="0"/>
                      <w:rPr>
                        <w:sz w:val="18"/>
                      </w:rPr>
                    </w:pPr>
                  </w:p>
                </w:txbxContent>
              </v:textbox>
            </v:shape>
          </w:pict>
        </mc:Fallback>
      </mc:AlternateContent>
    </w:r>
    <w:r>
      <w:rPr>
        <w:rFonts w:hint="eastAsia"/>
      </w:rPr>
      <w:t xml:space="preserve">                                      </w:t>
    </w:r>
  </w:p>
  <w:p w14:paraId="588B6E1D">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A60DF">
    <w:pPr>
      <w:pStyle w:val="12"/>
      <w:pBdr>
        <w:bottom w:val="none" w:color="auto" w:sz="0" w:space="1"/>
      </w:pBdr>
    </w:pPr>
  </w:p>
  <w:p w14:paraId="78532EAA">
    <w:pPr>
      <w:pStyle w:val="12"/>
      <w:pBdr>
        <w:bottom w:val="none" w:color="auto" w:sz="0" w:space="1"/>
      </w:pBdr>
      <w:tabs>
        <w:tab w:val="left" w:pos="9375"/>
        <w:tab w:val="clear" w:pos="8306"/>
      </w:tabs>
      <w:ind w:left="7661" w:leftChars="3648"/>
      <w:jc w:val="both"/>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E519E">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6CD02">
    <w:pPr>
      <w:pStyle w:val="1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999D4">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1254FC"/>
    <w:multiLevelType w:val="singleLevel"/>
    <w:tmpl w:val="9B1254FC"/>
    <w:lvl w:ilvl="0" w:tentative="0">
      <w:start w:val="1"/>
      <w:numFmt w:val="decimal"/>
      <w:lvlText w:val="%1."/>
      <w:lvlJc w:val="left"/>
      <w:pPr>
        <w:tabs>
          <w:tab w:val="left" w:pos="312"/>
        </w:tabs>
      </w:pPr>
    </w:lvl>
  </w:abstractNum>
  <w:abstractNum w:abstractNumId="1">
    <w:nsid w:val="AF197570"/>
    <w:multiLevelType w:val="singleLevel"/>
    <w:tmpl w:val="AF197570"/>
    <w:lvl w:ilvl="0" w:tentative="0">
      <w:start w:val="4"/>
      <w:numFmt w:val="decimal"/>
      <w:suff w:val="nothing"/>
      <w:lvlText w:val="（%1）"/>
      <w:lvlJc w:val="left"/>
    </w:lvl>
  </w:abstractNum>
  <w:abstractNum w:abstractNumId="2">
    <w:nsid w:val="0000000E"/>
    <w:multiLevelType w:val="multilevel"/>
    <w:tmpl w:val="0000000E"/>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660"/>
        </w:tabs>
        <w:ind w:left="660" w:hanging="420"/>
      </w:pPr>
      <w:rPr>
        <w:rFonts w:hint="default" w:ascii="Wingdings" w:hAnsi="Wingdings"/>
      </w:rPr>
    </w:lvl>
    <w:lvl w:ilvl="2" w:tentative="0">
      <w:start w:val="1"/>
      <w:numFmt w:val="bullet"/>
      <w:lvlText w:val=""/>
      <w:lvlJc w:val="left"/>
      <w:pPr>
        <w:tabs>
          <w:tab w:val="left" w:pos="1080"/>
        </w:tabs>
        <w:ind w:left="1080" w:hanging="420"/>
      </w:pPr>
      <w:rPr>
        <w:rFonts w:hint="default" w:ascii="Wingdings" w:hAnsi="Wingdings"/>
      </w:rPr>
    </w:lvl>
    <w:lvl w:ilvl="3" w:tentative="0">
      <w:start w:val="1"/>
      <w:numFmt w:val="bullet"/>
      <w:lvlText w:val=""/>
      <w:lvlJc w:val="left"/>
      <w:pPr>
        <w:tabs>
          <w:tab w:val="left" w:pos="1500"/>
        </w:tabs>
        <w:ind w:left="1500" w:hanging="420"/>
      </w:pPr>
      <w:rPr>
        <w:rFonts w:hint="default" w:ascii="Wingdings" w:hAnsi="Wingdings"/>
      </w:rPr>
    </w:lvl>
    <w:lvl w:ilvl="4" w:tentative="0">
      <w:start w:val="1"/>
      <w:numFmt w:val="bullet"/>
      <w:lvlText w:val=""/>
      <w:lvlJc w:val="left"/>
      <w:pPr>
        <w:tabs>
          <w:tab w:val="left" w:pos="1920"/>
        </w:tabs>
        <w:ind w:left="1920" w:hanging="420"/>
      </w:pPr>
      <w:rPr>
        <w:rFonts w:hint="default" w:ascii="Wingdings" w:hAnsi="Wingdings"/>
      </w:rPr>
    </w:lvl>
    <w:lvl w:ilvl="5" w:tentative="0">
      <w:start w:val="1"/>
      <w:numFmt w:val="bullet"/>
      <w:lvlText w:val=""/>
      <w:lvlJc w:val="left"/>
      <w:pPr>
        <w:tabs>
          <w:tab w:val="left" w:pos="2340"/>
        </w:tabs>
        <w:ind w:left="2340" w:hanging="420"/>
      </w:pPr>
      <w:rPr>
        <w:rFonts w:hint="default" w:ascii="Wingdings" w:hAnsi="Wingdings"/>
      </w:rPr>
    </w:lvl>
    <w:lvl w:ilvl="6" w:tentative="0">
      <w:start w:val="1"/>
      <w:numFmt w:val="bullet"/>
      <w:lvlText w:val=""/>
      <w:lvlJc w:val="left"/>
      <w:pPr>
        <w:tabs>
          <w:tab w:val="left" w:pos="2760"/>
        </w:tabs>
        <w:ind w:left="2760" w:hanging="420"/>
      </w:pPr>
      <w:rPr>
        <w:rFonts w:hint="default" w:ascii="Wingdings" w:hAnsi="Wingdings"/>
      </w:rPr>
    </w:lvl>
    <w:lvl w:ilvl="7" w:tentative="0">
      <w:start w:val="1"/>
      <w:numFmt w:val="bullet"/>
      <w:lvlText w:val=""/>
      <w:lvlJc w:val="left"/>
      <w:pPr>
        <w:tabs>
          <w:tab w:val="left" w:pos="3180"/>
        </w:tabs>
        <w:ind w:left="3180" w:hanging="420"/>
      </w:pPr>
      <w:rPr>
        <w:rFonts w:hint="default" w:ascii="Wingdings" w:hAnsi="Wingdings"/>
      </w:rPr>
    </w:lvl>
    <w:lvl w:ilvl="8" w:tentative="0">
      <w:start w:val="1"/>
      <w:numFmt w:val="bullet"/>
      <w:lvlText w:val=""/>
      <w:lvlJc w:val="left"/>
      <w:pPr>
        <w:tabs>
          <w:tab w:val="left" w:pos="3600"/>
        </w:tabs>
        <w:ind w:left="3600" w:hanging="420"/>
      </w:pPr>
      <w:rPr>
        <w:rFonts w:hint="default" w:ascii="Wingdings" w:hAnsi="Wingdings"/>
      </w:rPr>
    </w:lvl>
  </w:abstractNum>
  <w:abstractNum w:abstractNumId="3">
    <w:nsid w:val="4F61D1A1"/>
    <w:multiLevelType w:val="singleLevel"/>
    <w:tmpl w:val="4F61D1A1"/>
    <w:lvl w:ilvl="0" w:tentative="0">
      <w:start w:val="4"/>
      <w:numFmt w:val="chineseCounting"/>
      <w:suff w:val="space"/>
      <w:lvlText w:val="第%1部分"/>
      <w:lvlJc w:val="left"/>
      <w:rPr>
        <w:rFonts w:hint="eastAsia"/>
      </w:rPr>
    </w:lvl>
  </w:abstractNum>
  <w:abstractNum w:abstractNumId="4">
    <w:nsid w:val="54FAB062"/>
    <w:multiLevelType w:val="singleLevel"/>
    <w:tmpl w:val="54FAB062"/>
    <w:lvl w:ilvl="0" w:tentative="0">
      <w:start w:val="1"/>
      <w:numFmt w:val="decimal"/>
      <w:suff w:val="nothing"/>
      <w:lvlText w:val="（%1）"/>
      <w:lvlJc w:val="left"/>
    </w:lvl>
  </w:abstractNum>
  <w:num w:numId="1">
    <w:abstractNumId w:val="2"/>
  </w:num>
  <w:num w:numId="2">
    <w:abstractNumId w:val="4"/>
  </w:num>
  <w:num w:numId="3">
    <w:abstractNumId w:val="1"/>
  </w:num>
  <w:num w:numId="4">
    <w:abstractNumId w:val="0"/>
  </w:num>
  <w:num w:numId="5">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KB">
    <w15:presenceInfo w15:providerId="None" w15:userId="K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hideSpellingErrors/>
  <w:revisionView w:markup="0"/>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302EEA"/>
    <w:rsid w:val="0007310E"/>
    <w:rsid w:val="00133474"/>
    <w:rsid w:val="0015493A"/>
    <w:rsid w:val="0018179F"/>
    <w:rsid w:val="001A44FD"/>
    <w:rsid w:val="001D677E"/>
    <w:rsid w:val="001F2744"/>
    <w:rsid w:val="00236F47"/>
    <w:rsid w:val="002D0C21"/>
    <w:rsid w:val="004647F1"/>
    <w:rsid w:val="004A6119"/>
    <w:rsid w:val="004B7099"/>
    <w:rsid w:val="0054451F"/>
    <w:rsid w:val="005C158A"/>
    <w:rsid w:val="005F3603"/>
    <w:rsid w:val="00631A44"/>
    <w:rsid w:val="006A6ECF"/>
    <w:rsid w:val="006E4C33"/>
    <w:rsid w:val="00727E83"/>
    <w:rsid w:val="00736A49"/>
    <w:rsid w:val="008173DB"/>
    <w:rsid w:val="008F34C7"/>
    <w:rsid w:val="0090109A"/>
    <w:rsid w:val="00934ABC"/>
    <w:rsid w:val="00991375"/>
    <w:rsid w:val="00A46132"/>
    <w:rsid w:val="00A63553"/>
    <w:rsid w:val="00AE650B"/>
    <w:rsid w:val="00B50CCC"/>
    <w:rsid w:val="00B62071"/>
    <w:rsid w:val="00C44C23"/>
    <w:rsid w:val="00D003AD"/>
    <w:rsid w:val="00D16B8F"/>
    <w:rsid w:val="00D6012A"/>
    <w:rsid w:val="00E16054"/>
    <w:rsid w:val="00E90833"/>
    <w:rsid w:val="00EC3189"/>
    <w:rsid w:val="00F227EF"/>
    <w:rsid w:val="00F23C0E"/>
    <w:rsid w:val="00F35F92"/>
    <w:rsid w:val="00F362C2"/>
    <w:rsid w:val="00FD2002"/>
    <w:rsid w:val="00FD50D8"/>
    <w:rsid w:val="023774A4"/>
    <w:rsid w:val="032F2286"/>
    <w:rsid w:val="04173117"/>
    <w:rsid w:val="05DE300C"/>
    <w:rsid w:val="061E4834"/>
    <w:rsid w:val="07DE24CD"/>
    <w:rsid w:val="07F51D91"/>
    <w:rsid w:val="0854278F"/>
    <w:rsid w:val="08C6543B"/>
    <w:rsid w:val="08F024B8"/>
    <w:rsid w:val="09381D91"/>
    <w:rsid w:val="09510A7C"/>
    <w:rsid w:val="0A5077CA"/>
    <w:rsid w:val="0C13795F"/>
    <w:rsid w:val="0FF56606"/>
    <w:rsid w:val="11115E1E"/>
    <w:rsid w:val="126A77A3"/>
    <w:rsid w:val="134358DA"/>
    <w:rsid w:val="13A22600"/>
    <w:rsid w:val="1424570B"/>
    <w:rsid w:val="14C03686"/>
    <w:rsid w:val="156A35F2"/>
    <w:rsid w:val="158E218E"/>
    <w:rsid w:val="17D04E66"/>
    <w:rsid w:val="188B5D59"/>
    <w:rsid w:val="18C634B7"/>
    <w:rsid w:val="18E92A80"/>
    <w:rsid w:val="18F90F15"/>
    <w:rsid w:val="19C62761"/>
    <w:rsid w:val="1B632FBD"/>
    <w:rsid w:val="1C3729B3"/>
    <w:rsid w:val="1DD12460"/>
    <w:rsid w:val="1E785979"/>
    <w:rsid w:val="1F5534BF"/>
    <w:rsid w:val="1F5C21FD"/>
    <w:rsid w:val="210668C5"/>
    <w:rsid w:val="248F097F"/>
    <w:rsid w:val="24A73F1B"/>
    <w:rsid w:val="250C6474"/>
    <w:rsid w:val="25B80406"/>
    <w:rsid w:val="26302EEA"/>
    <w:rsid w:val="27537C93"/>
    <w:rsid w:val="2A7D4880"/>
    <w:rsid w:val="2C1327AC"/>
    <w:rsid w:val="2ECD27D0"/>
    <w:rsid w:val="2FC96724"/>
    <w:rsid w:val="2FD50E56"/>
    <w:rsid w:val="3082583C"/>
    <w:rsid w:val="334D2131"/>
    <w:rsid w:val="344F3FE5"/>
    <w:rsid w:val="34BF0E0C"/>
    <w:rsid w:val="35131158"/>
    <w:rsid w:val="38C5276A"/>
    <w:rsid w:val="398D15DD"/>
    <w:rsid w:val="3AC37C6A"/>
    <w:rsid w:val="3B3F7510"/>
    <w:rsid w:val="3C0178D1"/>
    <w:rsid w:val="3C6B7ACC"/>
    <w:rsid w:val="3C9C5ED7"/>
    <w:rsid w:val="3CE62839"/>
    <w:rsid w:val="3FBF6165"/>
    <w:rsid w:val="40297A82"/>
    <w:rsid w:val="4070745F"/>
    <w:rsid w:val="442E38B9"/>
    <w:rsid w:val="450D34CE"/>
    <w:rsid w:val="47AA5523"/>
    <w:rsid w:val="49507E2D"/>
    <w:rsid w:val="4A743FEF"/>
    <w:rsid w:val="4F1D6A04"/>
    <w:rsid w:val="4FE00D7E"/>
    <w:rsid w:val="56F269C8"/>
    <w:rsid w:val="58810A7E"/>
    <w:rsid w:val="58A61818"/>
    <w:rsid w:val="58D66D91"/>
    <w:rsid w:val="58D9684A"/>
    <w:rsid w:val="5A182FE8"/>
    <w:rsid w:val="5A875679"/>
    <w:rsid w:val="5F0204EF"/>
    <w:rsid w:val="5F990328"/>
    <w:rsid w:val="605E6E7C"/>
    <w:rsid w:val="607E1666"/>
    <w:rsid w:val="616603E0"/>
    <w:rsid w:val="630D7676"/>
    <w:rsid w:val="643C1282"/>
    <w:rsid w:val="64B67287"/>
    <w:rsid w:val="65B337C6"/>
    <w:rsid w:val="6694184A"/>
    <w:rsid w:val="66B35ADA"/>
    <w:rsid w:val="6C515AE7"/>
    <w:rsid w:val="6F3717BF"/>
    <w:rsid w:val="71A05546"/>
    <w:rsid w:val="71D62D16"/>
    <w:rsid w:val="71E23AF7"/>
    <w:rsid w:val="727702D6"/>
    <w:rsid w:val="73CC32B3"/>
    <w:rsid w:val="741915E0"/>
    <w:rsid w:val="759E1D9D"/>
    <w:rsid w:val="794D1872"/>
    <w:rsid w:val="7A0D74F1"/>
    <w:rsid w:val="7A511E88"/>
    <w:rsid w:val="7B2745E3"/>
    <w:rsid w:val="7E5576B9"/>
    <w:rsid w:val="7F170F0E"/>
    <w:rsid w:val="7F462A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b/>
      <w:bCs/>
      <w:kern w:val="44"/>
      <w:sz w:val="30"/>
      <w:szCs w:val="44"/>
    </w:rPr>
  </w:style>
  <w:style w:type="paragraph" w:styleId="3">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4">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0"/>
    <w:qFormat/>
    <w:uiPriority w:val="0"/>
    <w:pPr>
      <w:jc w:val="left"/>
    </w:pPr>
  </w:style>
  <w:style w:type="paragraph" w:styleId="6">
    <w:name w:val="Body Text"/>
    <w:basedOn w:val="1"/>
    <w:next w:val="1"/>
    <w:qFormat/>
    <w:uiPriority w:val="0"/>
    <w:rPr>
      <w:color w:val="993300"/>
      <w:sz w:val="24"/>
    </w:rPr>
  </w:style>
  <w:style w:type="paragraph" w:styleId="7">
    <w:name w:val="Body Text Indent"/>
    <w:basedOn w:val="1"/>
    <w:qFormat/>
    <w:uiPriority w:val="0"/>
    <w:pPr>
      <w:ind w:firstLine="480"/>
    </w:pPr>
    <w:rPr>
      <w:rFonts w:ascii="宋体" w:hAnsi="宋体"/>
    </w:rPr>
  </w:style>
  <w:style w:type="paragraph" w:styleId="8">
    <w:name w:val="Plain Text"/>
    <w:basedOn w:val="1"/>
    <w:qFormat/>
    <w:uiPriority w:val="0"/>
    <w:rPr>
      <w:rFonts w:ascii="宋体" w:hAnsi="Courier New" w:cs="Courier New"/>
      <w:szCs w:val="21"/>
    </w:rPr>
  </w:style>
  <w:style w:type="paragraph" w:styleId="9">
    <w:name w:val="Body Text Indent 2"/>
    <w:basedOn w:val="1"/>
    <w:qFormat/>
    <w:uiPriority w:val="0"/>
    <w:pPr>
      <w:spacing w:after="120" w:line="480" w:lineRule="auto"/>
      <w:ind w:left="420" w:leftChars="200"/>
    </w:p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envelope return"/>
    <w:basedOn w:val="1"/>
    <w:qFormat/>
    <w:uiPriority w:val="0"/>
    <w:pPr>
      <w:snapToGrid w:val="0"/>
    </w:pPr>
    <w:rPr>
      <w:rFonts w:ascii="Arial" w:hAnsi="Arial"/>
    </w:rPr>
  </w:style>
  <w:style w:type="paragraph" w:styleId="12">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3">
    <w:name w:val="toc 2"/>
    <w:basedOn w:val="1"/>
    <w:next w:val="1"/>
    <w:qFormat/>
    <w:uiPriority w:val="39"/>
    <w:pPr>
      <w:ind w:left="420" w:leftChars="200"/>
    </w:pPr>
  </w:style>
  <w:style w:type="paragraph" w:styleId="14">
    <w:name w:val="Normal (Web)"/>
    <w:basedOn w:val="1"/>
    <w:qFormat/>
    <w:uiPriority w:val="99"/>
    <w:pPr>
      <w:spacing w:before="100" w:beforeAutospacing="1" w:after="100" w:afterAutospacing="1" w:line="240" w:lineRule="auto"/>
      <w:jc w:val="left"/>
    </w:pPr>
    <w:rPr>
      <w:rFonts w:ascii="Times New Roman" w:hAnsi="Times New Roman"/>
      <w:kern w:val="0"/>
      <w:sz w:val="24"/>
      <w:szCs w:val="20"/>
    </w:rPr>
  </w:style>
  <w:style w:type="paragraph" w:styleId="15">
    <w:name w:val="annotation subject"/>
    <w:basedOn w:val="5"/>
    <w:next w:val="5"/>
    <w:link w:val="31"/>
    <w:qFormat/>
    <w:uiPriority w:val="0"/>
    <w:rPr>
      <w:b/>
      <w:bCs/>
    </w:rPr>
  </w:style>
  <w:style w:type="paragraph" w:styleId="16">
    <w:name w:val="Body Text First Indent"/>
    <w:basedOn w:val="6"/>
    <w:qFormat/>
    <w:uiPriority w:val="0"/>
    <w:pPr>
      <w:adjustRightInd w:val="0"/>
      <w:spacing w:line="360" w:lineRule="auto"/>
      <w:ind w:firstLine="420"/>
      <w:textAlignment w:val="baseline"/>
    </w:pPr>
    <w:rPr>
      <w:rFonts w:ascii="Times New Roman" w:hAnsi="Times New Roman" w:eastAsia="楷体_GB2312"/>
      <w:kern w:val="0"/>
      <w:szCs w:val="20"/>
    </w:rPr>
  </w:style>
  <w:style w:type="paragraph" w:styleId="17">
    <w:name w:val="Body Text First Indent 2"/>
    <w:basedOn w:val="7"/>
    <w:next w:val="13"/>
    <w:qFormat/>
    <w:uiPriority w:val="0"/>
    <w:pPr>
      <w:spacing w:after="120"/>
      <w:ind w:left="420" w:leftChars="200" w:firstLine="420" w:firstLineChars="200"/>
    </w:pPr>
    <w:rPr>
      <w:rFonts w:ascii="Times New Roman" w:hAnsi="Times New Roman"/>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bCs/>
    </w:rPr>
  </w:style>
  <w:style w:type="character" w:styleId="22">
    <w:name w:val="Emphasis"/>
    <w:basedOn w:val="20"/>
    <w:qFormat/>
    <w:uiPriority w:val="0"/>
    <w:rPr>
      <w:i/>
    </w:rPr>
  </w:style>
  <w:style w:type="character" w:styleId="23">
    <w:name w:val="annotation reference"/>
    <w:basedOn w:val="20"/>
    <w:qFormat/>
    <w:uiPriority w:val="0"/>
    <w:rPr>
      <w:sz w:val="21"/>
      <w:szCs w:val="21"/>
    </w:rPr>
  </w:style>
  <w:style w:type="paragraph" w:customStyle="1" w:styleId="24">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
    <w:name w:val="列出段落2"/>
    <w:basedOn w:val="1"/>
    <w:autoRedefine/>
    <w:qFormat/>
    <w:uiPriority w:val="0"/>
    <w:pPr>
      <w:spacing w:line="240" w:lineRule="auto"/>
      <w:ind w:firstLine="420" w:firstLineChars="200"/>
    </w:pPr>
    <w:rPr>
      <w:rFonts w:ascii="Times New Roman" w:hAnsi="Times New Roman"/>
      <w:kern w:val="0"/>
      <w:sz w:val="24"/>
      <w:szCs w:val="20"/>
    </w:rPr>
  </w:style>
  <w:style w:type="paragraph" w:customStyle="1" w:styleId="26">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7">
    <w:name w:val="1正文"/>
    <w:basedOn w:val="14"/>
    <w:autoRedefine/>
    <w:qFormat/>
    <w:uiPriority w:val="99"/>
    <w:pPr>
      <w:spacing w:beforeAutospacing="0" w:afterAutospacing="0" w:line="360" w:lineRule="auto"/>
      <w:ind w:firstLine="960" w:firstLineChars="200"/>
      <w:jc w:val="both"/>
    </w:pPr>
  </w:style>
  <w:style w:type="table" w:customStyle="1" w:styleId="28">
    <w:name w:val="Table Normal"/>
    <w:semiHidden/>
    <w:unhideWhenUsed/>
    <w:qFormat/>
    <w:uiPriority w:val="0"/>
    <w:tblPr>
      <w:tblCellMar>
        <w:top w:w="0" w:type="dxa"/>
        <w:left w:w="0" w:type="dxa"/>
        <w:bottom w:w="0" w:type="dxa"/>
        <w:right w:w="0" w:type="dxa"/>
      </w:tblCellMar>
    </w:tblPr>
  </w:style>
  <w:style w:type="paragraph" w:customStyle="1" w:styleId="29">
    <w:name w:val="※正文"/>
    <w:basedOn w:val="1"/>
    <w:next w:val="1"/>
    <w:autoRedefine/>
    <w:qFormat/>
    <w:uiPriority w:val="0"/>
    <w:pPr>
      <w:widowControl/>
      <w:wordWrap w:val="0"/>
      <w:spacing w:line="400" w:lineRule="exact"/>
    </w:pPr>
    <w:rPr>
      <w:rFonts w:ascii="Calibri Light" w:hAnsi="Calibri Light" w:eastAsia="华文仿宋"/>
      <w:sz w:val="28"/>
      <w:szCs w:val="28"/>
    </w:rPr>
  </w:style>
  <w:style w:type="character" w:customStyle="1" w:styleId="30">
    <w:name w:val="批注文字 字符"/>
    <w:basedOn w:val="20"/>
    <w:link w:val="5"/>
    <w:qFormat/>
    <w:uiPriority w:val="0"/>
    <w:rPr>
      <w:rFonts w:ascii="Calibri" w:hAnsi="Calibri"/>
      <w:kern w:val="2"/>
      <w:sz w:val="21"/>
      <w:szCs w:val="24"/>
    </w:rPr>
  </w:style>
  <w:style w:type="character" w:customStyle="1" w:styleId="31">
    <w:name w:val="批注主题 字符"/>
    <w:basedOn w:val="30"/>
    <w:link w:val="15"/>
    <w:qFormat/>
    <w:uiPriority w:val="0"/>
    <w:rPr>
      <w:rFonts w:ascii="Calibri" w:hAnsi="Calibri"/>
      <w:b/>
      <w:bCs/>
      <w:kern w:val="2"/>
      <w:sz w:val="21"/>
      <w:szCs w:val="24"/>
    </w:rPr>
  </w:style>
  <w:style w:type="paragraph" w:styleId="32">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5.xml"/><Relationship Id="rId14" Type="http://schemas.openxmlformats.org/officeDocument/2006/relationships/header" Target="header4.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footer" Target="footer2.xml"/><Relationship Id="rId10" Type="http://schemas.openxmlformats.org/officeDocument/2006/relationships/footer" Target="footer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68</Pages>
  <Words>11699</Words>
  <Characters>12080</Characters>
  <Lines>904</Lines>
  <Paragraphs>903</Paragraphs>
  <TotalTime>5</TotalTime>
  <ScaleCrop>false</ScaleCrop>
  <LinksUpToDate>false</LinksUpToDate>
  <CharactersWithSpaces>12228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2025-03-25T09:07:00Z</dcterms:created>
  <dc:creator>Administrator</dc:creator>
  <cp:lastModifiedBy>陕西炬荣招标代理有限公司  （主锁1）</cp:lastModifiedBy>
  <dcterms:modified xsi:type="dcterms:W3CDTF">2026-06-30T00:16:21Z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8026B537E3A3440480F29175D71BE1D4_13</vt:lpwstr>
  </property>
  <property fmtid="{D5CDD505-2E9C-101B-9397-08002B2CF9AE}" pid="4" name="KSOTemplateDocerSaveRecord">
    <vt:lpwstr>eyJoZGlkIjoiYWFmNjk2NDUwNTYyZjgzZTI4MzE1ZDhmOGVlZDAwYWEiLCJ1c2VySWQiOiIyOTY2Njk3MjAifQ==</vt:lpwstr>
  </property>
</Properties>
</file>