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750F26">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center"/>
        <w:textAlignment w:val="auto"/>
        <w:outlineLvl w:val="0"/>
        <w:rPr>
          <w:rFonts w:hint="eastAsia" w:ascii="宋体" w:hAnsi="宋体" w:eastAsia="宋体" w:cs="宋体"/>
          <w:b/>
          <w:color w:val="auto"/>
          <w:sz w:val="36"/>
        </w:rPr>
      </w:pPr>
      <w:bookmarkStart w:id="0" w:name="heading_0"/>
      <w:r>
        <w:rPr>
          <w:rFonts w:hint="eastAsia" w:ascii="宋体" w:hAnsi="宋体" w:eastAsia="宋体" w:cs="宋体"/>
          <w:b/>
          <w:color w:val="auto"/>
          <w:sz w:val="36"/>
          <w:lang w:eastAsia="zh-CN"/>
        </w:rPr>
        <w:t>延川县工业园区废水深度治理与再生水资源化利用项目</w:t>
      </w:r>
      <w:r>
        <w:rPr>
          <w:rFonts w:hint="eastAsia" w:ascii="宋体" w:hAnsi="宋体" w:eastAsia="宋体" w:cs="宋体"/>
          <w:b/>
          <w:color w:val="auto"/>
          <w:sz w:val="36"/>
          <w:lang w:val="en-US" w:eastAsia="zh-CN"/>
        </w:rPr>
        <w:t>工程</w:t>
      </w:r>
      <w:r>
        <w:rPr>
          <w:rFonts w:hint="eastAsia" w:ascii="宋体" w:hAnsi="宋体" w:eastAsia="宋体" w:cs="宋体"/>
          <w:b/>
          <w:color w:val="auto"/>
          <w:sz w:val="36"/>
        </w:rPr>
        <w:t>设计</w:t>
      </w:r>
      <w:bookmarkEnd w:id="0"/>
    </w:p>
    <w:p w14:paraId="2FF03850">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1"/>
        <w:rPr>
          <w:rFonts w:hint="eastAsia" w:ascii="宋体" w:hAnsi="宋体" w:eastAsia="宋体" w:cs="宋体"/>
          <w:color w:val="auto"/>
          <w:sz w:val="30"/>
          <w:szCs w:val="30"/>
        </w:rPr>
      </w:pPr>
      <w:bookmarkStart w:id="1" w:name="heading_2"/>
      <w:r>
        <w:rPr>
          <w:rFonts w:hint="eastAsia" w:ascii="宋体" w:hAnsi="宋体" w:eastAsia="宋体" w:cs="宋体"/>
          <w:b/>
          <w:color w:val="auto"/>
          <w:sz w:val="30"/>
          <w:szCs w:val="30"/>
          <w:lang w:val="en-US" w:eastAsia="zh-CN"/>
        </w:rPr>
        <w:t>一、</w:t>
      </w:r>
      <w:r>
        <w:rPr>
          <w:rFonts w:hint="eastAsia" w:ascii="宋体" w:hAnsi="宋体" w:eastAsia="宋体" w:cs="宋体"/>
          <w:b/>
          <w:color w:val="auto"/>
          <w:sz w:val="30"/>
          <w:szCs w:val="30"/>
        </w:rPr>
        <w:t>采购需求（含技术参数）</w:t>
      </w:r>
      <w:bookmarkEnd w:id="1"/>
    </w:p>
    <w:p w14:paraId="69663192">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2"/>
        <w:rPr>
          <w:rFonts w:hint="eastAsia" w:ascii="宋体" w:hAnsi="宋体" w:eastAsia="宋体" w:cs="宋体"/>
          <w:color w:val="auto"/>
          <w:sz w:val="30"/>
          <w:szCs w:val="30"/>
        </w:rPr>
      </w:pPr>
      <w:bookmarkStart w:id="2" w:name="heading_3"/>
      <w:r>
        <w:rPr>
          <w:rFonts w:hint="eastAsia" w:ascii="宋体" w:hAnsi="宋体" w:eastAsia="宋体" w:cs="宋体"/>
          <w:b/>
          <w:color w:val="auto"/>
          <w:sz w:val="30"/>
          <w:szCs w:val="30"/>
        </w:rPr>
        <w:t>（一）设计内容</w:t>
      </w:r>
      <w:bookmarkEnd w:id="2"/>
    </w:p>
    <w:p w14:paraId="6300B67B">
      <w:pPr>
        <w:keepNext w:val="0"/>
        <w:keepLines w:val="0"/>
        <w:pageBreakBefore w:val="0"/>
        <w:widowControl w:val="0"/>
        <w:numPr>
          <w:ilvl w:val="0"/>
          <w:numId w:val="1"/>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总体设计：总平面布置、厂区高程及工艺流程设计。</w:t>
      </w:r>
    </w:p>
    <w:p w14:paraId="05AB7E0C">
      <w:pPr>
        <w:keepNext w:val="0"/>
        <w:keepLines w:val="0"/>
        <w:pageBreakBefore w:val="0"/>
        <w:widowControl w:val="0"/>
        <w:numPr>
          <w:ilvl w:val="0"/>
          <w:numId w:val="2"/>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核心系统设计：预处理、生物处理、深度处理、消毒、污泥处理</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污水收集</w:t>
      </w:r>
      <w:r>
        <w:rPr>
          <w:rFonts w:hint="eastAsia" w:ascii="宋体" w:hAnsi="宋体" w:eastAsia="宋体" w:cs="宋体"/>
          <w:color w:val="auto"/>
          <w:sz w:val="30"/>
          <w:szCs w:val="30"/>
          <w:highlight w:val="none"/>
          <w:lang w:val="en-US" w:eastAsia="zh-CN"/>
        </w:rPr>
        <w:t>及再生水</w:t>
      </w:r>
      <w:r>
        <w:rPr>
          <w:rFonts w:hint="eastAsia" w:ascii="宋体" w:hAnsi="宋体" w:eastAsia="宋体" w:cs="宋体"/>
          <w:color w:val="auto"/>
          <w:sz w:val="30"/>
          <w:szCs w:val="30"/>
          <w:highlight w:val="none"/>
        </w:rPr>
        <w:t>回用系统</w:t>
      </w:r>
      <w:r>
        <w:rPr>
          <w:rFonts w:hint="eastAsia" w:ascii="宋体" w:hAnsi="宋体" w:eastAsia="宋体" w:cs="宋体"/>
          <w:color w:val="auto"/>
          <w:sz w:val="30"/>
          <w:szCs w:val="30"/>
        </w:rPr>
        <w:t>工艺设计。</w:t>
      </w:r>
    </w:p>
    <w:p w14:paraId="46E04B51">
      <w:pPr>
        <w:keepNext w:val="0"/>
        <w:keepLines w:val="0"/>
        <w:pageBreakBefore w:val="0"/>
        <w:widowControl w:val="0"/>
        <w:numPr>
          <w:ilvl w:val="0"/>
          <w:numId w:val="3"/>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建构筑物设计：格栅间、调节池、生化池等主要建（构）筑物结构与建筑设计。</w:t>
      </w:r>
    </w:p>
    <w:p w14:paraId="33A1CB72">
      <w:pPr>
        <w:keepNext w:val="0"/>
        <w:keepLines w:val="0"/>
        <w:pageBreakBefore w:val="0"/>
        <w:widowControl w:val="0"/>
        <w:numPr>
          <w:ilvl w:val="0"/>
          <w:numId w:val="4"/>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管网设计：污水收集</w:t>
      </w:r>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val="en-US" w:eastAsia="zh-CN"/>
        </w:rPr>
        <w:t>再生水</w:t>
      </w:r>
      <w:r>
        <w:rPr>
          <w:rFonts w:hint="eastAsia" w:ascii="宋体" w:hAnsi="宋体" w:eastAsia="宋体" w:cs="宋体"/>
          <w:color w:val="auto"/>
          <w:sz w:val="30"/>
          <w:szCs w:val="30"/>
          <w:highlight w:val="none"/>
        </w:rPr>
        <w:t>输配</w:t>
      </w:r>
      <w:r>
        <w:rPr>
          <w:rFonts w:hint="eastAsia" w:ascii="宋体" w:hAnsi="宋体" w:eastAsia="宋体" w:cs="宋体"/>
          <w:color w:val="auto"/>
          <w:sz w:val="30"/>
          <w:szCs w:val="30"/>
        </w:rPr>
        <w:t>管网（含附属构筑物）设计。</w:t>
      </w:r>
    </w:p>
    <w:p w14:paraId="2FE90A63">
      <w:pPr>
        <w:keepNext w:val="0"/>
        <w:keepLines w:val="0"/>
        <w:pageBreakBefore w:val="0"/>
        <w:widowControl w:val="0"/>
        <w:numPr>
          <w:ilvl w:val="0"/>
          <w:numId w:val="5"/>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配套设计：供配电、自控、暖通及消防系统设计，图纸绘制、工程量清单编制。</w:t>
      </w:r>
    </w:p>
    <w:p w14:paraId="5F1412DD">
      <w:pPr>
        <w:keepNext w:val="0"/>
        <w:keepLines w:val="0"/>
        <w:pageBreakBefore w:val="0"/>
        <w:widowControl w:val="0"/>
        <w:numPr>
          <w:ilvl w:val="0"/>
          <w:numId w:val="6"/>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配合服务：配合项目招标、施工技术支持及竣工验收。</w:t>
      </w:r>
    </w:p>
    <w:p w14:paraId="1426FF20">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2"/>
        <w:rPr>
          <w:rFonts w:hint="eastAsia" w:ascii="宋体" w:hAnsi="宋体" w:eastAsia="宋体" w:cs="宋体"/>
          <w:color w:val="auto"/>
          <w:sz w:val="30"/>
          <w:szCs w:val="30"/>
        </w:rPr>
      </w:pPr>
      <w:bookmarkStart w:id="3" w:name="heading_4"/>
      <w:r>
        <w:rPr>
          <w:rFonts w:hint="eastAsia" w:ascii="宋体" w:hAnsi="宋体" w:eastAsia="宋体" w:cs="宋体"/>
          <w:b/>
          <w:color w:val="auto"/>
          <w:sz w:val="30"/>
          <w:szCs w:val="30"/>
        </w:rPr>
        <w:t>（二）核心技术参数</w:t>
      </w:r>
      <w:bookmarkEnd w:id="3"/>
    </w:p>
    <w:p w14:paraId="59F9302C">
      <w:pPr>
        <w:keepNext w:val="0"/>
        <w:keepLines w:val="0"/>
        <w:pageBreakBefore w:val="0"/>
        <w:widowControl w:val="0"/>
        <w:numPr>
          <w:ilvl w:val="0"/>
          <w:numId w:val="7"/>
        </w:numPr>
        <w:kinsoku/>
        <w:wordWrap/>
        <w:overflowPunct/>
        <w:topLinePunct w:val="0"/>
        <w:autoSpaceDE/>
        <w:autoSpaceDN/>
        <w:bidi w:val="0"/>
        <w:adjustRightInd/>
        <w:snapToGrid/>
        <w:spacing w:line="578" w:lineRule="exact"/>
        <w:ind w:left="0" w:firstLine="0" w:firstLineChars="0"/>
        <w:jc w:val="both"/>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rPr>
        <w:t>处理规模：</w:t>
      </w:r>
      <w:r>
        <w:rPr>
          <w:rFonts w:hint="eastAsia" w:ascii="宋体" w:hAnsi="宋体" w:eastAsia="宋体" w:cs="宋体"/>
          <w:color w:val="auto"/>
          <w:sz w:val="30"/>
          <w:szCs w:val="30"/>
          <w:highlight w:val="none"/>
          <w:lang w:val="en-US" w:eastAsia="zh-CN"/>
        </w:rPr>
        <w:t>3</w:t>
      </w:r>
      <w:r>
        <w:rPr>
          <w:rFonts w:hint="eastAsia" w:ascii="宋体" w:hAnsi="宋体" w:eastAsia="宋体" w:cs="宋体"/>
          <w:color w:val="auto"/>
          <w:sz w:val="30"/>
          <w:szCs w:val="30"/>
          <w:highlight w:val="none"/>
        </w:rPr>
        <w:t>000m³/d。</w:t>
      </w:r>
    </w:p>
    <w:p w14:paraId="0FB3F065">
      <w:pPr>
        <w:keepNext w:val="0"/>
        <w:keepLines w:val="0"/>
        <w:pageBreakBefore w:val="0"/>
        <w:widowControl w:val="0"/>
        <w:numPr>
          <w:ilvl w:val="0"/>
          <w:numId w:val="8"/>
        </w:numPr>
        <w:kinsoku/>
        <w:wordWrap/>
        <w:overflowPunct/>
        <w:topLinePunct w:val="0"/>
        <w:autoSpaceDE/>
        <w:autoSpaceDN/>
        <w:bidi w:val="0"/>
        <w:adjustRightInd/>
        <w:snapToGrid/>
        <w:spacing w:line="578" w:lineRule="exact"/>
        <w:ind w:left="0" w:firstLine="0" w:firstLineChars="0"/>
        <w:jc w:val="both"/>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水质要求：出水达《陕西省黄河流域污水综合排放标准》（DB61/224-2018）表1中A标准。</w:t>
      </w:r>
    </w:p>
    <w:p w14:paraId="7DED4D9B">
      <w:pPr>
        <w:keepNext w:val="0"/>
        <w:keepLines w:val="0"/>
        <w:pageBreakBefore w:val="0"/>
        <w:widowControl w:val="0"/>
        <w:numPr>
          <w:ilvl w:val="0"/>
          <w:numId w:val="9"/>
        </w:numPr>
        <w:kinsoku/>
        <w:wordWrap/>
        <w:overflowPunct/>
        <w:topLinePunct w:val="0"/>
        <w:autoSpaceDE/>
        <w:autoSpaceDN/>
        <w:bidi w:val="0"/>
        <w:adjustRightInd/>
        <w:snapToGrid/>
        <w:spacing w:line="578" w:lineRule="exact"/>
        <w:ind w:left="0" w:firstLine="0" w:firstLineChars="0"/>
        <w:jc w:val="both"/>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工艺要求：采用粗格栅及集水池+细格栅及旋流沉砂池+气浮+调节池+两级AO+混凝沉淀+中间水池+臭氧催化氧化+接触消毒池+巴氏计量渠，出水暂存于回用水池。</w:t>
      </w:r>
    </w:p>
    <w:p w14:paraId="55DF6BD0">
      <w:pPr>
        <w:keepNext w:val="0"/>
        <w:keepLines w:val="0"/>
        <w:pageBreakBefore w:val="0"/>
        <w:widowControl w:val="0"/>
        <w:numPr>
          <w:ilvl w:val="0"/>
          <w:numId w:val="10"/>
        </w:numPr>
        <w:kinsoku/>
        <w:wordWrap/>
        <w:overflowPunct/>
        <w:topLinePunct w:val="0"/>
        <w:autoSpaceDE/>
        <w:autoSpaceDN/>
        <w:bidi w:val="0"/>
        <w:adjustRightInd/>
        <w:snapToGrid/>
        <w:spacing w:line="578" w:lineRule="exact"/>
        <w:ind w:left="0" w:firstLine="0" w:firstLineChars="0"/>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建构筑物要求：主要为钢筋混凝土结构，抗震设防烈度</w:t>
      </w:r>
      <w:r>
        <w:rPr>
          <w:rFonts w:hint="eastAsia" w:ascii="宋体" w:hAnsi="宋体" w:eastAsia="宋体" w:cs="宋体"/>
          <w:color w:val="auto"/>
          <w:sz w:val="30"/>
          <w:szCs w:val="30"/>
          <w:lang w:val="en-US" w:eastAsia="zh-CN"/>
        </w:rPr>
        <w:t>和</w:t>
      </w:r>
      <w:r>
        <w:rPr>
          <w:rFonts w:hint="eastAsia" w:ascii="宋体" w:hAnsi="宋体" w:eastAsia="宋体" w:cs="宋体"/>
          <w:color w:val="auto"/>
          <w:sz w:val="30"/>
          <w:szCs w:val="30"/>
        </w:rPr>
        <w:t>地下构筑物抗渗等级</w:t>
      </w:r>
      <w:r>
        <w:rPr>
          <w:rFonts w:hint="eastAsia" w:ascii="宋体" w:hAnsi="宋体" w:eastAsia="宋体" w:cs="宋体"/>
          <w:color w:val="auto"/>
          <w:sz w:val="30"/>
          <w:szCs w:val="30"/>
          <w:lang w:val="en-US" w:eastAsia="zh-CN"/>
        </w:rPr>
        <w:t>根据《中国地震动参数区划图（GB18306-2015）》《建筑抗震设计规范》等相关文件设计</w:t>
      </w:r>
      <w:r>
        <w:rPr>
          <w:rFonts w:hint="eastAsia" w:ascii="宋体" w:hAnsi="宋体" w:eastAsia="宋体" w:cs="宋体"/>
          <w:color w:val="auto"/>
          <w:sz w:val="30"/>
          <w:szCs w:val="30"/>
        </w:rPr>
        <w:t>。</w:t>
      </w:r>
    </w:p>
    <w:p w14:paraId="2769CDD7">
      <w:pPr>
        <w:keepNext w:val="0"/>
        <w:keepLines w:val="0"/>
        <w:pageBreakBefore w:val="0"/>
        <w:widowControl w:val="0"/>
        <w:numPr>
          <w:ilvl w:val="0"/>
          <w:numId w:val="11"/>
        </w:numPr>
        <w:kinsoku/>
        <w:wordWrap/>
        <w:overflowPunct/>
        <w:topLinePunct w:val="0"/>
        <w:autoSpaceDE/>
        <w:autoSpaceDN/>
        <w:bidi w:val="0"/>
        <w:adjustRightInd/>
        <w:snapToGrid/>
        <w:spacing w:line="578" w:lineRule="exact"/>
        <w:ind w:left="0" w:firstLine="0" w:firstLineChars="0"/>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管网要求：主干管采用HDPE双壁波纹管（环刚度≥8kN/m²），防渗系数≤1×10⁻⁷cm/s。</w:t>
      </w:r>
    </w:p>
    <w:p w14:paraId="29DA5859">
      <w:pPr>
        <w:keepNext w:val="0"/>
        <w:keepLines w:val="0"/>
        <w:pageBreakBefore w:val="0"/>
        <w:widowControl w:val="0"/>
        <w:numPr>
          <w:ilvl w:val="0"/>
          <w:numId w:val="12"/>
        </w:numPr>
        <w:kinsoku/>
        <w:wordWrap/>
        <w:overflowPunct/>
        <w:topLinePunct w:val="0"/>
        <w:autoSpaceDE/>
        <w:autoSpaceDN/>
        <w:bidi w:val="0"/>
        <w:adjustRightInd/>
        <w:snapToGrid/>
        <w:spacing w:line="578" w:lineRule="exact"/>
        <w:ind w:left="0" w:firstLine="0" w:firstLineChars="0"/>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电气自控要求：配置变压器，集成水质在线监测及远程控制，实现自动化运行。</w:t>
      </w:r>
    </w:p>
    <w:p w14:paraId="0F18D1D9">
      <w:pPr>
        <w:keepNext w:val="0"/>
        <w:keepLines w:val="0"/>
        <w:pageBreakBefore w:val="0"/>
        <w:widowControl w:val="0"/>
        <w:numPr>
          <w:ilvl w:val="0"/>
          <w:numId w:val="13"/>
        </w:numPr>
        <w:kinsoku/>
        <w:wordWrap/>
        <w:overflowPunct/>
        <w:topLinePunct w:val="0"/>
        <w:autoSpaceDE/>
        <w:autoSpaceDN/>
        <w:bidi w:val="0"/>
        <w:adjustRightInd/>
        <w:snapToGrid/>
        <w:spacing w:line="578" w:lineRule="exact"/>
        <w:ind w:left="0" w:firstLine="0" w:firstLineChars="0"/>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设计标准：符合《室外排水设计标准》（GB50014-2021）等国家及行业现行规范。</w:t>
      </w:r>
    </w:p>
    <w:p w14:paraId="3F7B471A">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1"/>
        <w:rPr>
          <w:rFonts w:hint="eastAsia" w:ascii="宋体" w:hAnsi="宋体" w:eastAsia="宋体" w:cs="宋体"/>
          <w:b/>
          <w:color w:val="auto"/>
          <w:sz w:val="30"/>
          <w:szCs w:val="30"/>
        </w:rPr>
      </w:pPr>
      <w:bookmarkStart w:id="4" w:name="heading_5"/>
      <w:r>
        <w:rPr>
          <w:rFonts w:hint="eastAsia" w:ascii="宋体" w:hAnsi="宋体" w:eastAsia="宋体" w:cs="宋体"/>
          <w:b/>
          <w:color w:val="auto"/>
          <w:sz w:val="30"/>
          <w:szCs w:val="30"/>
          <w:lang w:val="en-US" w:eastAsia="zh-CN"/>
        </w:rPr>
        <w:t>二</w:t>
      </w:r>
      <w:r>
        <w:rPr>
          <w:rFonts w:hint="eastAsia" w:ascii="宋体" w:hAnsi="宋体" w:eastAsia="宋体" w:cs="宋体"/>
          <w:b/>
          <w:color w:val="auto"/>
          <w:sz w:val="30"/>
          <w:szCs w:val="30"/>
        </w:rPr>
        <w:t>、商务需求</w:t>
      </w:r>
      <w:bookmarkEnd w:id="4"/>
      <w:bookmarkStart w:id="5" w:name="heading_6"/>
    </w:p>
    <w:p w14:paraId="1D71BD14">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2"/>
        <w:rPr>
          <w:rFonts w:hint="eastAsia" w:ascii="宋体" w:hAnsi="宋体" w:eastAsia="宋体" w:cs="宋体"/>
          <w:color w:val="auto"/>
          <w:sz w:val="30"/>
          <w:szCs w:val="30"/>
        </w:rPr>
      </w:pPr>
      <w:r>
        <w:rPr>
          <w:rFonts w:hint="eastAsia" w:ascii="宋体" w:hAnsi="宋体" w:eastAsia="宋体" w:cs="宋体"/>
          <w:b/>
          <w:color w:val="auto"/>
          <w:sz w:val="30"/>
          <w:szCs w:val="30"/>
        </w:rPr>
        <w:t>（一）资质要求</w:t>
      </w:r>
      <w:bookmarkEnd w:id="5"/>
    </w:p>
    <w:p w14:paraId="5E67A0E7">
      <w:pPr>
        <w:keepNext w:val="0"/>
        <w:keepLines w:val="0"/>
        <w:pageBreakBefore w:val="0"/>
        <w:widowControl w:val="0"/>
        <w:numPr>
          <w:ilvl w:val="0"/>
          <w:numId w:val="14"/>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具备独立法人资格及有效营业执照。</w:t>
      </w:r>
    </w:p>
    <w:p w14:paraId="10997DAB">
      <w:pPr>
        <w:keepNext w:val="0"/>
        <w:keepLines w:val="0"/>
        <w:pageBreakBefore w:val="0"/>
        <w:widowControl w:val="0"/>
        <w:numPr>
          <w:ilvl w:val="0"/>
          <w:numId w:val="15"/>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具备</w:t>
      </w:r>
      <w:r>
        <w:rPr>
          <w:rFonts w:hint="eastAsia" w:ascii="宋体" w:hAnsi="宋体" w:eastAsia="宋体" w:cs="宋体"/>
          <w:color w:val="auto"/>
          <w:sz w:val="30"/>
          <w:szCs w:val="30"/>
        </w:rPr>
        <w:t>工程设计建筑行业建筑工程乙级</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市政行业排水工程乙级或环境工程水污染防治工程乙级资质</w:t>
      </w:r>
      <w:r>
        <w:rPr>
          <w:rFonts w:hint="eastAsia" w:ascii="宋体" w:hAnsi="宋体" w:eastAsia="宋体" w:cs="宋体"/>
          <w:color w:val="auto"/>
          <w:sz w:val="30"/>
          <w:szCs w:val="30"/>
        </w:rPr>
        <w:t>。</w:t>
      </w:r>
    </w:p>
    <w:p w14:paraId="23D06ED1">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3. </w:t>
      </w:r>
      <w:r>
        <w:rPr>
          <w:rFonts w:hint="eastAsia" w:ascii="宋体" w:hAnsi="宋体" w:eastAsia="宋体" w:cs="宋体"/>
          <w:color w:val="auto"/>
          <w:sz w:val="30"/>
          <w:szCs w:val="30"/>
        </w:rPr>
        <w:t>项目负责人专项要求：</w:t>
      </w:r>
    </w:p>
    <w:p w14:paraId="5DE8B9B1">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highlight w:val="none"/>
        </w:rPr>
        <w:t>本项目为日处理</w:t>
      </w:r>
      <w:r>
        <w:rPr>
          <w:rFonts w:hint="eastAsia" w:ascii="宋体" w:hAnsi="宋体" w:eastAsia="宋体" w:cs="宋体"/>
          <w:color w:val="auto"/>
          <w:sz w:val="30"/>
          <w:szCs w:val="30"/>
          <w:highlight w:val="none"/>
          <w:lang w:val="en-US" w:eastAsia="zh-CN"/>
        </w:rPr>
        <w:t>3</w:t>
      </w:r>
      <w:r>
        <w:rPr>
          <w:rFonts w:hint="eastAsia" w:ascii="宋体" w:hAnsi="宋体" w:eastAsia="宋体" w:cs="宋体"/>
          <w:color w:val="auto"/>
          <w:sz w:val="30"/>
          <w:szCs w:val="30"/>
          <w:highlight w:val="none"/>
        </w:rPr>
        <w:t>000m³的污水处理及</w:t>
      </w:r>
      <w:r>
        <w:rPr>
          <w:rFonts w:hint="eastAsia" w:ascii="宋体" w:hAnsi="宋体" w:eastAsia="宋体" w:cs="宋体"/>
          <w:color w:val="auto"/>
          <w:sz w:val="30"/>
          <w:szCs w:val="30"/>
          <w:highlight w:val="none"/>
          <w:lang w:val="en-US" w:eastAsia="zh-CN"/>
        </w:rPr>
        <w:t>再生水</w:t>
      </w:r>
      <w:r>
        <w:rPr>
          <w:rFonts w:hint="eastAsia" w:ascii="宋体" w:hAnsi="宋体" w:eastAsia="宋体" w:cs="宋体"/>
          <w:color w:val="auto"/>
          <w:sz w:val="30"/>
          <w:szCs w:val="30"/>
          <w:highlight w:val="none"/>
        </w:rPr>
        <w:t>回用项目，涉及“两级AO”工艺、</w:t>
      </w:r>
      <w:r>
        <w:rPr>
          <w:rFonts w:hint="eastAsia" w:ascii="宋体" w:hAnsi="宋体" w:eastAsia="宋体" w:cs="宋体"/>
          <w:color w:val="auto"/>
          <w:sz w:val="30"/>
          <w:szCs w:val="30"/>
        </w:rPr>
        <w:t>湿陷性黄土地区建构筑物设计、复杂管网布局等专业技术，需负责人具备对应资质和经验支撑，要求合理可行。</w:t>
      </w:r>
    </w:p>
    <w:p w14:paraId="4186EF6A">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具体要求：设计负责人持有国家注册公用设备工程师给水排水执业资格并注册于本单位</w:t>
      </w:r>
      <w:r>
        <w:rPr>
          <w:rFonts w:hint="eastAsia" w:ascii="宋体" w:hAnsi="宋体" w:eastAsia="宋体" w:cs="宋体"/>
          <w:color w:val="auto"/>
          <w:sz w:val="30"/>
          <w:szCs w:val="30"/>
          <w:lang w:val="en-US" w:eastAsia="zh-CN"/>
        </w:rPr>
        <w:t>；</w:t>
      </w:r>
      <w:r>
        <w:rPr>
          <w:rFonts w:hint="eastAsia" w:ascii="宋体" w:hAnsi="宋体" w:eastAsia="宋体" w:cs="宋体"/>
          <w:color w:val="auto"/>
          <w:sz w:val="30"/>
          <w:szCs w:val="30"/>
        </w:rPr>
        <w:t>未经采购方书面同意不得擅自更换。</w:t>
      </w:r>
    </w:p>
    <w:p w14:paraId="4FB070C3">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2"/>
        <w:rPr>
          <w:rFonts w:hint="eastAsia" w:ascii="宋体" w:hAnsi="宋体" w:eastAsia="宋体" w:cs="宋体"/>
          <w:color w:val="auto"/>
          <w:sz w:val="30"/>
          <w:szCs w:val="30"/>
        </w:rPr>
      </w:pPr>
      <w:bookmarkStart w:id="6" w:name="heading_7"/>
      <w:r>
        <w:rPr>
          <w:rFonts w:hint="eastAsia" w:ascii="宋体" w:hAnsi="宋体" w:eastAsia="宋体" w:cs="宋体"/>
          <w:b/>
          <w:color w:val="auto"/>
          <w:sz w:val="30"/>
          <w:szCs w:val="30"/>
        </w:rPr>
        <w:t>（二）</w:t>
      </w:r>
      <w:bookmarkEnd w:id="6"/>
      <w:bookmarkStart w:id="7" w:name="heading_8"/>
      <w:r>
        <w:rPr>
          <w:rFonts w:hint="eastAsia" w:ascii="宋体" w:hAnsi="宋体" w:eastAsia="宋体" w:cs="宋体"/>
          <w:b/>
          <w:color w:val="auto"/>
          <w:sz w:val="30"/>
          <w:szCs w:val="30"/>
        </w:rPr>
        <w:t>服务周期</w:t>
      </w:r>
      <w:bookmarkEnd w:id="7"/>
    </w:p>
    <w:p w14:paraId="30A3F4C1">
      <w:pPr>
        <w:keepNext w:val="0"/>
        <w:keepLines w:val="0"/>
        <w:pageBreakBefore w:val="0"/>
        <w:widowControl w:val="0"/>
        <w:numPr>
          <w:ilvl w:val="0"/>
          <w:numId w:val="16"/>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合同履行期：自签订之日起45日历天内完成全套设计文件并通过审查。</w:t>
      </w:r>
    </w:p>
    <w:p w14:paraId="0DADEF48">
      <w:pPr>
        <w:keepNext w:val="0"/>
        <w:keepLines w:val="0"/>
        <w:pageBreakBefore w:val="0"/>
        <w:widowControl w:val="0"/>
        <w:numPr>
          <w:ilvl w:val="0"/>
          <w:numId w:val="17"/>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施工配合：项目开工至竣工验收，关键阶段累计驻场≥20天，24小时响应、48小时到场。</w:t>
      </w:r>
    </w:p>
    <w:p w14:paraId="5FBD46D5">
      <w:pPr>
        <w:keepNext w:val="0"/>
        <w:keepLines w:val="0"/>
        <w:pageBreakBefore w:val="0"/>
        <w:widowControl w:val="0"/>
        <w:numPr>
          <w:ilvl w:val="0"/>
          <w:numId w:val="18"/>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后续服务：配合竣工结算、环保验收等，质保期1年。</w:t>
      </w:r>
    </w:p>
    <w:p w14:paraId="1429F600">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2"/>
        <w:rPr>
          <w:rFonts w:hint="eastAsia" w:ascii="宋体" w:hAnsi="宋体" w:eastAsia="宋体" w:cs="宋体"/>
          <w:color w:val="auto"/>
          <w:sz w:val="30"/>
          <w:szCs w:val="30"/>
        </w:rPr>
      </w:pPr>
      <w:bookmarkStart w:id="8" w:name="heading_9"/>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三</w:t>
      </w:r>
      <w:r>
        <w:rPr>
          <w:rFonts w:hint="eastAsia" w:ascii="宋体" w:hAnsi="宋体" w:eastAsia="宋体" w:cs="宋体"/>
          <w:b/>
          <w:color w:val="auto"/>
          <w:sz w:val="30"/>
          <w:szCs w:val="30"/>
        </w:rPr>
        <w:t>）服务质量要求</w:t>
      </w:r>
      <w:bookmarkEnd w:id="8"/>
    </w:p>
    <w:p w14:paraId="327824F1">
      <w:pPr>
        <w:keepNext w:val="0"/>
        <w:keepLines w:val="0"/>
        <w:pageBreakBefore w:val="0"/>
        <w:widowControl w:val="0"/>
        <w:numPr>
          <w:ilvl w:val="0"/>
          <w:numId w:val="19"/>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设计文件符合规范及可研要求，通过相关部门审批及审查</w:t>
      </w:r>
      <w:r>
        <w:rPr>
          <w:rFonts w:hint="eastAsia" w:ascii="宋体" w:hAnsi="宋体" w:eastAsia="宋体" w:cs="宋体"/>
          <w:color w:val="auto"/>
          <w:sz w:val="30"/>
          <w:szCs w:val="30"/>
          <w:lang w:eastAsia="zh-CN"/>
        </w:rPr>
        <w:t>。</w:t>
      </w:r>
    </w:p>
    <w:p w14:paraId="4FA2A29A">
      <w:pPr>
        <w:keepNext w:val="0"/>
        <w:keepLines w:val="0"/>
        <w:pageBreakBefore w:val="0"/>
        <w:widowControl w:val="0"/>
        <w:numPr>
          <w:ilvl w:val="0"/>
          <w:numId w:val="19"/>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配合解决施工技术问题，技术变更符合规范。</w:t>
      </w:r>
    </w:p>
    <w:p w14:paraId="1AEC9923">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2"/>
        <w:rPr>
          <w:rFonts w:hint="eastAsia" w:ascii="宋体" w:hAnsi="宋体" w:eastAsia="宋体" w:cs="宋体"/>
          <w:color w:val="auto"/>
          <w:sz w:val="30"/>
          <w:szCs w:val="30"/>
        </w:rPr>
      </w:pPr>
      <w:bookmarkStart w:id="9" w:name="heading_10"/>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四</w:t>
      </w:r>
      <w:r>
        <w:rPr>
          <w:rFonts w:hint="eastAsia" w:ascii="宋体" w:hAnsi="宋体" w:eastAsia="宋体" w:cs="宋体"/>
          <w:b/>
          <w:color w:val="auto"/>
          <w:sz w:val="30"/>
          <w:szCs w:val="30"/>
        </w:rPr>
        <w:t>）付款方式</w:t>
      </w:r>
      <w:bookmarkEnd w:id="9"/>
    </w:p>
    <w:p w14:paraId="1510AD3E">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付款方式、支付节点及比例详见正式合同约定。</w:t>
      </w:r>
    </w:p>
    <w:p w14:paraId="30F6AF2F">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2"/>
        <w:rPr>
          <w:rFonts w:hint="eastAsia" w:ascii="宋体" w:hAnsi="宋体" w:eastAsia="宋体" w:cs="宋体"/>
          <w:color w:val="auto"/>
          <w:sz w:val="30"/>
          <w:szCs w:val="30"/>
        </w:rPr>
      </w:pPr>
      <w:bookmarkStart w:id="10" w:name="heading_11"/>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五</w:t>
      </w:r>
      <w:r>
        <w:rPr>
          <w:rFonts w:hint="eastAsia" w:ascii="宋体" w:hAnsi="宋体" w:eastAsia="宋体" w:cs="宋体"/>
          <w:b/>
          <w:color w:val="auto"/>
          <w:sz w:val="30"/>
          <w:szCs w:val="30"/>
        </w:rPr>
        <w:t>）验收标准</w:t>
      </w:r>
      <w:bookmarkEnd w:id="10"/>
    </w:p>
    <w:p w14:paraId="0F7A7F35">
      <w:pPr>
        <w:keepNext w:val="0"/>
        <w:keepLines w:val="0"/>
        <w:pageBreakBefore w:val="0"/>
        <w:widowControl w:val="0"/>
        <w:numPr>
          <w:ilvl w:val="0"/>
          <w:numId w:val="20"/>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设计文件通过审批及审查，取得合格书。</w:t>
      </w:r>
    </w:p>
    <w:p w14:paraId="62013D43">
      <w:pPr>
        <w:keepNext w:val="0"/>
        <w:keepLines w:val="0"/>
        <w:pageBreakBefore w:val="0"/>
        <w:widowControl w:val="0"/>
        <w:numPr>
          <w:ilvl w:val="0"/>
          <w:numId w:val="21"/>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项目竣工验收合格，设计成果符合技术指标及绩效评价要求。</w:t>
      </w:r>
    </w:p>
    <w:p w14:paraId="7CA80D13">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outlineLvl w:val="2"/>
        <w:rPr>
          <w:rFonts w:hint="eastAsia" w:ascii="宋体" w:hAnsi="宋体" w:eastAsia="宋体" w:cs="宋体"/>
          <w:color w:val="auto"/>
          <w:sz w:val="30"/>
          <w:szCs w:val="30"/>
        </w:rPr>
      </w:pPr>
      <w:bookmarkStart w:id="11" w:name="heading_12"/>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六</w:t>
      </w:r>
      <w:bookmarkStart w:id="12" w:name="_GoBack"/>
      <w:bookmarkEnd w:id="12"/>
      <w:r>
        <w:rPr>
          <w:rFonts w:hint="eastAsia" w:ascii="宋体" w:hAnsi="宋体" w:eastAsia="宋体" w:cs="宋体"/>
          <w:b/>
          <w:color w:val="auto"/>
          <w:sz w:val="30"/>
          <w:szCs w:val="30"/>
        </w:rPr>
        <w:t>）其他要求</w:t>
      </w:r>
      <w:bookmarkEnd w:id="11"/>
    </w:p>
    <w:p w14:paraId="39E73C8E">
      <w:pPr>
        <w:keepNext w:val="0"/>
        <w:keepLines w:val="0"/>
        <w:pageBreakBefore w:val="0"/>
        <w:widowControl w:val="0"/>
        <w:numPr>
          <w:ilvl w:val="0"/>
          <w:numId w:val="22"/>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保密：对项目技术资料保密，保密期限3年。</w:t>
      </w:r>
    </w:p>
    <w:p w14:paraId="2685D53D">
      <w:pPr>
        <w:keepNext w:val="0"/>
        <w:keepLines w:val="0"/>
        <w:pageBreakBefore w:val="0"/>
        <w:widowControl w:val="0"/>
        <w:numPr>
          <w:ilvl w:val="0"/>
          <w:numId w:val="23"/>
        </w:numPr>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配合：积极配合采购方开展各项工作，提供必要技术支持。</w:t>
      </w:r>
    </w:p>
    <w:p w14:paraId="2AB9316E">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p>
    <w:p w14:paraId="44527362">
      <w:pPr>
        <w:keepNext w:val="0"/>
        <w:keepLines w:val="0"/>
        <w:pageBreakBefore w:val="0"/>
        <w:widowControl w:val="0"/>
        <w:kinsoku/>
        <w:wordWrap/>
        <w:overflowPunct/>
        <w:topLinePunct w:val="0"/>
        <w:autoSpaceDE/>
        <w:autoSpaceDN/>
        <w:bidi w:val="0"/>
        <w:adjustRightInd/>
        <w:snapToGrid/>
        <w:spacing w:line="578" w:lineRule="exact"/>
        <w:ind w:left="0" w:firstLine="0" w:firstLineChars="0"/>
        <w:jc w:val="left"/>
        <w:textAlignment w:val="auto"/>
        <w:rPr>
          <w:rFonts w:hint="eastAsia" w:ascii="宋体" w:hAnsi="宋体" w:eastAsia="宋体" w:cs="宋体"/>
          <w:color w:val="auto"/>
          <w:sz w:val="30"/>
          <w:szCs w:val="30"/>
        </w:rPr>
      </w:pPr>
    </w:p>
    <w:p w14:paraId="650A839B">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3000" w:leftChars="0" w:firstLine="0" w:firstLineChars="0"/>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延川县工业园区管理委员会</w:t>
      </w:r>
    </w:p>
    <w:p w14:paraId="520CB39E">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3000" w:leftChars="0" w:firstLine="0" w:firstLineChars="0"/>
        <w:jc w:val="center"/>
        <w:textAlignment w:val="auto"/>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2026年9月9日</w:t>
      </w:r>
    </w:p>
    <w:p w14:paraId="2474F6AC"/>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BCB6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DEF3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singleLevel"/>
    <w:tmpl w:val="813A4B87"/>
    <w:lvl w:ilvl="0" w:tentative="0">
      <w:start w:val="1"/>
      <w:numFmt w:val="decimal"/>
      <w:lvlText w:val="%1."/>
      <w:lvlJc w:val="left"/>
      <w:rPr>
        <w:rFonts w:hint="default"/>
        <w:color w:val="auto"/>
      </w:rPr>
    </w:lvl>
  </w:abstractNum>
  <w:abstractNum w:abstractNumId="1">
    <w:nsid w:val="91995D4F"/>
    <w:multiLevelType w:val="singleLevel"/>
    <w:tmpl w:val="91995D4F"/>
    <w:lvl w:ilvl="0" w:tentative="0">
      <w:start w:val="1"/>
      <w:numFmt w:val="decimal"/>
      <w:lvlText w:val="%1."/>
      <w:lvlJc w:val="left"/>
      <w:rPr>
        <w:rFonts w:hint="default"/>
        <w:color w:val="auto"/>
      </w:rPr>
    </w:lvl>
  </w:abstractNum>
  <w:abstractNum w:abstractNumId="2">
    <w:nsid w:val="9C8AC8EF"/>
    <w:multiLevelType w:val="singleLevel"/>
    <w:tmpl w:val="9C8AC8EF"/>
    <w:lvl w:ilvl="0" w:tentative="0">
      <w:start w:val="1"/>
      <w:numFmt w:val="decimal"/>
      <w:lvlText w:val="%1."/>
      <w:lvlJc w:val="left"/>
      <w:rPr>
        <w:rFonts w:hint="default"/>
        <w:color w:val="auto"/>
      </w:rPr>
    </w:lvl>
  </w:abstractNum>
  <w:abstractNum w:abstractNumId="3">
    <w:nsid w:val="B0F1ACD9"/>
    <w:multiLevelType w:val="singleLevel"/>
    <w:tmpl w:val="B0F1ACD9"/>
    <w:lvl w:ilvl="0" w:tentative="0">
      <w:start w:val="6"/>
      <w:numFmt w:val="decimal"/>
      <w:lvlText w:val="%1."/>
      <w:lvlJc w:val="left"/>
      <w:rPr>
        <w:rFonts w:hint="default"/>
        <w:color w:val="auto"/>
      </w:rPr>
    </w:lvl>
  </w:abstractNum>
  <w:abstractNum w:abstractNumId="4">
    <w:nsid w:val="B8CEF35B"/>
    <w:multiLevelType w:val="singleLevel"/>
    <w:tmpl w:val="B8CEF35B"/>
    <w:lvl w:ilvl="0" w:tentative="0">
      <w:start w:val="2"/>
      <w:numFmt w:val="decimal"/>
      <w:lvlText w:val="%1."/>
      <w:lvlJc w:val="left"/>
      <w:rPr>
        <w:rFonts w:hint="default"/>
        <w:color w:val="auto"/>
      </w:rPr>
    </w:lvl>
  </w:abstractNum>
  <w:abstractNum w:abstractNumId="5">
    <w:nsid w:val="BB64CFA9"/>
    <w:multiLevelType w:val="singleLevel"/>
    <w:tmpl w:val="BB64CFA9"/>
    <w:lvl w:ilvl="0" w:tentative="0">
      <w:start w:val="2"/>
      <w:numFmt w:val="decimal"/>
      <w:lvlText w:val="%1."/>
      <w:lvlJc w:val="left"/>
      <w:rPr>
        <w:rFonts w:hint="default"/>
        <w:color w:val="auto"/>
      </w:rPr>
    </w:lvl>
  </w:abstractNum>
  <w:abstractNum w:abstractNumId="6">
    <w:nsid w:val="BE923771"/>
    <w:multiLevelType w:val="singleLevel"/>
    <w:tmpl w:val="BE923771"/>
    <w:lvl w:ilvl="0" w:tentative="0">
      <w:start w:val="2"/>
      <w:numFmt w:val="decimal"/>
      <w:lvlText w:val="%1."/>
      <w:lvlJc w:val="left"/>
      <w:rPr>
        <w:rFonts w:hint="default"/>
        <w:color w:val="auto"/>
      </w:rPr>
    </w:lvl>
  </w:abstractNum>
  <w:abstractNum w:abstractNumId="7">
    <w:nsid w:val="C8879AEF"/>
    <w:multiLevelType w:val="singleLevel"/>
    <w:tmpl w:val="C8879AEF"/>
    <w:lvl w:ilvl="0" w:tentative="0">
      <w:start w:val="1"/>
      <w:numFmt w:val="decimal"/>
      <w:lvlText w:val="%1."/>
      <w:lvlJc w:val="left"/>
      <w:rPr>
        <w:rFonts w:hint="default"/>
        <w:color w:val="auto"/>
      </w:rPr>
    </w:lvl>
  </w:abstractNum>
  <w:abstractNum w:abstractNumId="8">
    <w:nsid w:val="D7F9FE59"/>
    <w:multiLevelType w:val="singleLevel"/>
    <w:tmpl w:val="D7F9FE59"/>
    <w:lvl w:ilvl="0" w:tentative="0">
      <w:start w:val="6"/>
      <w:numFmt w:val="decimal"/>
      <w:lvlText w:val="%1."/>
      <w:lvlJc w:val="left"/>
      <w:rPr>
        <w:rFonts w:hint="default"/>
        <w:color w:val="auto"/>
      </w:rPr>
    </w:lvl>
  </w:abstractNum>
  <w:abstractNum w:abstractNumId="9">
    <w:nsid w:val="DCBA6B53"/>
    <w:multiLevelType w:val="singleLevel"/>
    <w:tmpl w:val="DCBA6B53"/>
    <w:lvl w:ilvl="0" w:tentative="0">
      <w:start w:val="5"/>
      <w:numFmt w:val="decimal"/>
      <w:lvlText w:val="%1."/>
      <w:lvlJc w:val="left"/>
      <w:rPr>
        <w:rFonts w:hint="default"/>
        <w:color w:val="auto"/>
      </w:rPr>
    </w:lvl>
  </w:abstractNum>
  <w:abstractNum w:abstractNumId="10">
    <w:nsid w:val="F4B5D9F5"/>
    <w:multiLevelType w:val="singleLevel"/>
    <w:tmpl w:val="F4B5D9F5"/>
    <w:lvl w:ilvl="0" w:tentative="0">
      <w:start w:val="3"/>
      <w:numFmt w:val="decimal"/>
      <w:lvlText w:val="%1."/>
      <w:lvlJc w:val="left"/>
      <w:rPr>
        <w:rFonts w:hint="default"/>
        <w:color w:val="auto"/>
      </w:rPr>
    </w:lvl>
  </w:abstractNum>
  <w:abstractNum w:abstractNumId="11">
    <w:nsid w:val="F7735DC9"/>
    <w:multiLevelType w:val="singleLevel"/>
    <w:tmpl w:val="F7735DC9"/>
    <w:lvl w:ilvl="0" w:tentative="0">
      <w:start w:val="1"/>
      <w:numFmt w:val="decimal"/>
      <w:lvlText w:val="%1."/>
      <w:lvlJc w:val="left"/>
      <w:rPr>
        <w:rFonts w:hint="default"/>
        <w:color w:val="auto"/>
      </w:rPr>
    </w:lvl>
  </w:abstractNum>
  <w:abstractNum w:abstractNumId="12">
    <w:nsid w:val="0E640482"/>
    <w:multiLevelType w:val="singleLevel"/>
    <w:tmpl w:val="0E640482"/>
    <w:lvl w:ilvl="0" w:tentative="0">
      <w:start w:val="4"/>
      <w:numFmt w:val="decimal"/>
      <w:lvlText w:val="%1."/>
      <w:lvlJc w:val="left"/>
      <w:rPr>
        <w:rFonts w:hint="default"/>
        <w:color w:val="auto"/>
      </w:rPr>
    </w:lvl>
  </w:abstractNum>
  <w:abstractNum w:abstractNumId="13">
    <w:nsid w:val="243FCF68"/>
    <w:multiLevelType w:val="singleLevel"/>
    <w:tmpl w:val="243FCF68"/>
    <w:lvl w:ilvl="0" w:tentative="0">
      <w:start w:val="2"/>
      <w:numFmt w:val="decimal"/>
      <w:lvlText w:val="%1."/>
      <w:lvlJc w:val="left"/>
      <w:rPr>
        <w:rFonts w:hint="default"/>
        <w:color w:val="auto"/>
      </w:rPr>
    </w:lvl>
  </w:abstractNum>
  <w:abstractNum w:abstractNumId="14">
    <w:nsid w:val="2470EC97"/>
    <w:multiLevelType w:val="singleLevel"/>
    <w:tmpl w:val="2470EC97"/>
    <w:lvl w:ilvl="0" w:tentative="0">
      <w:start w:val="4"/>
      <w:numFmt w:val="decimal"/>
      <w:lvlText w:val="%1."/>
      <w:lvlJc w:val="left"/>
      <w:rPr>
        <w:rFonts w:hint="default"/>
        <w:color w:val="auto"/>
      </w:rPr>
    </w:lvl>
  </w:abstractNum>
  <w:abstractNum w:abstractNumId="15">
    <w:nsid w:val="46A08BB8"/>
    <w:multiLevelType w:val="singleLevel"/>
    <w:tmpl w:val="46A08BB8"/>
    <w:lvl w:ilvl="0" w:tentative="0">
      <w:start w:val="5"/>
      <w:numFmt w:val="decimal"/>
      <w:lvlText w:val="%1."/>
      <w:lvlJc w:val="left"/>
      <w:rPr>
        <w:rFonts w:hint="default"/>
        <w:color w:val="auto"/>
      </w:rPr>
    </w:lvl>
  </w:abstractNum>
  <w:abstractNum w:abstractNumId="16">
    <w:nsid w:val="4C1BAE26"/>
    <w:multiLevelType w:val="singleLevel"/>
    <w:tmpl w:val="4C1BAE26"/>
    <w:lvl w:ilvl="0" w:tentative="0">
      <w:start w:val="2"/>
      <w:numFmt w:val="decimal"/>
      <w:lvlText w:val="%1."/>
      <w:lvlJc w:val="left"/>
      <w:rPr>
        <w:rFonts w:hint="default"/>
        <w:color w:val="auto"/>
      </w:rPr>
    </w:lvl>
  </w:abstractNum>
  <w:abstractNum w:abstractNumId="17">
    <w:nsid w:val="4D4DC07F"/>
    <w:multiLevelType w:val="singleLevel"/>
    <w:tmpl w:val="4D4DC07F"/>
    <w:lvl w:ilvl="0" w:tentative="0">
      <w:start w:val="2"/>
      <w:numFmt w:val="decimal"/>
      <w:lvlText w:val="%1."/>
      <w:lvlJc w:val="left"/>
      <w:rPr>
        <w:rFonts w:hint="default"/>
        <w:color w:val="auto"/>
      </w:rPr>
    </w:lvl>
  </w:abstractNum>
  <w:abstractNum w:abstractNumId="18">
    <w:nsid w:val="4D94DA66"/>
    <w:multiLevelType w:val="singleLevel"/>
    <w:tmpl w:val="4D94DA66"/>
    <w:lvl w:ilvl="0" w:tentative="0">
      <w:start w:val="3"/>
      <w:numFmt w:val="decimal"/>
      <w:lvlText w:val="%1."/>
      <w:lvlJc w:val="left"/>
      <w:rPr>
        <w:rFonts w:hint="default"/>
        <w:color w:val="auto"/>
      </w:rPr>
    </w:lvl>
  </w:abstractNum>
  <w:abstractNum w:abstractNumId="19">
    <w:nsid w:val="60382F6E"/>
    <w:multiLevelType w:val="singleLevel"/>
    <w:tmpl w:val="60382F6E"/>
    <w:lvl w:ilvl="0" w:tentative="0">
      <w:start w:val="3"/>
      <w:numFmt w:val="decimal"/>
      <w:lvlText w:val="%1."/>
      <w:lvlJc w:val="left"/>
      <w:rPr>
        <w:rFonts w:hint="default"/>
        <w:color w:val="auto"/>
      </w:rPr>
    </w:lvl>
  </w:abstractNum>
  <w:abstractNum w:abstractNumId="20">
    <w:nsid w:val="77ECEA79"/>
    <w:multiLevelType w:val="singleLevel"/>
    <w:tmpl w:val="77ECEA79"/>
    <w:lvl w:ilvl="0" w:tentative="0">
      <w:start w:val="1"/>
      <w:numFmt w:val="decimal"/>
      <w:lvlText w:val="%1."/>
      <w:lvlJc w:val="left"/>
      <w:rPr>
        <w:rFonts w:hint="default"/>
        <w:color w:val="auto"/>
      </w:rPr>
    </w:lvl>
  </w:abstractNum>
  <w:abstractNum w:abstractNumId="21">
    <w:nsid w:val="79AA4FA4"/>
    <w:multiLevelType w:val="singleLevel"/>
    <w:tmpl w:val="79AA4FA4"/>
    <w:lvl w:ilvl="0" w:tentative="0">
      <w:start w:val="1"/>
      <w:numFmt w:val="decimal"/>
      <w:lvlText w:val="%1."/>
      <w:lvlJc w:val="left"/>
      <w:rPr>
        <w:rFonts w:hint="default"/>
        <w:color w:val="auto"/>
      </w:rPr>
    </w:lvl>
  </w:abstractNum>
  <w:abstractNum w:abstractNumId="22">
    <w:nsid w:val="7C246926"/>
    <w:multiLevelType w:val="singleLevel"/>
    <w:tmpl w:val="7C246926"/>
    <w:lvl w:ilvl="0" w:tentative="0">
      <w:start w:val="7"/>
      <w:numFmt w:val="decimal"/>
      <w:lvlText w:val="%1."/>
      <w:lvlJc w:val="left"/>
      <w:rPr>
        <w:rFonts w:hint="default"/>
        <w:color w:val="auto"/>
      </w:rPr>
    </w:lvl>
  </w:abstractNum>
  <w:num w:numId="1">
    <w:abstractNumId w:val="7"/>
  </w:num>
  <w:num w:numId="2">
    <w:abstractNumId w:val="17"/>
  </w:num>
  <w:num w:numId="3">
    <w:abstractNumId w:val="10"/>
  </w:num>
  <w:num w:numId="4">
    <w:abstractNumId w:val="14"/>
  </w:num>
  <w:num w:numId="5">
    <w:abstractNumId w:val="9"/>
  </w:num>
  <w:num w:numId="6">
    <w:abstractNumId w:val="8"/>
  </w:num>
  <w:num w:numId="7">
    <w:abstractNumId w:val="2"/>
  </w:num>
  <w:num w:numId="8">
    <w:abstractNumId w:val="16"/>
  </w:num>
  <w:num w:numId="9">
    <w:abstractNumId w:val="19"/>
  </w:num>
  <w:num w:numId="10">
    <w:abstractNumId w:val="12"/>
  </w:num>
  <w:num w:numId="11">
    <w:abstractNumId w:val="15"/>
  </w:num>
  <w:num w:numId="12">
    <w:abstractNumId w:val="3"/>
  </w:num>
  <w:num w:numId="13">
    <w:abstractNumId w:val="22"/>
  </w:num>
  <w:num w:numId="14">
    <w:abstractNumId w:val="20"/>
  </w:num>
  <w:num w:numId="15">
    <w:abstractNumId w:val="6"/>
  </w:num>
  <w:num w:numId="16">
    <w:abstractNumId w:val="0"/>
  </w:num>
  <w:num w:numId="17">
    <w:abstractNumId w:val="13"/>
  </w:num>
  <w:num w:numId="18">
    <w:abstractNumId w:val="18"/>
  </w:num>
  <w:num w:numId="19">
    <w:abstractNumId w:val="11"/>
  </w:num>
  <w:num w:numId="20">
    <w:abstractNumId w:val="21"/>
  </w:num>
  <w:num w:numId="21">
    <w:abstractNumId w:val="5"/>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4234C9"/>
    <w:rsid w:val="1C4779D1"/>
    <w:rsid w:val="43E10181"/>
    <w:rsid w:val="469E459A"/>
    <w:rsid w:val="5B8C75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1283</Words>
  <Characters>1389</Characters>
  <Lines>0</Lines>
  <Paragraphs>0</Paragraphs>
  <TotalTime>2</TotalTime>
  <ScaleCrop>false</ScaleCrop>
  <LinksUpToDate>false</LinksUpToDate>
  <CharactersWithSpaces>1390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2025-03-11T02:02:00Z</dcterms:created>
  <dc:creator>asus</dc:creator>
  <cp:lastModifiedBy>Mr.wang</cp:lastModifiedBy>
  <dcterms:modified xsi:type="dcterms:W3CDTF">2026-09-09T08:17:49Z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C48F008E0C4541D7BCF646290C0370E1_12</vt:lpwstr>
  </property>
  <property fmtid="{D5CDD505-2E9C-101B-9397-08002B2CF9AE}" pid="4" name="KSOTemplateDocerSaveRecord">
    <vt:lpwstr>eyJoZGlkIjoiNjQ4MzA2MWI0MzQzOTg4NjI4MjM2ZWY1OGFiY2M5NGQiLCJ1c2VySWQiOiIzMzA0MTE2NzMifQ==</vt:lpwstr>
  </property>
</Properties>
</file>