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28CA68">
      <w:pPr>
        <w:pageBreakBefore w:val="0"/>
        <w:topLinePunct w:val="0"/>
        <w:bidi w:val="0"/>
        <w:spacing w:line="500" w:lineRule="exact"/>
        <w:ind w:right="0" w:rightChars="0"/>
        <w:rPr>
          <w:rFonts w:hint="eastAsia" w:ascii="宋体" w:hAnsi="宋体" w:cs="宋体"/>
          <w:b/>
          <w:color w:val="auto"/>
          <w:sz w:val="28"/>
          <w:szCs w:val="28"/>
          <w:highlight w:val="none"/>
        </w:rPr>
      </w:pPr>
      <w:r>
        <w:drawing>
          <wp:anchor distT="0" distB="0" distL="114300" distR="114300" simplePos="0" relativeHeight="251676672" behindDoc="1" locked="0" layoutInCell="1" allowOverlap="1">
            <wp:simplePos x="0" y="0"/>
            <wp:positionH relativeFrom="column">
              <wp:posOffset>-8255</wp:posOffset>
            </wp:positionH>
            <wp:positionV relativeFrom="paragraph">
              <wp:posOffset>129540</wp:posOffset>
            </wp:positionV>
            <wp:extent cx="1897380" cy="635000"/>
            <wp:effectExtent l="0" t="0" r="7620" b="12700"/>
            <wp:wrapTight wrapText="bothSides">
              <wp:wrapPolygon>
                <wp:start x="0" y="0"/>
                <wp:lineTo x="0" y="20736"/>
                <wp:lineTo x="21470" y="20736"/>
                <wp:lineTo x="21470" y="0"/>
                <wp:lineTo x="0" y="0"/>
              </wp:wrapPolygon>
            </wp:wrapTight>
            <wp:docPr id="1" name="图片 2" descr="C:\Users\Administrator\Documents\Tencent Files\1193728654\Image\Group\5T`CZLKBO3$S%NBWC)E]YY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Users\Administrator\Documents\Tencent Files\1193728654\Image\Group\5T`CZLKBO3$S%NBWC)E]YY0.png"/>
                    <pic:cNvPicPr>
                      <a:picLocks noChangeAspect="1"/>
                    </pic:cNvPicPr>
                  </pic:nvPicPr>
                  <pic:blipFill>
                    <a:blip r:embed="rId22"/>
                    <a:stretch>
                      <a:fillRect/>
                    </a:stretch>
                  </pic:blipFill>
                  <pic:spPr>
                    <a:xfrm>
                      <a:off x="0" y="0"/>
                      <a:ext cx="1897380" cy="635000"/>
                    </a:xfrm>
                    <a:prstGeom prst="rect">
                      <a:avLst/>
                    </a:prstGeom>
                    <a:noFill/>
                    <a:ln>
                      <a:noFill/>
                    </a:ln>
                  </pic:spPr>
                </pic:pic>
              </a:graphicData>
            </a:graphic>
          </wp:anchor>
        </w:drawing>
      </w:r>
    </w:p>
    <w:p w14:paraId="5EB70BE8">
      <w:pPr>
        <w:pageBreakBefore w:val="0"/>
        <w:topLinePunct w:val="0"/>
        <w:bidi w:val="0"/>
        <w:spacing w:line="500" w:lineRule="exact"/>
        <w:ind w:right="0" w:rightChars="0"/>
        <w:rPr>
          <w:rFonts w:hint="eastAsia" w:ascii="宋体" w:hAnsi="宋体" w:cs="宋体"/>
          <w:b/>
          <w:color w:val="auto"/>
          <w:sz w:val="28"/>
          <w:szCs w:val="28"/>
          <w:highlight w:val="none"/>
        </w:rPr>
      </w:pPr>
    </w:p>
    <w:p w14:paraId="6DD539DC">
      <w:pPr>
        <w:pageBreakBefore w:val="0"/>
        <w:topLinePunct w:val="0"/>
        <w:bidi w:val="0"/>
        <w:spacing w:line="500" w:lineRule="exact"/>
        <w:ind w:right="0" w:rightChars="0"/>
        <w:rPr>
          <w:rFonts w:hint="eastAsia" w:ascii="宋体" w:hAnsi="宋体" w:cs="宋体"/>
          <w:b/>
          <w:color w:val="auto"/>
          <w:sz w:val="28"/>
          <w:szCs w:val="28"/>
          <w:highlight w:val="none"/>
        </w:rPr>
      </w:pPr>
    </w:p>
    <w:p w14:paraId="6DE451B2">
      <w:pPr>
        <w:pageBreakBefore w:val="0"/>
        <w:topLinePunct w:val="0"/>
        <w:bidi w:val="0"/>
        <w:spacing w:line="500" w:lineRule="exact"/>
        <w:ind w:right="0" w:rightChars="0"/>
        <w:rPr>
          <w:rFonts w:hint="eastAsia" w:ascii="宋体" w:hAnsi="宋体" w:cs="宋体"/>
          <w:b/>
          <w:color w:val="auto"/>
          <w:sz w:val="28"/>
          <w:szCs w:val="28"/>
          <w:highlight w:val="none"/>
        </w:rPr>
      </w:pPr>
    </w:p>
    <w:p w14:paraId="2B0F2073">
      <w:pPr>
        <w:pageBreakBefore w:val="0"/>
        <w:topLinePunct w:val="0"/>
        <w:bidi w:val="0"/>
        <w:spacing w:line="500" w:lineRule="exact"/>
        <w:ind w:right="0" w:rightChars="0"/>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rPr>
        <w:t>项目编号：</w:t>
      </w:r>
      <w:r>
        <w:rPr>
          <w:rFonts w:hint="eastAsia" w:cs="宋体"/>
          <w:b/>
          <w:color w:val="auto"/>
          <w:sz w:val="28"/>
          <w:szCs w:val="28"/>
          <w:highlight w:val="none"/>
          <w:lang w:eastAsia="zh-CN"/>
        </w:rPr>
        <w:t>ZKJWCG-20260702.1.2.5B1</w:t>
      </w:r>
    </w:p>
    <w:p w14:paraId="42505B08">
      <w:pPr>
        <w:pageBreakBefore w:val="0"/>
        <w:topLinePunct w:val="0"/>
        <w:bidi w:val="0"/>
        <w:spacing w:line="500" w:lineRule="exact"/>
        <w:ind w:left="0" w:leftChars="0" w:right="0" w:rightChars="0" w:firstLine="964" w:firstLineChars="200"/>
        <w:jc w:val="both"/>
        <w:rPr>
          <w:rFonts w:hint="eastAsia" w:ascii="宋体" w:hAnsi="宋体" w:cs="宋体"/>
          <w:b/>
          <w:bCs/>
          <w:color w:val="auto"/>
          <w:sz w:val="48"/>
          <w:szCs w:val="48"/>
          <w:highlight w:val="none"/>
        </w:rPr>
      </w:pPr>
    </w:p>
    <w:p w14:paraId="2F9EE574">
      <w:pPr>
        <w:pStyle w:val="12"/>
        <w:rPr>
          <w:rFonts w:hint="eastAsia" w:ascii="宋体" w:hAnsi="宋体" w:cs="宋体"/>
          <w:b/>
          <w:bCs/>
          <w:color w:val="auto"/>
          <w:sz w:val="48"/>
          <w:szCs w:val="48"/>
          <w:highlight w:val="none"/>
        </w:rPr>
      </w:pPr>
    </w:p>
    <w:p w14:paraId="5B330792">
      <w:pPr>
        <w:rPr>
          <w:rFonts w:hint="eastAsia"/>
        </w:rPr>
      </w:pPr>
    </w:p>
    <w:p w14:paraId="4AA02BB5">
      <w:pPr>
        <w:rPr>
          <w:rFonts w:hint="eastAsia"/>
        </w:rPr>
      </w:pPr>
    </w:p>
    <w:p w14:paraId="05FFFCD5">
      <w:pPr>
        <w:pStyle w:val="5"/>
        <w:keepNext/>
        <w:keepLines/>
        <w:pageBreakBefore w:val="0"/>
        <w:widowControl w:val="0"/>
        <w:kinsoku/>
        <w:wordWrap/>
        <w:overflowPunct/>
        <w:topLinePunct w:val="0"/>
        <w:autoSpaceDE/>
        <w:autoSpaceDN/>
        <w:bidi w:val="0"/>
        <w:adjustRightInd/>
        <w:snapToGrid/>
        <w:spacing w:line="500" w:lineRule="exact"/>
        <w:ind w:right="0" w:rightChars="0"/>
        <w:jc w:val="center"/>
        <w:textAlignment w:val="auto"/>
        <w:rPr>
          <w:rFonts w:hint="eastAsia" w:ascii="宋体" w:hAnsi="宋体" w:cs="宋体"/>
          <w:b/>
          <w:bCs/>
          <w:color w:val="auto"/>
          <w:sz w:val="48"/>
          <w:szCs w:val="48"/>
          <w:highlight w:val="none"/>
          <w:lang w:eastAsia="zh-CN"/>
        </w:rPr>
      </w:pPr>
      <w:r>
        <w:rPr>
          <w:rFonts w:hint="eastAsia" w:cs="宋体"/>
          <w:b/>
          <w:bCs/>
          <w:color w:val="auto"/>
          <w:sz w:val="44"/>
          <w:szCs w:val="44"/>
          <w:highlight w:val="none"/>
          <w:lang w:val="en-US" w:eastAsia="zh-CN"/>
        </w:rPr>
        <w:t>汉滨区2026－2027学年度中小学幼儿园大宗食材及原辅材料配送项目招标采购(二次)</w:t>
      </w:r>
      <w:r>
        <w:rPr>
          <w:rFonts w:hint="eastAsia" w:cs="宋体"/>
          <w:b/>
          <w:bCs/>
          <w:color w:val="auto"/>
          <w:sz w:val="48"/>
          <w:szCs w:val="48"/>
          <w:highlight w:val="none"/>
          <w:lang w:eastAsia="zh-CN"/>
        </w:rPr>
        <w:t xml:space="preserve"> </w:t>
      </w:r>
    </w:p>
    <w:p w14:paraId="42C32D74">
      <w:pPr>
        <w:pStyle w:val="12"/>
        <w:pageBreakBefore w:val="0"/>
        <w:topLinePunct w:val="0"/>
        <w:bidi w:val="0"/>
        <w:spacing w:line="500" w:lineRule="exact"/>
        <w:ind w:left="0" w:leftChars="0" w:right="0" w:rightChars="0" w:firstLine="480" w:firstLineChars="200"/>
        <w:rPr>
          <w:rFonts w:hint="eastAsia"/>
          <w:color w:val="auto"/>
          <w:highlight w:val="none"/>
          <w:lang w:eastAsia="zh-CN"/>
        </w:rPr>
      </w:pPr>
    </w:p>
    <w:p w14:paraId="703BD79E">
      <w:pPr>
        <w:pageBreakBefore w:val="0"/>
        <w:topLinePunct w:val="0"/>
        <w:bidi w:val="0"/>
        <w:spacing w:line="500" w:lineRule="exact"/>
        <w:ind w:left="0" w:leftChars="0" w:right="0" w:rightChars="0" w:firstLine="440" w:firstLineChars="200"/>
        <w:rPr>
          <w:rFonts w:hint="eastAsia"/>
          <w:highlight w:val="none"/>
          <w:lang w:eastAsia="zh-CN"/>
        </w:rPr>
      </w:pPr>
    </w:p>
    <w:p w14:paraId="3DB86C3B">
      <w:pPr>
        <w:pStyle w:val="16"/>
        <w:pageBreakBefore w:val="0"/>
        <w:topLinePunct w:val="0"/>
        <w:bidi w:val="0"/>
        <w:spacing w:line="500" w:lineRule="exact"/>
        <w:ind w:left="0" w:leftChars="0" w:right="0" w:rightChars="0" w:firstLine="360" w:firstLineChars="200"/>
        <w:rPr>
          <w:rFonts w:hint="eastAsia"/>
          <w:lang w:eastAsia="zh-CN"/>
        </w:rPr>
      </w:pPr>
    </w:p>
    <w:p w14:paraId="128F2F5F">
      <w:pPr>
        <w:rPr>
          <w:rFonts w:hint="eastAsia"/>
          <w:sz w:val="56"/>
          <w:szCs w:val="56"/>
        </w:rPr>
      </w:pPr>
    </w:p>
    <w:p w14:paraId="0A10C43D">
      <w:pPr>
        <w:rPr>
          <w:rFonts w:hint="eastAsia"/>
          <w:sz w:val="56"/>
          <w:szCs w:val="56"/>
        </w:rPr>
      </w:pPr>
    </w:p>
    <w:p w14:paraId="2A090C79">
      <w:pPr>
        <w:pStyle w:val="5"/>
        <w:bidi w:val="0"/>
        <w:rPr>
          <w:rFonts w:hint="eastAsia"/>
          <w:sz w:val="56"/>
          <w:szCs w:val="56"/>
          <w:lang w:val="en-US" w:eastAsia="zh-CN"/>
        </w:rPr>
      </w:pPr>
      <w:r>
        <w:rPr>
          <w:rFonts w:hint="eastAsia"/>
          <w:sz w:val="56"/>
          <w:szCs w:val="56"/>
          <w:lang w:val="en-US" w:eastAsia="zh-CN"/>
        </w:rPr>
        <w:t>招标文件</w:t>
      </w:r>
    </w:p>
    <w:p w14:paraId="097AC2E8">
      <w:pPr>
        <w:pageBreakBefore w:val="0"/>
        <w:overflowPunct w:val="0"/>
        <w:topLinePunct w:val="0"/>
        <w:bidi w:val="0"/>
        <w:spacing w:line="500" w:lineRule="exact"/>
        <w:ind w:left="0" w:leftChars="0" w:right="0" w:rightChars="0" w:firstLine="960" w:firstLineChars="200"/>
        <w:rPr>
          <w:rFonts w:hint="eastAsia" w:ascii="宋体" w:hAnsi="宋体" w:cs="宋体"/>
          <w:color w:val="auto"/>
          <w:sz w:val="48"/>
          <w:szCs w:val="48"/>
          <w:highlight w:val="none"/>
        </w:rPr>
      </w:pPr>
    </w:p>
    <w:p w14:paraId="28DDE2AA">
      <w:pPr>
        <w:pageBreakBefore w:val="0"/>
        <w:overflowPunct w:val="0"/>
        <w:topLinePunct w:val="0"/>
        <w:bidi w:val="0"/>
        <w:spacing w:line="500" w:lineRule="exact"/>
        <w:ind w:left="0" w:leftChars="0" w:right="0" w:rightChars="0" w:firstLine="440" w:firstLineChars="200"/>
        <w:rPr>
          <w:rFonts w:hint="eastAsia" w:ascii="宋体" w:hAnsi="宋体" w:cs="宋体"/>
          <w:color w:val="auto"/>
          <w:highlight w:val="none"/>
        </w:rPr>
      </w:pPr>
      <w:r>
        <w:rPr>
          <w:rFonts w:hint="eastAsia" w:ascii="宋体" w:hAnsi="宋体" w:cs="宋体"/>
          <w:color w:val="auto"/>
          <w:highlight w:val="none"/>
        </w:rPr>
        <w:t xml:space="preserve"> </w:t>
      </w:r>
    </w:p>
    <w:p w14:paraId="6CFF27CD">
      <w:pPr>
        <w:pageBreakBefore w:val="0"/>
        <w:overflowPunct w:val="0"/>
        <w:topLinePunct w:val="0"/>
        <w:bidi w:val="0"/>
        <w:spacing w:line="500" w:lineRule="exact"/>
        <w:ind w:left="0" w:leftChars="0" w:right="0" w:rightChars="0" w:firstLine="440" w:firstLineChars="200"/>
        <w:rPr>
          <w:rFonts w:hint="eastAsia" w:ascii="宋体" w:hAnsi="宋体" w:cs="宋体"/>
          <w:color w:val="auto"/>
          <w:highlight w:val="none"/>
        </w:rPr>
      </w:pPr>
    </w:p>
    <w:p w14:paraId="2DCC967E">
      <w:pPr>
        <w:pageBreakBefore w:val="0"/>
        <w:topLinePunct w:val="0"/>
        <w:bidi w:val="0"/>
        <w:spacing w:line="500" w:lineRule="exact"/>
        <w:ind w:right="0" w:rightChars="0"/>
        <w:rPr>
          <w:rFonts w:hint="eastAsia"/>
          <w:color w:val="auto"/>
          <w:highlight w:val="none"/>
        </w:rPr>
      </w:pPr>
    </w:p>
    <w:p w14:paraId="74C95671">
      <w:pPr>
        <w:pageBreakBefore w:val="0"/>
        <w:topLinePunct w:val="0"/>
        <w:bidi w:val="0"/>
        <w:spacing w:line="500" w:lineRule="exact"/>
        <w:ind w:right="0" w:rightChars="0"/>
        <w:rPr>
          <w:rFonts w:hint="eastAsia"/>
          <w:color w:val="auto"/>
          <w:highlight w:val="none"/>
        </w:rPr>
      </w:pPr>
    </w:p>
    <w:p w14:paraId="05EA50A6">
      <w:pPr>
        <w:pageBreakBefore w:val="0"/>
        <w:topLinePunct w:val="0"/>
        <w:bidi w:val="0"/>
        <w:spacing w:line="500" w:lineRule="exact"/>
        <w:ind w:right="0" w:rightChars="0"/>
        <w:rPr>
          <w:rFonts w:hint="eastAsia"/>
          <w:highlight w:val="none"/>
        </w:rPr>
      </w:pPr>
    </w:p>
    <w:p w14:paraId="29839558">
      <w:pPr>
        <w:pageBreakBefore w:val="0"/>
        <w:overflowPunct w:val="0"/>
        <w:topLinePunct w:val="0"/>
        <w:bidi w:val="0"/>
        <w:spacing w:line="500" w:lineRule="exact"/>
        <w:ind w:left="0" w:leftChars="0" w:right="0" w:rightChars="0" w:firstLine="643" w:firstLineChars="200"/>
        <w:rPr>
          <w:rFonts w:hint="eastAsia" w:cs="宋体"/>
          <w:b/>
          <w:color w:val="auto"/>
          <w:sz w:val="32"/>
          <w:szCs w:val="32"/>
          <w:highlight w:val="none"/>
          <w:u w:val="none"/>
          <w:lang w:val="en-US" w:eastAsia="zh-CN"/>
        </w:rPr>
      </w:pPr>
      <w:r>
        <w:rPr>
          <w:rFonts w:hint="eastAsia" w:ascii="宋体" w:hAnsi="宋体" w:cs="宋体"/>
          <w:b/>
          <w:color w:val="auto"/>
          <w:sz w:val="32"/>
          <w:szCs w:val="32"/>
          <w:highlight w:val="none"/>
          <w:u w:val="none"/>
          <w:lang w:eastAsia="zh-CN"/>
        </w:rPr>
        <w:t>采</w:t>
      </w:r>
      <w:r>
        <w:rPr>
          <w:rFonts w:hint="eastAsia" w:ascii="宋体" w:hAnsi="宋体" w:cs="宋体"/>
          <w:b/>
          <w:color w:val="auto"/>
          <w:sz w:val="32"/>
          <w:szCs w:val="32"/>
          <w:highlight w:val="none"/>
          <w:u w:val="none"/>
          <w:lang w:val="en-US" w:eastAsia="zh-CN"/>
        </w:rPr>
        <w:t xml:space="preserve"> </w:t>
      </w:r>
      <w:r>
        <w:rPr>
          <w:rFonts w:hint="eastAsia" w:ascii="宋体" w:hAnsi="宋体" w:cs="宋体"/>
          <w:b/>
          <w:color w:val="auto"/>
          <w:sz w:val="32"/>
          <w:szCs w:val="32"/>
          <w:highlight w:val="none"/>
          <w:u w:val="none"/>
          <w:lang w:eastAsia="zh-CN"/>
        </w:rPr>
        <w:t>购</w:t>
      </w:r>
      <w:r>
        <w:rPr>
          <w:rFonts w:hint="eastAsia" w:ascii="宋体" w:hAnsi="宋体" w:cs="宋体"/>
          <w:b/>
          <w:color w:val="auto"/>
          <w:sz w:val="32"/>
          <w:szCs w:val="32"/>
          <w:highlight w:val="none"/>
          <w:u w:val="none"/>
          <w:lang w:val="en-US" w:eastAsia="zh-CN"/>
        </w:rPr>
        <w:t xml:space="preserve"> </w:t>
      </w:r>
      <w:r>
        <w:rPr>
          <w:rFonts w:hint="eastAsia" w:ascii="宋体" w:hAnsi="宋体" w:cs="宋体"/>
          <w:b/>
          <w:color w:val="auto"/>
          <w:sz w:val="32"/>
          <w:szCs w:val="32"/>
          <w:highlight w:val="none"/>
          <w:u w:val="none"/>
          <w:lang w:eastAsia="zh-CN"/>
        </w:rPr>
        <w:t>人</w:t>
      </w:r>
      <w:r>
        <w:rPr>
          <w:rFonts w:hint="eastAsia" w:ascii="宋体" w:hAnsi="宋体" w:cs="宋体"/>
          <w:b/>
          <w:color w:val="auto"/>
          <w:sz w:val="32"/>
          <w:szCs w:val="32"/>
          <w:highlight w:val="none"/>
          <w:u w:val="none"/>
        </w:rPr>
        <w:t>：</w:t>
      </w:r>
      <w:r>
        <w:rPr>
          <w:rFonts w:hint="eastAsia" w:ascii="宋体" w:hAnsi="宋体" w:cs="宋体"/>
          <w:b/>
          <w:color w:val="auto"/>
          <w:sz w:val="32"/>
          <w:szCs w:val="32"/>
          <w:highlight w:val="none"/>
          <w:u w:val="none"/>
          <w:lang w:val="en-US" w:eastAsia="zh-CN"/>
        </w:rPr>
        <w:t>汉滨区教育体育局</w:t>
      </w:r>
      <w:r>
        <w:rPr>
          <w:rFonts w:hint="eastAsia" w:cs="宋体"/>
          <w:b/>
          <w:color w:val="auto"/>
          <w:sz w:val="32"/>
          <w:szCs w:val="32"/>
          <w:highlight w:val="none"/>
          <w:u w:val="none"/>
          <w:lang w:val="en-US" w:eastAsia="zh-CN"/>
        </w:rPr>
        <w:t>（盖章）</w:t>
      </w:r>
    </w:p>
    <w:p w14:paraId="37D322C9">
      <w:pPr>
        <w:pageBreakBefore w:val="0"/>
        <w:overflowPunct w:val="0"/>
        <w:topLinePunct w:val="0"/>
        <w:bidi w:val="0"/>
        <w:spacing w:line="500" w:lineRule="exact"/>
        <w:ind w:left="0" w:leftChars="0" w:right="0" w:rightChars="0" w:firstLine="643" w:firstLineChars="200"/>
        <w:rPr>
          <w:rFonts w:hint="eastAsia" w:cs="宋体"/>
          <w:b/>
          <w:color w:val="auto"/>
          <w:sz w:val="32"/>
          <w:szCs w:val="32"/>
          <w:highlight w:val="none"/>
          <w:u w:val="none"/>
          <w:lang w:eastAsia="zh-CN"/>
        </w:rPr>
      </w:pPr>
      <w:r>
        <w:rPr>
          <w:rFonts w:hint="eastAsia" w:ascii="宋体" w:hAnsi="宋体" w:cs="宋体"/>
          <w:b/>
          <w:color w:val="auto"/>
          <w:sz w:val="32"/>
          <w:szCs w:val="32"/>
          <w:highlight w:val="none"/>
          <w:u w:val="none"/>
        </w:rPr>
        <w:t>代理机构：</w:t>
      </w:r>
      <w:r>
        <w:rPr>
          <w:rFonts w:hint="eastAsia" w:cs="宋体"/>
          <w:b/>
          <w:color w:val="auto"/>
          <w:sz w:val="32"/>
          <w:szCs w:val="32"/>
          <w:highlight w:val="none"/>
          <w:u w:val="none"/>
          <w:lang w:eastAsia="zh-CN"/>
        </w:rPr>
        <w:t>中科经纬工程技术有限公司（盖章）</w:t>
      </w:r>
    </w:p>
    <w:p w14:paraId="740B8453">
      <w:pPr>
        <w:pageBreakBefore w:val="0"/>
        <w:overflowPunct w:val="0"/>
        <w:topLinePunct w:val="0"/>
        <w:bidi w:val="0"/>
        <w:spacing w:line="500" w:lineRule="exact"/>
        <w:ind w:left="0" w:leftChars="0" w:right="0" w:rightChars="0" w:firstLine="643" w:firstLineChars="200"/>
        <w:rPr>
          <w:rFonts w:hint="default" w:ascii="宋体" w:hAnsi="宋体" w:eastAsia="宋体" w:cs="宋体"/>
          <w:b/>
          <w:color w:val="auto"/>
          <w:sz w:val="32"/>
          <w:szCs w:val="32"/>
          <w:highlight w:val="none"/>
          <w:u w:val="none"/>
          <w:lang w:val="en-US" w:eastAsia="zh-CN"/>
        </w:rPr>
        <w:sectPr>
          <w:footerReference r:id="rId5" w:type="first"/>
          <w:headerReference r:id="rId3" w:type="default"/>
          <w:footerReference r:id="rId4" w:type="default"/>
          <w:pgSz w:w="11906" w:h="16838"/>
          <w:pgMar w:top="1327" w:right="1800" w:bottom="1440" w:left="1633" w:header="851" w:footer="992" w:gutter="0"/>
          <w:pgNumType w:fmt="decimal" w:start="1"/>
          <w:cols w:space="720" w:num="1"/>
          <w:docGrid w:type="lines" w:linePitch="312" w:charSpace="0"/>
        </w:sectPr>
      </w:pPr>
      <w:r>
        <w:rPr>
          <w:rFonts w:hint="eastAsia" w:ascii="宋体" w:hAnsi="宋体" w:cs="宋体"/>
          <w:b/>
          <w:color w:val="auto"/>
          <w:sz w:val="32"/>
          <w:szCs w:val="32"/>
          <w:highlight w:val="none"/>
          <w:u w:val="none"/>
        </w:rPr>
        <w:t>时    间：</w:t>
      </w:r>
      <w:r>
        <w:rPr>
          <w:rFonts w:hint="eastAsia" w:ascii="宋体" w:hAnsi="宋体" w:cs="宋体"/>
          <w:b/>
          <w:color w:val="auto"/>
          <w:sz w:val="32"/>
          <w:szCs w:val="32"/>
          <w:highlight w:val="none"/>
          <w:u w:val="none"/>
          <w:lang w:val="en-US" w:eastAsia="zh-CN"/>
        </w:rPr>
        <w:t>二零二</w:t>
      </w:r>
      <w:r>
        <w:rPr>
          <w:rFonts w:hint="eastAsia" w:cs="宋体"/>
          <w:b/>
          <w:color w:val="auto"/>
          <w:sz w:val="32"/>
          <w:szCs w:val="32"/>
          <w:highlight w:val="none"/>
          <w:u w:val="none"/>
          <w:lang w:val="en-US" w:eastAsia="zh-CN"/>
        </w:rPr>
        <w:t>六</w:t>
      </w:r>
      <w:r>
        <w:rPr>
          <w:rFonts w:hint="eastAsia" w:ascii="宋体" w:hAnsi="宋体" w:cs="宋体"/>
          <w:b/>
          <w:color w:val="auto"/>
          <w:sz w:val="32"/>
          <w:szCs w:val="32"/>
          <w:highlight w:val="none"/>
          <w:u w:val="none"/>
          <w:lang w:val="en-US" w:eastAsia="zh-CN"/>
        </w:rPr>
        <w:t>年</w:t>
      </w:r>
      <w:r>
        <w:rPr>
          <w:rFonts w:hint="eastAsia" w:cs="宋体"/>
          <w:b/>
          <w:color w:val="auto"/>
          <w:sz w:val="32"/>
          <w:szCs w:val="32"/>
          <w:highlight w:val="none"/>
          <w:u w:val="none"/>
          <w:lang w:val="en-US" w:eastAsia="zh-CN"/>
        </w:rPr>
        <w:t>八</w:t>
      </w:r>
      <w:r>
        <w:rPr>
          <w:rFonts w:hint="eastAsia" w:ascii="宋体" w:hAnsi="宋体" w:cs="宋体"/>
          <w:b/>
          <w:color w:val="auto"/>
          <w:sz w:val="32"/>
          <w:szCs w:val="32"/>
          <w:highlight w:val="none"/>
          <w:u w:val="none"/>
          <w:lang w:val="en-US" w:eastAsia="zh-CN"/>
        </w:rPr>
        <w:t>月</w:t>
      </w:r>
      <w:r>
        <w:rPr>
          <w:rFonts w:hint="eastAsia" w:cs="宋体"/>
          <w:b/>
          <w:color w:val="auto"/>
          <w:sz w:val="32"/>
          <w:szCs w:val="32"/>
          <w:highlight w:val="none"/>
          <w:u w:val="none"/>
          <w:lang w:val="en-US" w:eastAsia="zh-CN"/>
        </w:rPr>
        <w:t xml:space="preserve"> </w:t>
      </w:r>
      <w:r>
        <w:rPr>
          <w:rFonts w:hint="eastAsia" w:cs="宋体"/>
          <w:b/>
          <w:color w:val="0000FF"/>
          <w:sz w:val="32"/>
          <w:szCs w:val="32"/>
          <w:highlight w:val="none"/>
          <w:u w:val="none"/>
          <w:lang w:val="en-US" w:eastAsia="zh-CN"/>
        </w:rPr>
        <w:t xml:space="preserve">       </w:t>
      </w:r>
    </w:p>
    <w:p w14:paraId="58A78D1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center"/>
        <w:textAlignment w:val="auto"/>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val="en-US" w:eastAsia="zh-CN"/>
        </w:rPr>
        <w:t>特别提醒</w:t>
      </w:r>
      <w:r>
        <w:rPr>
          <w:rFonts w:hint="eastAsia" w:ascii="宋体" w:hAnsi="宋体" w:eastAsia="宋体" w:cs="宋体"/>
          <w:b w:val="0"/>
          <w:bCs w:val="0"/>
          <w:color w:val="auto"/>
          <w:sz w:val="28"/>
          <w:szCs w:val="28"/>
          <w:highlight w:val="none"/>
          <w:lang w:eastAsia="zh-CN"/>
        </w:rPr>
        <w:tab/>
      </w:r>
    </w:p>
    <w:p w14:paraId="4573065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1</w:t>
      </w:r>
      <w:r>
        <w:rPr>
          <w:rFonts w:hint="eastAsia"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lang w:val="en-US" w:eastAsia="zh-CN"/>
        </w:rPr>
        <w:t xml:space="preserve">本项目采用电子化投标的方式投标，供应商须使用数字认证证书（CA 锁）对电子投标文件进行签章、加密、递交及开标时解密等相关招投标事宜。开标时供应商须携带数字认证证书（CA 锁），如因供应商自身原因未携带数字认证证书（CA 锁）造成无法解密投标文件，按无效投标对待。 </w:t>
      </w:r>
    </w:p>
    <w:p w14:paraId="0E33778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2</w:t>
      </w:r>
      <w:r>
        <w:rPr>
          <w:rFonts w:hint="eastAsia"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lang w:val="en-US" w:eastAsia="zh-CN"/>
        </w:rPr>
        <w:t xml:space="preserve">制作电子投标文件 </w:t>
      </w:r>
    </w:p>
    <w:p w14:paraId="088C388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投 标 供 应 商 须 在 “ 全 国 公 共 资 源 交 易 中 心 平 台 （ 陕 西 省 ）（http://www.sxggzyjy.cn</w:t>
      </w:r>
      <w:r>
        <w:rPr>
          <w:rFonts w:hint="eastAsia"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lang w:val="en-US" w:eastAsia="zh-CN"/>
        </w:rPr>
        <w:t>”的“服务指南”栏目“下载专区”中，免费下载“陕西省公共资源交易平台政府采购电子标书制作工具</w:t>
      </w:r>
      <w:r>
        <w:rPr>
          <w:rFonts w:hint="eastAsia"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lang w:val="en-US" w:eastAsia="zh-CN"/>
        </w:rPr>
        <w:t>V8.0.0.2</w:t>
      </w:r>
      <w:r>
        <w:rPr>
          <w:rFonts w:hint="eastAsia"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lang w:val="en-US" w:eastAsia="zh-CN"/>
        </w:rPr>
        <w:t>”，并升级至最新版本，使用该客户端制作电子投标文件，制作扩展名为</w:t>
      </w:r>
      <w:r>
        <w:rPr>
          <w:rFonts w:hint="eastAsia"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lang w:val="en-US" w:eastAsia="zh-CN"/>
        </w:rPr>
        <w:t>SXSTF”的电子投标文件。</w:t>
      </w:r>
    </w:p>
    <w:p w14:paraId="2956BE2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3</w:t>
      </w:r>
      <w:r>
        <w:rPr>
          <w:rFonts w:hint="eastAsia"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lang w:val="en-US" w:eastAsia="zh-CN"/>
        </w:rPr>
        <w:t xml:space="preserve">递交电子投标文件 </w:t>
      </w:r>
    </w:p>
    <w:p w14:paraId="60CA2CB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登录全国公共资源交易中心平台（陕西省）（http://www.sxggzyjy.cn</w:t>
      </w:r>
      <w:r>
        <w:rPr>
          <w:rFonts w:hint="eastAsia"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lang w:val="en-US" w:eastAsia="zh-CN"/>
        </w:rPr>
        <w:t>， 选择“电子交易平台—陕西政府采购交易系统—企业端”进行登录，登录后选择“交易乙方”身份进入，进入菜单“采购业务—我的项目——项目流程——上传响应文件”，上传加密的电子投标文件。上传成功后，电子化平台将予以记录。</w:t>
      </w:r>
    </w:p>
    <w:p w14:paraId="63150CA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4</w:t>
      </w:r>
      <w:r>
        <w:rPr>
          <w:rFonts w:hint="eastAsia"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lang w:val="en-US" w:eastAsia="zh-CN"/>
        </w:rPr>
        <w:t>不见面开标系统：打开登录页面网址选择点击右上角“登录”，在左侧选择“投标人”身份，登录地区选择“安康市不见面开标”插入CA锁登录，输入密码后，点击“登录”（http://219.145.206.209/BidOpeningHall/bidopeninghallaction/hall/login）。投标人登录之后可以看到当前投标人今日开标项目；选择要开标的项目，点击进入，页面首先阅读开标流程，点击“我已阅读”进入开标大厅，点击“取消”返回项目列表页面。</w:t>
      </w:r>
    </w:p>
    <w:p w14:paraId="42CEC8F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5</w:t>
      </w:r>
      <w:r>
        <w:rPr>
          <w:rFonts w:hint="eastAsia"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lang w:val="en-US" w:eastAsia="zh-CN"/>
        </w:rPr>
        <w:t>开标签到投标人等待开标时需要签到，等候开标。请在开标前完成签到，开标时间到了之后就不能签到；点击页面上“签到”按钮进行签到，开标前10分钟可以签到。签到成功之后，按钮灰化，无需再次签到，同时第一个座位图右下角出现绿色√；</w:t>
      </w:r>
    </w:p>
    <w:p w14:paraId="64529F2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6</w:t>
      </w:r>
      <w:r>
        <w:rPr>
          <w:rFonts w:hint="eastAsia"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lang w:val="en-US" w:eastAsia="zh-CN"/>
        </w:rPr>
        <w:t>注意事项</w:t>
      </w:r>
    </w:p>
    <w:p w14:paraId="2F8B9E7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1）为顺利实现不见面开标系统的远程交互，建议投标人配置的软硬件设施有：高配置电脑、高速稳定的网络、电源（不间断）、CA锁、音视频设备（话筒、耳麦、高清摄像头、音响），浏览器要求使用IE11浏览器，且电脑已经正确安装了陕西省公共资源CA驱动。投标供应商需安装</w:t>
      </w:r>
      <w:r>
        <w:rPr>
          <w:rFonts w:hint="eastAsia" w:cs="宋体"/>
          <w:b w:val="0"/>
          <w:bCs w:val="0"/>
          <w:color w:val="auto"/>
          <w:sz w:val="28"/>
          <w:szCs w:val="28"/>
          <w:highlight w:val="none"/>
          <w:lang w:val="en-US" w:eastAsia="zh-CN"/>
        </w:rPr>
        <w:t>新</w:t>
      </w:r>
      <w:r>
        <w:rPr>
          <w:rFonts w:hint="eastAsia" w:ascii="宋体" w:hAnsi="宋体" w:eastAsia="宋体" w:cs="宋体"/>
          <w:b w:val="0"/>
          <w:bCs w:val="0"/>
          <w:color w:val="auto"/>
          <w:sz w:val="28"/>
          <w:szCs w:val="28"/>
          <w:highlight w:val="none"/>
          <w:lang w:val="en-US" w:eastAsia="zh-CN"/>
        </w:rPr>
        <w:t>播放器，以便观看远程不见面开标直播画面。</w:t>
      </w:r>
    </w:p>
    <w:p w14:paraId="2415A76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（2）建议投标人在开标前半小时登录不见面开标大厅，并及时签到（开标前60分钟即可签到），遇到问题及时联系客服4009280095。</w:t>
      </w:r>
    </w:p>
    <w:p w14:paraId="6F9109B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（3）投标人需注意CA锁一定要提前准备好，并确保CA锁为制作投标文件的CA锁。</w:t>
      </w:r>
    </w:p>
    <w:p w14:paraId="5018DE4B">
      <w:pPr>
        <w:pageBreakBefore w:val="0"/>
        <w:kinsoku/>
        <w:wordWrap/>
        <w:overflowPunct/>
        <w:topLinePunct w:val="0"/>
        <w:bidi w:val="0"/>
        <w:spacing w:line="360" w:lineRule="auto"/>
        <w:ind w:firstLine="560" w:firstLineChars="200"/>
        <w:rPr>
          <w:rFonts w:hint="default"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（4）及时关注右侧公告及互动栏目信息。</w:t>
      </w:r>
    </w:p>
    <w:p w14:paraId="0C8FDDE1">
      <w:pPr>
        <w:pageBreakBefore w:val="0"/>
        <w:tabs>
          <w:tab w:val="left" w:pos="719"/>
        </w:tabs>
        <w:topLinePunct w:val="0"/>
        <w:bidi w:val="0"/>
        <w:spacing w:line="500" w:lineRule="exact"/>
        <w:ind w:left="0" w:leftChars="0" w:right="0" w:rightChars="0" w:firstLine="560" w:firstLineChars="200"/>
        <w:jc w:val="center"/>
        <w:rPr>
          <w:b w:val="0"/>
          <w:bCs w:val="0"/>
          <w:sz w:val="28"/>
          <w:szCs w:val="28"/>
        </w:rPr>
      </w:pPr>
    </w:p>
    <w:p w14:paraId="55D8045C">
      <w:pPr>
        <w:pStyle w:val="12"/>
        <w:rPr>
          <w:b/>
          <w:sz w:val="36"/>
        </w:rPr>
      </w:pPr>
    </w:p>
    <w:p w14:paraId="5932F30A">
      <w:pPr>
        <w:rPr>
          <w:b/>
          <w:sz w:val="36"/>
        </w:rPr>
      </w:pPr>
    </w:p>
    <w:p w14:paraId="3453126D">
      <w:pPr>
        <w:pStyle w:val="12"/>
        <w:rPr>
          <w:b/>
          <w:sz w:val="36"/>
        </w:rPr>
      </w:pPr>
    </w:p>
    <w:p w14:paraId="0FC28DE7">
      <w:pPr>
        <w:rPr>
          <w:b/>
          <w:sz w:val="36"/>
        </w:rPr>
      </w:pPr>
    </w:p>
    <w:p w14:paraId="30B0352B">
      <w:pPr>
        <w:pStyle w:val="12"/>
        <w:rPr>
          <w:b/>
          <w:sz w:val="36"/>
        </w:rPr>
      </w:pPr>
    </w:p>
    <w:p w14:paraId="766F79C1">
      <w:pPr>
        <w:rPr>
          <w:b/>
          <w:sz w:val="36"/>
        </w:rPr>
      </w:pPr>
    </w:p>
    <w:p w14:paraId="1F2E2EED">
      <w:pPr>
        <w:pStyle w:val="12"/>
        <w:rPr>
          <w:b/>
          <w:sz w:val="36"/>
        </w:rPr>
      </w:pPr>
    </w:p>
    <w:p w14:paraId="641B5EEC">
      <w:pPr>
        <w:rPr>
          <w:b/>
          <w:sz w:val="36"/>
        </w:rPr>
      </w:pPr>
    </w:p>
    <w:p w14:paraId="0032F444">
      <w:pPr>
        <w:pStyle w:val="12"/>
        <w:rPr>
          <w:b/>
          <w:sz w:val="36"/>
        </w:rPr>
      </w:pPr>
    </w:p>
    <w:p w14:paraId="100453A9">
      <w:pPr>
        <w:rPr>
          <w:b/>
          <w:sz w:val="36"/>
        </w:rPr>
      </w:pPr>
    </w:p>
    <w:p w14:paraId="5FE0D42F">
      <w:pPr>
        <w:pStyle w:val="12"/>
        <w:rPr>
          <w:b/>
          <w:sz w:val="36"/>
        </w:rPr>
      </w:pPr>
    </w:p>
    <w:p w14:paraId="03BDC0A9">
      <w:pPr>
        <w:pageBreakBefore w:val="0"/>
        <w:tabs>
          <w:tab w:val="left" w:pos="719"/>
        </w:tabs>
        <w:topLinePunct w:val="0"/>
        <w:bidi w:val="0"/>
        <w:spacing w:line="500" w:lineRule="exact"/>
        <w:ind w:left="0" w:leftChars="0" w:right="0" w:rightChars="0" w:firstLine="723" w:firstLineChars="200"/>
        <w:jc w:val="center"/>
        <w:rPr>
          <w:b/>
          <w:sz w:val="36"/>
        </w:rPr>
        <w:sectPr>
          <w:headerReference r:id="rId6" w:type="default"/>
          <w:footerReference r:id="rId7" w:type="default"/>
          <w:pgSz w:w="11910" w:h="16840"/>
          <w:pgMar w:top="1440" w:right="1080" w:bottom="1383" w:left="1080" w:header="0" w:footer="0" w:gutter="0"/>
          <w:pgNumType w:fmt="decimal" w:start="1"/>
          <w:cols w:space="720" w:num="1"/>
        </w:sectPr>
      </w:pPr>
    </w:p>
    <w:p w14:paraId="142C9C4E">
      <w:pPr>
        <w:pageBreakBefore w:val="0"/>
        <w:tabs>
          <w:tab w:val="left" w:pos="719"/>
        </w:tabs>
        <w:topLinePunct w:val="0"/>
        <w:bidi w:val="0"/>
        <w:spacing w:line="500" w:lineRule="exact"/>
        <w:ind w:right="0" w:rightChars="0"/>
        <w:jc w:val="both"/>
        <w:rPr>
          <w:b/>
          <w:sz w:val="36"/>
        </w:rPr>
      </w:pPr>
    </w:p>
    <w:p w14:paraId="54B7D2AE">
      <w:pPr>
        <w:pageBreakBefore w:val="0"/>
        <w:tabs>
          <w:tab w:val="left" w:pos="719"/>
        </w:tabs>
        <w:topLinePunct w:val="0"/>
        <w:bidi w:val="0"/>
        <w:spacing w:line="500" w:lineRule="exact"/>
        <w:ind w:left="0" w:leftChars="0" w:right="0" w:rightChars="0" w:firstLine="723" w:firstLineChars="200"/>
        <w:jc w:val="center"/>
        <w:outlineLvl w:val="0"/>
        <w:rPr>
          <w:b/>
          <w:sz w:val="36"/>
        </w:rPr>
      </w:pPr>
      <w:r>
        <w:rPr>
          <w:b/>
          <w:sz w:val="36"/>
        </w:rPr>
        <w:t>目</w:t>
      </w:r>
      <w:r>
        <w:rPr>
          <w:b/>
          <w:sz w:val="36"/>
        </w:rPr>
        <w:tab/>
      </w:r>
      <w:r>
        <w:rPr>
          <w:b/>
          <w:sz w:val="36"/>
        </w:rPr>
        <w:t>录</w:t>
      </w:r>
    </w:p>
    <w:p w14:paraId="79838E41">
      <w:pPr>
        <w:pageBreakBefore w:val="0"/>
        <w:topLinePunct w:val="0"/>
        <w:bidi w:val="0"/>
        <w:spacing w:line="500" w:lineRule="exact"/>
        <w:ind w:left="0" w:leftChars="0" w:right="0" w:rightChars="0" w:firstLine="440" w:firstLineChars="200"/>
      </w:pPr>
      <w:r>
        <w:fldChar w:fldCharType="begin"/>
      </w:r>
      <w:r>
        <w:instrText xml:space="preserve">TOC \o "1-1" \h \z \u </w:instrText>
      </w:r>
      <w:r>
        <w:fldChar w:fldCharType="separate"/>
      </w:r>
    </w:p>
    <w:p w14:paraId="70866572">
      <w:pPr>
        <w:pStyle w:val="18"/>
        <w:pageBreakBefore w:val="0"/>
        <w:tabs>
          <w:tab w:val="right" w:leader="dot" w:pos="8641"/>
        </w:tabs>
        <w:topLinePunct w:val="0"/>
        <w:bidi w:val="0"/>
        <w:spacing w:before="0" w:line="500" w:lineRule="exact"/>
        <w:ind w:left="0" w:leftChars="0" w:right="0" w:rightChars="0" w:firstLine="560" w:firstLineChars="200"/>
      </w:pPr>
      <w:r>
        <w:fldChar w:fldCharType="end"/>
      </w:r>
    </w:p>
    <w:p w14:paraId="35765C6C">
      <w:pPr>
        <w:pStyle w:val="18"/>
        <w:pageBreakBefore w:val="0"/>
        <w:tabs>
          <w:tab w:val="right" w:leader="dot" w:pos="9750"/>
        </w:tabs>
        <w:topLinePunct w:val="0"/>
        <w:bidi w:val="0"/>
        <w:spacing w:before="0" w:line="600" w:lineRule="auto"/>
        <w:ind w:left="0" w:leftChars="0" w:right="0" w:rightChars="0" w:firstLine="562" w:firstLineChars="200"/>
        <w:jc w:val="left"/>
        <w:outlineLvl w:val="1"/>
        <w:rPr>
          <w:rFonts w:hint="default"/>
          <w:b/>
          <w:bCs/>
          <w:color w:val="auto"/>
          <w:lang w:val="en-US" w:eastAsia="zh-CN"/>
        </w:rPr>
      </w:pPr>
      <w:r>
        <w:rPr>
          <w:b/>
          <w:bCs/>
          <w:color w:val="auto"/>
        </w:rPr>
        <w:fldChar w:fldCharType="begin"/>
      </w:r>
      <w:r>
        <w:rPr>
          <w:b/>
          <w:bCs/>
          <w:color w:val="auto"/>
        </w:rPr>
        <w:instrText xml:space="preserve"> HYPERLINK \l "_Toc12699" </w:instrText>
      </w:r>
      <w:r>
        <w:rPr>
          <w:b/>
          <w:bCs/>
          <w:color w:val="auto"/>
        </w:rPr>
        <w:fldChar w:fldCharType="separate"/>
      </w:r>
      <w:r>
        <w:rPr>
          <w:b/>
          <w:bCs/>
          <w:color w:val="auto"/>
        </w:rPr>
        <w:t>第一章 招标公告</w:t>
      </w:r>
      <w:r>
        <w:rPr>
          <w:b/>
          <w:bCs/>
          <w:color w:val="auto"/>
        </w:rPr>
        <w:fldChar w:fldCharType="end"/>
      </w:r>
      <w:r>
        <w:rPr>
          <w:rFonts w:hint="eastAsia"/>
          <w:b/>
          <w:bCs/>
          <w:color w:val="auto"/>
          <w:lang w:val="en-US" w:eastAsia="zh-CN"/>
        </w:rPr>
        <w:t>.......................................-1-</w:t>
      </w:r>
    </w:p>
    <w:p w14:paraId="29EF20FD">
      <w:pPr>
        <w:pStyle w:val="18"/>
        <w:pageBreakBefore w:val="0"/>
        <w:tabs>
          <w:tab w:val="right" w:leader="dot" w:pos="9750"/>
        </w:tabs>
        <w:topLinePunct w:val="0"/>
        <w:bidi w:val="0"/>
        <w:spacing w:before="0" w:line="600" w:lineRule="auto"/>
        <w:ind w:left="0" w:leftChars="0" w:right="0" w:rightChars="0" w:firstLine="562" w:firstLineChars="200"/>
        <w:jc w:val="left"/>
        <w:outlineLvl w:val="1"/>
        <w:rPr>
          <w:rFonts w:hint="default" w:eastAsia="宋体"/>
          <w:b/>
          <w:bCs/>
          <w:color w:val="auto"/>
          <w:lang w:val="en-US" w:eastAsia="zh-CN"/>
        </w:rPr>
      </w:pPr>
      <w:r>
        <w:rPr>
          <w:b/>
          <w:bCs/>
          <w:color w:val="auto"/>
        </w:rPr>
        <w:fldChar w:fldCharType="begin"/>
      </w:r>
      <w:r>
        <w:rPr>
          <w:b/>
          <w:bCs/>
          <w:color w:val="auto"/>
        </w:rPr>
        <w:instrText xml:space="preserve"> HYPERLINK \l "_Toc25930" </w:instrText>
      </w:r>
      <w:r>
        <w:rPr>
          <w:b/>
          <w:bCs/>
          <w:color w:val="auto"/>
        </w:rPr>
        <w:fldChar w:fldCharType="separate"/>
      </w:r>
      <w:r>
        <w:rPr>
          <w:b/>
          <w:bCs/>
          <w:color w:val="auto"/>
        </w:rPr>
        <w:t>第二章 投标须知</w:t>
      </w:r>
      <w:r>
        <w:rPr>
          <w:b/>
          <w:bCs/>
          <w:color w:val="auto"/>
        </w:rPr>
        <w:fldChar w:fldCharType="end"/>
      </w:r>
      <w:r>
        <w:rPr>
          <w:rFonts w:hint="eastAsia"/>
          <w:b/>
          <w:bCs/>
          <w:color w:val="auto"/>
          <w:lang w:val="en-US" w:eastAsia="zh-CN"/>
        </w:rPr>
        <w:t>.......................................-8-</w:t>
      </w:r>
    </w:p>
    <w:p w14:paraId="58FB6378">
      <w:pPr>
        <w:pStyle w:val="18"/>
        <w:pageBreakBefore w:val="0"/>
        <w:tabs>
          <w:tab w:val="right" w:leader="dot" w:pos="9750"/>
        </w:tabs>
        <w:topLinePunct w:val="0"/>
        <w:bidi w:val="0"/>
        <w:spacing w:before="0" w:line="600" w:lineRule="auto"/>
        <w:ind w:left="0" w:leftChars="0" w:right="0" w:rightChars="0" w:firstLine="562" w:firstLineChars="200"/>
        <w:jc w:val="left"/>
        <w:outlineLvl w:val="1"/>
        <w:rPr>
          <w:rFonts w:hint="default" w:eastAsia="宋体"/>
          <w:b/>
          <w:bCs/>
          <w:color w:val="auto"/>
          <w:lang w:val="en-US" w:eastAsia="zh-CN"/>
        </w:rPr>
      </w:pPr>
      <w:r>
        <w:rPr>
          <w:b/>
          <w:bCs/>
          <w:color w:val="auto"/>
        </w:rPr>
        <w:fldChar w:fldCharType="begin"/>
      </w:r>
      <w:r>
        <w:rPr>
          <w:b/>
          <w:bCs/>
          <w:color w:val="auto"/>
        </w:rPr>
        <w:instrText xml:space="preserve"> HYPERLINK \l "_Toc11399" </w:instrText>
      </w:r>
      <w:r>
        <w:rPr>
          <w:b/>
          <w:bCs/>
          <w:color w:val="auto"/>
        </w:rPr>
        <w:fldChar w:fldCharType="separate"/>
      </w:r>
      <w:r>
        <w:rPr>
          <w:b/>
          <w:bCs/>
          <w:color w:val="auto"/>
        </w:rPr>
        <w:t>第三章 招标采购内容及服务要求</w:t>
      </w:r>
      <w:r>
        <w:rPr>
          <w:b/>
          <w:bCs/>
          <w:color w:val="auto"/>
        </w:rPr>
        <w:fldChar w:fldCharType="end"/>
      </w:r>
      <w:r>
        <w:rPr>
          <w:rFonts w:hint="eastAsia"/>
          <w:b/>
          <w:bCs/>
          <w:color w:val="auto"/>
          <w:lang w:val="en-US" w:eastAsia="zh-CN"/>
        </w:rPr>
        <w:t>.........................-48-</w:t>
      </w:r>
    </w:p>
    <w:p w14:paraId="0AD662C3">
      <w:pPr>
        <w:pStyle w:val="18"/>
        <w:pageBreakBefore w:val="0"/>
        <w:tabs>
          <w:tab w:val="right" w:leader="dot" w:pos="9750"/>
        </w:tabs>
        <w:topLinePunct w:val="0"/>
        <w:bidi w:val="0"/>
        <w:spacing w:before="0" w:line="600" w:lineRule="auto"/>
        <w:ind w:left="0" w:leftChars="0" w:right="0" w:rightChars="0" w:firstLine="562" w:firstLineChars="200"/>
        <w:jc w:val="left"/>
        <w:outlineLvl w:val="1"/>
        <w:rPr>
          <w:rFonts w:hint="default" w:eastAsia="宋体"/>
          <w:b/>
          <w:bCs/>
          <w:color w:val="auto"/>
          <w:lang w:val="en-US" w:eastAsia="zh-CN"/>
        </w:rPr>
      </w:pPr>
      <w:r>
        <w:rPr>
          <w:b/>
          <w:bCs/>
          <w:color w:val="auto"/>
        </w:rPr>
        <w:fldChar w:fldCharType="begin"/>
      </w:r>
      <w:r>
        <w:rPr>
          <w:b/>
          <w:bCs/>
          <w:color w:val="auto"/>
        </w:rPr>
        <w:instrText xml:space="preserve"> HYPERLINK \l "_Toc11111" </w:instrText>
      </w:r>
      <w:r>
        <w:rPr>
          <w:b/>
          <w:bCs/>
          <w:color w:val="auto"/>
        </w:rPr>
        <w:fldChar w:fldCharType="separate"/>
      </w:r>
      <w:r>
        <w:rPr>
          <w:rFonts w:hint="eastAsia"/>
          <w:b/>
          <w:bCs/>
          <w:color w:val="auto"/>
        </w:rPr>
        <w:t xml:space="preserve">第四章 </w:t>
      </w:r>
      <w:r>
        <w:rPr>
          <w:b/>
          <w:bCs/>
          <w:color w:val="auto"/>
        </w:rPr>
        <w:t>商务要求</w:t>
      </w:r>
      <w:r>
        <w:rPr>
          <w:b/>
          <w:bCs/>
          <w:color w:val="auto"/>
        </w:rPr>
        <w:fldChar w:fldCharType="end"/>
      </w:r>
      <w:r>
        <w:rPr>
          <w:rFonts w:hint="eastAsia"/>
          <w:b/>
          <w:bCs/>
          <w:color w:val="auto"/>
          <w:lang w:val="en-US" w:eastAsia="zh-CN"/>
        </w:rPr>
        <w:t>.......................................-68-</w:t>
      </w:r>
    </w:p>
    <w:p w14:paraId="3E7EF13C">
      <w:pPr>
        <w:pStyle w:val="18"/>
        <w:pageBreakBefore w:val="0"/>
        <w:tabs>
          <w:tab w:val="right" w:leader="dot" w:pos="9750"/>
        </w:tabs>
        <w:topLinePunct w:val="0"/>
        <w:bidi w:val="0"/>
        <w:spacing w:before="0" w:line="600" w:lineRule="auto"/>
        <w:ind w:left="0" w:leftChars="0" w:right="0" w:rightChars="0" w:firstLine="562" w:firstLineChars="200"/>
        <w:jc w:val="left"/>
        <w:outlineLvl w:val="1"/>
        <w:rPr>
          <w:rFonts w:hint="default" w:eastAsia="宋体"/>
          <w:b/>
          <w:bCs/>
          <w:color w:val="auto"/>
          <w:lang w:val="en-US" w:eastAsia="zh-CN"/>
        </w:rPr>
      </w:pPr>
      <w:r>
        <w:rPr>
          <w:b/>
          <w:bCs/>
          <w:color w:val="auto"/>
        </w:rPr>
        <w:fldChar w:fldCharType="begin"/>
      </w:r>
      <w:r>
        <w:rPr>
          <w:b/>
          <w:bCs/>
          <w:color w:val="auto"/>
        </w:rPr>
        <w:instrText xml:space="preserve"> HYPERLINK \l "_Toc11111" </w:instrText>
      </w:r>
      <w:r>
        <w:rPr>
          <w:b/>
          <w:bCs/>
          <w:color w:val="auto"/>
        </w:rPr>
        <w:fldChar w:fldCharType="separate"/>
      </w:r>
      <w:r>
        <w:rPr>
          <w:rFonts w:hint="eastAsia"/>
          <w:b/>
          <w:bCs/>
          <w:color w:val="auto"/>
        </w:rPr>
        <w:t>第</w:t>
      </w:r>
      <w:r>
        <w:rPr>
          <w:rFonts w:hint="eastAsia"/>
          <w:b/>
          <w:bCs/>
          <w:color w:val="auto"/>
          <w:lang w:val="en-US"/>
        </w:rPr>
        <w:t>五</w:t>
      </w:r>
      <w:r>
        <w:rPr>
          <w:rFonts w:hint="eastAsia"/>
          <w:b/>
          <w:bCs/>
          <w:color w:val="auto"/>
        </w:rPr>
        <w:t xml:space="preserve">章 </w:t>
      </w:r>
      <w:r>
        <w:rPr>
          <w:rFonts w:hint="eastAsia"/>
          <w:b/>
          <w:bCs/>
          <w:color w:val="auto"/>
          <w:lang w:val="en-US"/>
        </w:rPr>
        <w:t>合同主要条款（仅供参考）</w:t>
      </w:r>
      <w:r>
        <w:rPr>
          <w:rFonts w:hint="eastAsia"/>
          <w:b/>
          <w:bCs/>
          <w:color w:val="auto"/>
          <w:lang w:val="en-US"/>
        </w:rPr>
        <w:fldChar w:fldCharType="end"/>
      </w:r>
      <w:r>
        <w:rPr>
          <w:rFonts w:hint="eastAsia"/>
          <w:b/>
          <w:bCs/>
          <w:color w:val="auto"/>
          <w:lang w:val="en-US" w:eastAsia="zh-CN"/>
        </w:rPr>
        <w:t>.......................-72-</w:t>
      </w:r>
    </w:p>
    <w:p w14:paraId="3A704C02">
      <w:pPr>
        <w:pStyle w:val="18"/>
        <w:pageBreakBefore w:val="0"/>
        <w:tabs>
          <w:tab w:val="right" w:leader="dot" w:pos="9750"/>
        </w:tabs>
        <w:topLinePunct w:val="0"/>
        <w:bidi w:val="0"/>
        <w:spacing w:before="0" w:line="600" w:lineRule="auto"/>
        <w:ind w:left="0" w:leftChars="0" w:right="0" w:rightChars="0" w:firstLine="562" w:firstLineChars="200"/>
        <w:jc w:val="left"/>
        <w:outlineLvl w:val="1"/>
        <w:rPr>
          <w:rFonts w:hint="default" w:eastAsia="宋体"/>
          <w:b/>
          <w:bCs/>
          <w:color w:val="auto"/>
          <w:lang w:val="en-US" w:eastAsia="zh-CN"/>
        </w:rPr>
      </w:pPr>
      <w:r>
        <w:rPr>
          <w:b/>
          <w:bCs/>
          <w:color w:val="auto"/>
        </w:rPr>
        <w:fldChar w:fldCharType="begin"/>
      </w:r>
      <w:r>
        <w:rPr>
          <w:b/>
          <w:bCs/>
          <w:color w:val="auto"/>
        </w:rPr>
        <w:instrText xml:space="preserve"> HYPERLINK \l "_Toc32431" </w:instrText>
      </w:r>
      <w:r>
        <w:rPr>
          <w:b/>
          <w:bCs/>
          <w:color w:val="auto"/>
        </w:rPr>
        <w:fldChar w:fldCharType="separate"/>
      </w:r>
      <w:r>
        <w:rPr>
          <w:b/>
          <w:bCs/>
          <w:color w:val="auto"/>
        </w:rPr>
        <w:t>第六章 投标文件格式</w:t>
      </w:r>
      <w:r>
        <w:rPr>
          <w:rFonts w:hint="eastAsia"/>
          <w:b/>
          <w:bCs/>
          <w:color w:val="auto"/>
          <w:lang w:val="en-US"/>
        </w:rPr>
        <w:fldChar w:fldCharType="end"/>
      </w:r>
      <w:r>
        <w:rPr>
          <w:rFonts w:hint="eastAsia"/>
          <w:b/>
          <w:bCs/>
          <w:color w:val="auto"/>
          <w:lang w:val="en-US" w:eastAsia="zh-CN"/>
        </w:rPr>
        <w:t>...................................-78-</w:t>
      </w:r>
    </w:p>
    <w:p w14:paraId="1DA97133">
      <w:pPr>
        <w:pageBreakBefore w:val="0"/>
        <w:topLinePunct w:val="0"/>
        <w:bidi w:val="0"/>
        <w:spacing w:line="500" w:lineRule="exact"/>
        <w:ind w:left="0" w:leftChars="0" w:right="0" w:rightChars="0" w:firstLine="440" w:firstLineChars="200"/>
      </w:pPr>
      <w:bookmarkStart w:id="22" w:name="_GoBack"/>
      <w:bookmarkEnd w:id="22"/>
    </w:p>
    <w:p w14:paraId="3CD96BAD">
      <w:pPr>
        <w:pageBreakBefore w:val="0"/>
        <w:topLinePunct w:val="0"/>
        <w:bidi w:val="0"/>
        <w:spacing w:line="500" w:lineRule="exact"/>
        <w:ind w:left="0" w:leftChars="0" w:right="0" w:rightChars="0" w:firstLine="440" w:firstLineChars="200"/>
      </w:pPr>
    </w:p>
    <w:p w14:paraId="52868EEB">
      <w:pPr>
        <w:pageBreakBefore w:val="0"/>
        <w:topLinePunct w:val="0"/>
        <w:bidi w:val="0"/>
        <w:spacing w:line="500" w:lineRule="exact"/>
        <w:ind w:left="0" w:leftChars="0" w:right="0" w:rightChars="0" w:firstLine="440" w:firstLineChars="200"/>
      </w:pPr>
    </w:p>
    <w:p w14:paraId="1E45C955">
      <w:pPr>
        <w:pageBreakBefore w:val="0"/>
        <w:topLinePunct w:val="0"/>
        <w:bidi w:val="0"/>
        <w:spacing w:line="500" w:lineRule="exact"/>
        <w:ind w:left="0" w:leftChars="0" w:right="0" w:rightChars="0" w:firstLine="440" w:firstLineChars="200"/>
      </w:pPr>
    </w:p>
    <w:p w14:paraId="2C2D5B46">
      <w:pPr>
        <w:pageBreakBefore w:val="0"/>
        <w:topLinePunct w:val="0"/>
        <w:bidi w:val="0"/>
        <w:spacing w:line="500" w:lineRule="exact"/>
        <w:ind w:left="0" w:leftChars="0" w:right="0" w:rightChars="0" w:firstLine="440" w:firstLineChars="200"/>
      </w:pPr>
    </w:p>
    <w:p w14:paraId="3B69F5B6">
      <w:pPr>
        <w:pageBreakBefore w:val="0"/>
        <w:topLinePunct w:val="0"/>
        <w:bidi w:val="0"/>
        <w:spacing w:line="500" w:lineRule="exact"/>
        <w:ind w:left="0" w:leftChars="0" w:right="0" w:rightChars="0" w:firstLine="440" w:firstLineChars="200"/>
      </w:pPr>
    </w:p>
    <w:p w14:paraId="4134EF06">
      <w:pPr>
        <w:pageBreakBefore w:val="0"/>
        <w:topLinePunct w:val="0"/>
        <w:bidi w:val="0"/>
        <w:spacing w:line="500" w:lineRule="exact"/>
        <w:ind w:left="0" w:leftChars="0" w:right="0" w:rightChars="0" w:firstLine="440" w:firstLineChars="200"/>
      </w:pPr>
    </w:p>
    <w:p w14:paraId="579A5A7D">
      <w:pPr>
        <w:pageBreakBefore w:val="0"/>
        <w:topLinePunct w:val="0"/>
        <w:bidi w:val="0"/>
        <w:spacing w:line="500" w:lineRule="exact"/>
        <w:ind w:left="0" w:leftChars="0" w:right="0" w:rightChars="0" w:firstLine="440" w:firstLineChars="200"/>
      </w:pPr>
    </w:p>
    <w:p w14:paraId="4B2FDEE1">
      <w:pPr>
        <w:pageBreakBefore w:val="0"/>
        <w:topLinePunct w:val="0"/>
        <w:bidi w:val="0"/>
        <w:spacing w:line="500" w:lineRule="exact"/>
        <w:ind w:left="0" w:leftChars="0" w:right="0" w:rightChars="0" w:firstLine="440" w:firstLineChars="200"/>
      </w:pPr>
    </w:p>
    <w:p w14:paraId="7281D22C">
      <w:pPr>
        <w:pageBreakBefore w:val="0"/>
        <w:topLinePunct w:val="0"/>
        <w:bidi w:val="0"/>
        <w:spacing w:line="500" w:lineRule="exact"/>
        <w:ind w:left="0" w:leftChars="0" w:right="0" w:rightChars="0" w:firstLine="440" w:firstLineChars="200"/>
      </w:pPr>
    </w:p>
    <w:p w14:paraId="18BF8E50">
      <w:pPr>
        <w:pageBreakBefore w:val="0"/>
        <w:topLinePunct w:val="0"/>
        <w:bidi w:val="0"/>
        <w:spacing w:line="500" w:lineRule="exact"/>
        <w:ind w:left="0" w:leftChars="0" w:right="0" w:rightChars="0" w:firstLine="440" w:firstLineChars="200"/>
      </w:pPr>
    </w:p>
    <w:p w14:paraId="73B702E8">
      <w:pPr>
        <w:pageBreakBefore w:val="0"/>
        <w:topLinePunct w:val="0"/>
        <w:bidi w:val="0"/>
        <w:spacing w:line="500" w:lineRule="exact"/>
        <w:ind w:left="0" w:leftChars="0" w:right="0" w:rightChars="0" w:firstLine="440" w:firstLineChars="200"/>
      </w:pPr>
    </w:p>
    <w:p w14:paraId="526EB2E3">
      <w:pPr>
        <w:pageBreakBefore w:val="0"/>
        <w:topLinePunct w:val="0"/>
        <w:bidi w:val="0"/>
        <w:spacing w:line="500" w:lineRule="exact"/>
        <w:ind w:right="0" w:rightChars="0"/>
        <w:jc w:val="left"/>
        <w:sectPr>
          <w:footerReference r:id="rId8" w:type="default"/>
          <w:pgSz w:w="11910" w:h="16840"/>
          <w:pgMar w:top="1270" w:right="1080" w:bottom="1213" w:left="969" w:header="57" w:footer="0" w:gutter="0"/>
          <w:pgNumType w:fmt="decimal" w:start="1"/>
          <w:cols w:space="720" w:num="1"/>
        </w:sectPr>
      </w:pPr>
      <w:bookmarkStart w:id="0" w:name="第一章_招标公告"/>
      <w:bookmarkEnd w:id="0"/>
      <w:bookmarkStart w:id="1" w:name="_Toc12699"/>
    </w:p>
    <w:p w14:paraId="17561915">
      <w:pPr>
        <w:pStyle w:val="2"/>
        <w:pageBreakBefore w:val="0"/>
        <w:topLinePunct w:val="0"/>
        <w:bidi w:val="0"/>
        <w:spacing w:before="0" w:line="500" w:lineRule="exact"/>
        <w:ind w:left="0" w:leftChars="0" w:right="0" w:rightChars="0" w:firstLine="723" w:firstLineChars="200"/>
      </w:pPr>
      <w:r>
        <w:t>第</w:t>
      </w:r>
      <w:r>
        <w:rPr>
          <w:rFonts w:hint="eastAsia"/>
        </w:rPr>
        <w:t>一</w:t>
      </w:r>
      <w:r>
        <w:t>章 招标公告</w:t>
      </w:r>
      <w:bookmarkEnd w:id="1"/>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9563"/>
      </w:tblGrid>
      <w:tr w14:paraId="3DE98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563" w:type="dxa"/>
          </w:tcPr>
          <w:p w14:paraId="4FC3988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150" w:beforeAutospacing="0" w:after="150" w:afterAutospacing="0" w:line="400" w:lineRule="exact"/>
              <w:ind w:left="0" w:right="0"/>
              <w:jc w:val="left"/>
              <w:textAlignment w:val="baseline"/>
              <w:rPr>
                <w:rFonts w:hint="eastAsia" w:ascii="宋体" w:hAnsi="宋体" w:eastAsia="宋体" w:cs="宋体"/>
                <w:b w:val="0"/>
                <w:bCs w:val="0"/>
                <w:sz w:val="24"/>
                <w:szCs w:val="24"/>
              </w:rPr>
            </w:pPr>
            <w:bookmarkStart w:id="2" w:name="第二章_投标须知"/>
            <w:bookmarkEnd w:id="2"/>
            <w:bookmarkStart w:id="3" w:name="_Toc25930"/>
            <w:r>
              <w:rPr>
                <w:rStyle w:val="26"/>
                <w:rFonts w:hint="eastAsia" w:ascii="宋体" w:hAnsi="宋体" w:eastAsia="宋体" w:cs="宋体"/>
                <w:b/>
                <w:bCs/>
                <w:i w:val="0"/>
                <w:iCs w:val="0"/>
                <w:caps w:val="0"/>
                <w:color w:val="333333"/>
                <w:spacing w:val="0"/>
                <w:sz w:val="24"/>
                <w:szCs w:val="24"/>
                <w:shd w:val="clear" w:fill="FFFFFF"/>
                <w:vertAlign w:val="baseline"/>
              </w:rPr>
              <w:t>项目概况</w:t>
            </w:r>
          </w:p>
          <w:p w14:paraId="128DB9C2">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150" w:beforeAutospacing="0" w:after="150" w:afterAutospacing="0" w:line="400" w:lineRule="exact"/>
              <w:ind w:left="0" w:right="0" w:firstLine="480"/>
              <w:jc w:val="both"/>
              <w:textAlignment w:val="baseline"/>
              <w:rPr>
                <w:rStyle w:val="26"/>
                <w:rFonts w:hint="eastAsia" w:ascii="宋体" w:hAnsi="宋体" w:eastAsia="宋体" w:cs="宋体"/>
                <w:b/>
                <w:bCs/>
                <w:i w:val="0"/>
                <w:iCs w:val="0"/>
                <w:caps w:val="0"/>
                <w:color w:val="333333"/>
                <w:spacing w:val="0"/>
                <w:sz w:val="24"/>
                <w:szCs w:val="24"/>
                <w:bdr w:val="none" w:color="auto" w:sz="0" w:space="0"/>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汉滨区2026－2027学年度中小学幼儿园大宗食材及原辅材料配送项目招标采购(二次)招标项目的潜在投标人应在全国公共资源交易中心平台（陕西省安康市）获取招标文件，并于2026年08月28日14时00分（北京时间）前递交投标文件。</w:t>
            </w:r>
          </w:p>
        </w:tc>
      </w:tr>
    </w:tbl>
    <w:p w14:paraId="64BFE7A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150" w:beforeAutospacing="0" w:after="0" w:afterAutospacing="0" w:line="400" w:lineRule="exact"/>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26"/>
          <w:rFonts w:hint="eastAsia" w:ascii="宋体" w:hAnsi="宋体" w:eastAsia="宋体" w:cs="宋体"/>
          <w:b/>
          <w:bCs/>
          <w:i w:val="0"/>
          <w:iCs w:val="0"/>
          <w:caps w:val="0"/>
          <w:color w:val="333333"/>
          <w:spacing w:val="0"/>
          <w:sz w:val="24"/>
          <w:szCs w:val="24"/>
          <w:bdr w:val="none" w:color="auto" w:sz="0" w:space="0"/>
          <w:shd w:val="clear" w:fill="FFFFFF"/>
          <w:vertAlign w:val="baseline"/>
        </w:rPr>
        <w:t>一、项目基本情况</w:t>
      </w:r>
    </w:p>
    <w:p w14:paraId="034A2CB8">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项目编号：ZKJWCG-20260702.1.2.5B1</w:t>
      </w:r>
    </w:p>
    <w:p w14:paraId="35ABD4AF">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项目名称：汉滨区2026－2027学年度中小学幼儿园大宗食材及原辅材料配送项目招标采购(二次)</w:t>
      </w:r>
    </w:p>
    <w:p w14:paraId="064B4CEC">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采购方式：公开招标</w:t>
      </w:r>
    </w:p>
    <w:p w14:paraId="2137E293">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预算金额：15,436,600.00元</w:t>
      </w:r>
    </w:p>
    <w:p w14:paraId="57EF15F5">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采购需求：</w:t>
      </w:r>
    </w:p>
    <w:p w14:paraId="40733335">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合同包1(A片区米面油、牛奶采购):</w:t>
      </w:r>
    </w:p>
    <w:p w14:paraId="2C7A7C93">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合同包预算金额：4,325,900.00元</w:t>
      </w:r>
    </w:p>
    <w:p w14:paraId="1B550907">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合同包最高限价：4,325,900.00元</w:t>
      </w:r>
    </w:p>
    <w:tbl>
      <w:tblPr>
        <w:tblW w:w="97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698"/>
        <w:gridCol w:w="2599"/>
        <w:gridCol w:w="2277"/>
        <w:gridCol w:w="903"/>
        <w:gridCol w:w="1621"/>
        <w:gridCol w:w="1680"/>
      </w:tblGrid>
      <w:tr w14:paraId="13FB5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948" w:hRule="atLeast"/>
          <w:tblHeader/>
        </w:trPr>
        <w:tc>
          <w:tcPr>
            <w:tcW w:w="73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1970060">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品目号</w:t>
            </w:r>
          </w:p>
        </w:tc>
        <w:tc>
          <w:tcPr>
            <w:tcW w:w="258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684198E">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品目名称</w:t>
            </w:r>
          </w:p>
        </w:tc>
        <w:tc>
          <w:tcPr>
            <w:tcW w:w="254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3F03F0B">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采购标的</w:t>
            </w:r>
          </w:p>
        </w:tc>
        <w:tc>
          <w:tcPr>
            <w:tcW w:w="93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AADC8A5">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数量（单位）</w:t>
            </w:r>
          </w:p>
        </w:tc>
        <w:tc>
          <w:tcPr>
            <w:tcW w:w="175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5E46965">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技术规格、参数及要求</w:t>
            </w:r>
          </w:p>
        </w:tc>
        <w:tc>
          <w:tcPr>
            <w:tcW w:w="123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6862398">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品目预算(元)</w:t>
            </w:r>
          </w:p>
        </w:tc>
      </w:tr>
      <w:tr w14:paraId="43E43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685"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929BC26">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5186A95">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谷物细粉</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AB39574">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大米</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711E4FA">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108A928">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E74E6C4">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vertAlign w:val="baseline"/>
                <w:lang w:val="en-US" w:eastAsia="zh-CN" w:bidi="ar"/>
              </w:rPr>
              <w:t>2,013,300.00</w:t>
            </w:r>
          </w:p>
        </w:tc>
      </w:tr>
      <w:tr w14:paraId="215DC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685"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50B8346">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1-2</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5D6BDEE">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碾磨谷物及谷物加工品</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5B3E454">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面粉及面制品</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436CBB2">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12E68F9">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BAEA9E4">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vertAlign w:val="baseline"/>
                <w:lang w:val="en-US" w:eastAsia="zh-CN" w:bidi="ar"/>
              </w:rPr>
              <w:t>760,200.00</w:t>
            </w:r>
          </w:p>
        </w:tc>
      </w:tr>
      <w:tr w14:paraId="36D5C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685"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33F2256">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1-3</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956066C">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植物油及其制品</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0345CCA">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菜籽油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90D37A5">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42CF589">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D0FB545">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vertAlign w:val="baseline"/>
                <w:lang w:val="en-US" w:eastAsia="zh-CN" w:bidi="ar"/>
              </w:rPr>
              <w:t>1,092,400.00</w:t>
            </w:r>
          </w:p>
        </w:tc>
      </w:tr>
      <w:tr w14:paraId="0E96E6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685"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47509FD">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1-4</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A13BF01">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薯、豆、相关植物加工品</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0FBD484">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杂粮</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D0E3839">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1078725">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AA70C2A">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vertAlign w:val="baseline"/>
                <w:lang w:val="en-US" w:eastAsia="zh-CN" w:bidi="ar"/>
              </w:rPr>
              <w:t>80,000.00</w:t>
            </w:r>
          </w:p>
        </w:tc>
      </w:tr>
      <w:tr w14:paraId="48C8D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701"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B91BA5B">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1-5</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DCF7F35">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乳制品</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BD9E4AC">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纯牛奶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F583609">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0D90F98">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9F1481A">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vertAlign w:val="baseline"/>
                <w:lang w:val="en-US" w:eastAsia="zh-CN" w:bidi="ar"/>
              </w:rPr>
              <w:t>380,000.00</w:t>
            </w:r>
          </w:p>
        </w:tc>
      </w:tr>
    </w:tbl>
    <w:p w14:paraId="0455C9DB">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本合同包不接受联合体投标</w:t>
      </w:r>
    </w:p>
    <w:p w14:paraId="07FF5AEB">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合同履行期限：一学年</w:t>
      </w:r>
    </w:p>
    <w:p w14:paraId="6C6CFEFF">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合同包2(A片区肉蛋禽采购):</w:t>
      </w:r>
    </w:p>
    <w:p w14:paraId="73BEA480">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合同包预算金额：5,573,400.00元</w:t>
      </w:r>
    </w:p>
    <w:p w14:paraId="0EB142E6">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合同包最高限价：5,573,400.00元</w:t>
      </w:r>
    </w:p>
    <w:tbl>
      <w:tblPr>
        <w:tblW w:w="97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708"/>
        <w:gridCol w:w="2375"/>
        <w:gridCol w:w="2375"/>
        <w:gridCol w:w="910"/>
        <w:gridCol w:w="1668"/>
        <w:gridCol w:w="1681"/>
      </w:tblGrid>
      <w:tr w14:paraId="55F11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1019" w:hRule="atLeast"/>
          <w:tblHeader/>
        </w:trPr>
        <w:tc>
          <w:tcPr>
            <w:tcW w:w="72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47E3C30">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品目号</w:t>
            </w:r>
          </w:p>
        </w:tc>
        <w:tc>
          <w:tcPr>
            <w:tcW w:w="254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CB02376">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品目名称</w:t>
            </w:r>
          </w:p>
        </w:tc>
        <w:tc>
          <w:tcPr>
            <w:tcW w:w="254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227E787">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采购标的</w:t>
            </w:r>
          </w:p>
        </w:tc>
        <w:tc>
          <w:tcPr>
            <w:tcW w:w="92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2463434">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数量（单位）</w:t>
            </w:r>
          </w:p>
        </w:tc>
        <w:tc>
          <w:tcPr>
            <w:tcW w:w="175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E89D978">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技术规格、参数及要求</w:t>
            </w:r>
          </w:p>
        </w:tc>
        <w:tc>
          <w:tcPr>
            <w:tcW w:w="122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FDB1F42">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品目预算(元)</w:t>
            </w:r>
          </w:p>
        </w:tc>
      </w:tr>
      <w:tr w14:paraId="2AF5B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736"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C567CF9">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2-1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2322813">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畜禽肉</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FF94B16">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肉类食材</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6D28C79">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A3D11E8">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148ED16">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vertAlign w:val="baseline"/>
                <w:lang w:val="en-US" w:eastAsia="zh-CN" w:bidi="ar"/>
              </w:rPr>
              <w:t>4,915,700.00</w:t>
            </w:r>
          </w:p>
        </w:tc>
      </w:tr>
      <w:tr w14:paraId="6304F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753"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6D7AAAE">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2-2</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76D0085">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禽蛋</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690F621">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鸡蛋</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C580A1C">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691010E">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BF8F5CB">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vertAlign w:val="baseline"/>
                <w:lang w:val="en-US" w:eastAsia="zh-CN" w:bidi="ar"/>
              </w:rPr>
              <w:t>657,700.00</w:t>
            </w:r>
          </w:p>
        </w:tc>
      </w:tr>
    </w:tbl>
    <w:p w14:paraId="20F81BAA">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本合同包不接受联合体投标</w:t>
      </w:r>
    </w:p>
    <w:p w14:paraId="035EA19E">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合同履行期限：一学年</w:t>
      </w:r>
    </w:p>
    <w:p w14:paraId="76F8B867">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合同包3(B片区肉蛋禽采购):</w:t>
      </w:r>
    </w:p>
    <w:p w14:paraId="6A37909F">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合同包预算金额：5,537,300.00元</w:t>
      </w:r>
    </w:p>
    <w:p w14:paraId="7DBEF4C0">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合同包最高限价：5,537,300.00元</w:t>
      </w:r>
    </w:p>
    <w:tbl>
      <w:tblPr>
        <w:tblW w:w="97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708"/>
        <w:gridCol w:w="2375"/>
        <w:gridCol w:w="2375"/>
        <w:gridCol w:w="910"/>
        <w:gridCol w:w="1668"/>
        <w:gridCol w:w="1681"/>
      </w:tblGrid>
      <w:tr w14:paraId="53327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42" w:hRule="atLeast"/>
          <w:tblHeader/>
        </w:trPr>
        <w:tc>
          <w:tcPr>
            <w:tcW w:w="72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5BBBA60">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品目号</w:t>
            </w:r>
          </w:p>
        </w:tc>
        <w:tc>
          <w:tcPr>
            <w:tcW w:w="254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AFE2D47">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品目名称</w:t>
            </w:r>
          </w:p>
        </w:tc>
        <w:tc>
          <w:tcPr>
            <w:tcW w:w="254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CB281EB">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采购标的</w:t>
            </w:r>
          </w:p>
        </w:tc>
        <w:tc>
          <w:tcPr>
            <w:tcW w:w="92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5659C9F">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数量（单位）</w:t>
            </w:r>
          </w:p>
        </w:tc>
        <w:tc>
          <w:tcPr>
            <w:tcW w:w="175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2835630">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技术规格、参数及要求</w:t>
            </w:r>
          </w:p>
        </w:tc>
        <w:tc>
          <w:tcPr>
            <w:tcW w:w="122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67D3E04">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品目预算(元)</w:t>
            </w:r>
          </w:p>
        </w:tc>
      </w:tr>
      <w:tr w14:paraId="2CBC6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752"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B73CD4D">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3-1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553F594">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畜禽肉</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2E12BA2">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肉类食材</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8FCD0D4">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4B4477F">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6FBE1F0">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vertAlign w:val="baseline"/>
                <w:lang w:val="en-US" w:eastAsia="zh-CN" w:bidi="ar"/>
              </w:rPr>
              <w:t>4,887,300.00</w:t>
            </w:r>
          </w:p>
        </w:tc>
      </w:tr>
      <w:tr w14:paraId="0CE93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77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6B33CB6">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3-2</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8AF42AA">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禽蛋</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615F259">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鸡蛋</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75A568B">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4D45019">
            <w:pPr>
              <w:keepNext w:val="0"/>
              <w:keepLines w:val="0"/>
              <w:pageBreakBefore w:val="0"/>
              <w:widowControl/>
              <w:suppressLineNumbers w:val="0"/>
              <w:kinsoku/>
              <w:wordWrap w:val="0"/>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BC26258">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vertAlign w:val="baseline"/>
                <w:lang w:val="en-US" w:eastAsia="zh-CN" w:bidi="ar"/>
              </w:rPr>
              <w:t>650,000.00</w:t>
            </w:r>
          </w:p>
        </w:tc>
      </w:tr>
    </w:tbl>
    <w:p w14:paraId="712DFB54">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本合同包不接受联合体投标</w:t>
      </w:r>
    </w:p>
    <w:p w14:paraId="2C75A2DD">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合同履行期限：一学年</w:t>
      </w:r>
    </w:p>
    <w:p w14:paraId="5C32592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150" w:beforeAutospacing="0" w:after="0" w:afterAutospacing="0" w:line="400" w:lineRule="exact"/>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26"/>
          <w:rFonts w:hint="eastAsia" w:ascii="宋体" w:hAnsi="宋体" w:eastAsia="宋体" w:cs="宋体"/>
          <w:b/>
          <w:bCs/>
          <w:i w:val="0"/>
          <w:iCs w:val="0"/>
          <w:caps w:val="0"/>
          <w:color w:val="333333"/>
          <w:spacing w:val="0"/>
          <w:sz w:val="24"/>
          <w:szCs w:val="24"/>
          <w:bdr w:val="none" w:color="auto" w:sz="0" w:space="0"/>
          <w:shd w:val="clear" w:fill="FFFFFF"/>
          <w:vertAlign w:val="baseline"/>
        </w:rPr>
        <w:t>二、申请人的资格要求：</w:t>
      </w:r>
    </w:p>
    <w:p w14:paraId="57501AF3">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1.满足《中华人民共和国政府采购法》第二十二条规定;</w:t>
      </w:r>
    </w:p>
    <w:p w14:paraId="5227899B">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2.落实政府采购政策需满足的资格要求：</w:t>
      </w:r>
    </w:p>
    <w:p w14:paraId="010C58DD">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合同包1(A片区米面油、牛奶采购)落实政府采购政策需满足的资格要求如下:</w:t>
      </w:r>
    </w:p>
    <w:p w14:paraId="296807AF">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480" w:right="0" w:firstLine="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非专门面向中小企业采购。</w:t>
      </w:r>
    </w:p>
    <w:p w14:paraId="248486A0">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合同包2(A片区肉蛋禽采购)落实政府采购政策需满足的资格要求如下:</w:t>
      </w:r>
    </w:p>
    <w:p w14:paraId="101FF26A">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480" w:right="0" w:firstLine="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非专门面向中小企业采购。</w:t>
      </w:r>
    </w:p>
    <w:p w14:paraId="58CD1C6C">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合同包3(B片区肉蛋禽采购)落实政府采购政策需满足的资格要求如下:</w:t>
      </w:r>
    </w:p>
    <w:p w14:paraId="511F5F5B">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480" w:right="0" w:firstLine="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非专门面向中小企业采购。</w:t>
      </w:r>
    </w:p>
    <w:p w14:paraId="44E4D5EF">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3.本项目的特定资格要求：</w:t>
      </w:r>
    </w:p>
    <w:p w14:paraId="43349E7E">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合同包1(A片区米面油、牛奶采购)特定资格要求如下:</w:t>
      </w:r>
    </w:p>
    <w:p w14:paraId="2572EDE0">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480" w:right="0" w:firstLine="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（1）具有独立承担民事责任的能力，提供营业执照、税务登记证、组织机构代码证或登载有统一社会信用代码的营业执照（或《事业单位法人证书》或其他合法组织登记证书、自然人只须提供身份证）；</w:t>
      </w:r>
      <w:r>
        <w:rPr>
          <w:rFonts w:hint="eastAsia" w:ascii="宋体" w:hAnsi="宋体" w:eastAsia="宋体" w:cs="宋体"/>
          <w:i w:val="0"/>
          <w:iCs w:val="0"/>
          <w:caps w:val="0"/>
          <w:color w:val="333333"/>
          <w:spacing w:val="0"/>
          <w:sz w:val="24"/>
          <w:szCs w:val="24"/>
          <w:bdr w:val="none" w:color="auto" w:sz="0" w:space="0"/>
          <w:shd w:val="clear" w:fill="FFFFFF"/>
          <w:vertAlign w:val="baseline"/>
        </w:rPr>
        <w:br w:type="textWrapping"/>
      </w:r>
      <w:r>
        <w:rPr>
          <w:rFonts w:hint="eastAsia" w:ascii="宋体" w:hAnsi="宋体" w:eastAsia="宋体" w:cs="宋体"/>
          <w:i w:val="0"/>
          <w:iCs w:val="0"/>
          <w:caps w:val="0"/>
          <w:color w:val="333333"/>
          <w:spacing w:val="0"/>
          <w:sz w:val="24"/>
          <w:szCs w:val="24"/>
          <w:bdr w:val="none" w:color="auto" w:sz="0" w:space="0"/>
          <w:shd w:val="clear" w:fill="FFFFFF"/>
          <w:vertAlign w:val="baseline"/>
        </w:rPr>
        <w:t>（2）提供法定代表人授权书（附法定代表人身份证复印件）及被授权代理人身份证复印件（法定代表人直接参加时只需提供法定代表人身份证复印件）；</w:t>
      </w:r>
      <w:r>
        <w:rPr>
          <w:rFonts w:hint="eastAsia" w:ascii="宋体" w:hAnsi="宋体" w:eastAsia="宋体" w:cs="宋体"/>
          <w:i w:val="0"/>
          <w:iCs w:val="0"/>
          <w:caps w:val="0"/>
          <w:color w:val="333333"/>
          <w:spacing w:val="0"/>
          <w:sz w:val="24"/>
          <w:szCs w:val="24"/>
          <w:bdr w:val="none" w:color="auto" w:sz="0" w:space="0"/>
          <w:shd w:val="clear" w:fill="FFFFFF"/>
          <w:vertAlign w:val="baseline"/>
        </w:rPr>
        <w:br w:type="textWrapping"/>
      </w:r>
      <w:r>
        <w:rPr>
          <w:rFonts w:hint="eastAsia" w:ascii="宋体" w:hAnsi="宋体" w:eastAsia="宋体" w:cs="宋体"/>
          <w:i w:val="0"/>
          <w:iCs w:val="0"/>
          <w:caps w:val="0"/>
          <w:color w:val="333333"/>
          <w:spacing w:val="0"/>
          <w:sz w:val="24"/>
          <w:szCs w:val="24"/>
          <w:bdr w:val="none" w:color="auto" w:sz="0" w:space="0"/>
          <w:shd w:val="clear" w:fill="FFFFFF"/>
          <w:vertAlign w:val="baseline"/>
        </w:rPr>
        <w:t>（3）供应商若为生产厂家的须提供《食品生产许可证》；供应商为代理商的须提供《食品经营许可证》或《陕西省仅销售预包装食品经营者备案表》，并提供生产厂家的《食品生产许可证》（复印件加盖生产厂家公章）；</w:t>
      </w:r>
      <w:r>
        <w:rPr>
          <w:rFonts w:hint="eastAsia" w:ascii="宋体" w:hAnsi="宋体" w:eastAsia="宋体" w:cs="宋体"/>
          <w:i w:val="0"/>
          <w:iCs w:val="0"/>
          <w:caps w:val="0"/>
          <w:color w:val="333333"/>
          <w:spacing w:val="0"/>
          <w:sz w:val="24"/>
          <w:szCs w:val="24"/>
          <w:bdr w:val="none" w:color="auto" w:sz="0" w:space="0"/>
          <w:shd w:val="clear" w:fill="FFFFFF"/>
          <w:vertAlign w:val="baseline"/>
        </w:rPr>
        <w:br w:type="textWrapping"/>
      </w:r>
      <w:r>
        <w:rPr>
          <w:rFonts w:hint="eastAsia" w:ascii="宋体" w:hAnsi="宋体" w:eastAsia="宋体" w:cs="宋体"/>
          <w:i w:val="0"/>
          <w:iCs w:val="0"/>
          <w:caps w:val="0"/>
          <w:color w:val="333333"/>
          <w:spacing w:val="0"/>
          <w:sz w:val="24"/>
          <w:szCs w:val="24"/>
          <w:bdr w:val="none" w:color="auto" w:sz="0" w:space="0"/>
          <w:shd w:val="clear" w:fill="FFFFFF"/>
          <w:vertAlign w:val="baseline"/>
        </w:rPr>
        <w:t>（4）财务状况报告：提供2025年的财务审计报告（成立时间至提交响应文件截止时间不足1年的可提供成立后任意时段的资产负债表）或其基本存款账户开户银行出具的资信证明；</w:t>
      </w:r>
      <w:r>
        <w:rPr>
          <w:rFonts w:hint="eastAsia" w:ascii="宋体" w:hAnsi="宋体" w:eastAsia="宋体" w:cs="宋体"/>
          <w:i w:val="0"/>
          <w:iCs w:val="0"/>
          <w:caps w:val="0"/>
          <w:color w:val="333333"/>
          <w:spacing w:val="0"/>
          <w:sz w:val="24"/>
          <w:szCs w:val="24"/>
          <w:bdr w:val="none" w:color="auto" w:sz="0" w:space="0"/>
          <w:shd w:val="clear" w:fill="FFFFFF"/>
          <w:vertAlign w:val="baseline"/>
        </w:rPr>
        <w:br w:type="textWrapping"/>
      </w:r>
      <w:r>
        <w:rPr>
          <w:rFonts w:hint="eastAsia" w:ascii="宋体" w:hAnsi="宋体" w:eastAsia="宋体" w:cs="宋体"/>
          <w:i w:val="0"/>
          <w:iCs w:val="0"/>
          <w:caps w:val="0"/>
          <w:color w:val="333333"/>
          <w:spacing w:val="0"/>
          <w:sz w:val="24"/>
          <w:szCs w:val="24"/>
          <w:bdr w:val="none" w:color="auto" w:sz="0" w:space="0"/>
          <w:shd w:val="clear" w:fill="FFFFFF"/>
          <w:vertAlign w:val="baseline"/>
        </w:rPr>
        <w:t>（5）税收缴纳证明：提供2026年1月至今已缴纳的至少一个月的纳税证明或完税证明，依法免税的单位应提供相关证明材料；</w:t>
      </w:r>
      <w:r>
        <w:rPr>
          <w:rFonts w:hint="eastAsia" w:ascii="宋体" w:hAnsi="宋体" w:eastAsia="宋体" w:cs="宋体"/>
          <w:i w:val="0"/>
          <w:iCs w:val="0"/>
          <w:caps w:val="0"/>
          <w:color w:val="333333"/>
          <w:spacing w:val="0"/>
          <w:sz w:val="24"/>
          <w:szCs w:val="24"/>
          <w:bdr w:val="none" w:color="auto" w:sz="0" w:space="0"/>
          <w:shd w:val="clear" w:fill="FFFFFF"/>
          <w:vertAlign w:val="baseline"/>
        </w:rPr>
        <w:br w:type="textWrapping"/>
      </w:r>
      <w:r>
        <w:rPr>
          <w:rFonts w:hint="eastAsia" w:ascii="宋体" w:hAnsi="宋体" w:eastAsia="宋体" w:cs="宋体"/>
          <w:i w:val="0"/>
          <w:iCs w:val="0"/>
          <w:caps w:val="0"/>
          <w:color w:val="333333"/>
          <w:spacing w:val="0"/>
          <w:sz w:val="24"/>
          <w:szCs w:val="24"/>
          <w:bdr w:val="none" w:color="auto" w:sz="0" w:space="0"/>
          <w:shd w:val="clear" w:fill="FFFFFF"/>
          <w:vertAlign w:val="baseline"/>
        </w:rPr>
        <w:t>（6）社保缴纳证明：提供2026年1月至今至少一个月的社会保障资金缴纳单据或社保机构开具的社会保险参保缴费情况证明，依法不需要缴纳社会保障资金的应提供相关证明材料；</w:t>
      </w:r>
      <w:r>
        <w:rPr>
          <w:rFonts w:hint="eastAsia" w:ascii="宋体" w:hAnsi="宋体" w:eastAsia="宋体" w:cs="宋体"/>
          <w:i w:val="0"/>
          <w:iCs w:val="0"/>
          <w:caps w:val="0"/>
          <w:color w:val="333333"/>
          <w:spacing w:val="0"/>
          <w:sz w:val="24"/>
          <w:szCs w:val="24"/>
          <w:bdr w:val="none" w:color="auto" w:sz="0" w:space="0"/>
          <w:shd w:val="clear" w:fill="FFFFFF"/>
          <w:vertAlign w:val="baseline"/>
        </w:rPr>
        <w:br w:type="textWrapping"/>
      </w:r>
      <w:r>
        <w:rPr>
          <w:rFonts w:hint="eastAsia" w:ascii="宋体" w:hAnsi="宋体" w:eastAsia="宋体" w:cs="宋体"/>
          <w:i w:val="0"/>
          <w:iCs w:val="0"/>
          <w:caps w:val="0"/>
          <w:color w:val="333333"/>
          <w:spacing w:val="0"/>
          <w:sz w:val="24"/>
          <w:szCs w:val="24"/>
          <w:bdr w:val="none" w:color="auto" w:sz="0" w:space="0"/>
          <w:shd w:val="clear" w:fill="FFFFFF"/>
          <w:vertAlign w:val="baseline"/>
        </w:rPr>
        <w:t>（7）供应商须提供具备履行合同所必需的设备和专业技术能力的证明材料；</w:t>
      </w:r>
      <w:r>
        <w:rPr>
          <w:rFonts w:hint="eastAsia" w:ascii="宋体" w:hAnsi="宋体" w:eastAsia="宋体" w:cs="宋体"/>
          <w:i w:val="0"/>
          <w:iCs w:val="0"/>
          <w:caps w:val="0"/>
          <w:color w:val="333333"/>
          <w:spacing w:val="0"/>
          <w:sz w:val="24"/>
          <w:szCs w:val="24"/>
          <w:bdr w:val="none" w:color="auto" w:sz="0" w:space="0"/>
          <w:shd w:val="clear" w:fill="FFFFFF"/>
          <w:vertAlign w:val="baseline"/>
        </w:rPr>
        <w:br w:type="textWrapping"/>
      </w:r>
      <w:r>
        <w:rPr>
          <w:rFonts w:hint="eastAsia" w:ascii="宋体" w:hAnsi="宋体" w:eastAsia="宋体" w:cs="宋体"/>
          <w:i w:val="0"/>
          <w:iCs w:val="0"/>
          <w:caps w:val="0"/>
          <w:color w:val="333333"/>
          <w:spacing w:val="0"/>
          <w:sz w:val="24"/>
          <w:szCs w:val="24"/>
          <w:bdr w:val="none" w:color="auto" w:sz="0" w:space="0"/>
          <w:shd w:val="clear" w:fill="FFFFFF"/>
          <w:vertAlign w:val="baseline"/>
        </w:rPr>
        <w:t>（8）供应商必须提供参加政府采购活动近3年内在经营活动中没有重大违法记录的、未发生食品安全事故的书面声明；</w:t>
      </w:r>
      <w:r>
        <w:rPr>
          <w:rFonts w:hint="eastAsia" w:ascii="宋体" w:hAnsi="宋体" w:eastAsia="宋体" w:cs="宋体"/>
          <w:i w:val="0"/>
          <w:iCs w:val="0"/>
          <w:caps w:val="0"/>
          <w:color w:val="333333"/>
          <w:spacing w:val="0"/>
          <w:sz w:val="24"/>
          <w:szCs w:val="24"/>
          <w:bdr w:val="none" w:color="auto" w:sz="0" w:space="0"/>
          <w:shd w:val="clear" w:fill="FFFFFF"/>
          <w:vertAlign w:val="baseline"/>
        </w:rPr>
        <w:br w:type="textWrapping"/>
      </w:r>
      <w:r>
        <w:rPr>
          <w:rFonts w:hint="eastAsia" w:ascii="宋体" w:hAnsi="宋体" w:eastAsia="宋体" w:cs="宋体"/>
          <w:i w:val="0"/>
          <w:iCs w:val="0"/>
          <w:caps w:val="0"/>
          <w:color w:val="333333"/>
          <w:spacing w:val="0"/>
          <w:sz w:val="24"/>
          <w:szCs w:val="24"/>
          <w:bdr w:val="none" w:color="auto" w:sz="0" w:space="0"/>
          <w:shd w:val="clear" w:fill="FFFFFF"/>
          <w:vertAlign w:val="baseline"/>
        </w:rPr>
        <w:t>（9）供应商通过“信用中国”网站（www.creditchina.gov.cn）和中国政府采购网（www.ccgp.gov.cn）等渠道查询相关主体信用记录，对列入失信被执行人、重大税收违法失信主体、政府采购严重违法失信行为记录名单的供应商，将拒绝其参与政府采购活动；</w:t>
      </w:r>
      <w:r>
        <w:rPr>
          <w:rFonts w:hint="eastAsia" w:ascii="宋体" w:hAnsi="宋体" w:eastAsia="宋体" w:cs="宋体"/>
          <w:i w:val="0"/>
          <w:iCs w:val="0"/>
          <w:caps w:val="0"/>
          <w:color w:val="333333"/>
          <w:spacing w:val="0"/>
          <w:sz w:val="24"/>
          <w:szCs w:val="24"/>
          <w:bdr w:val="none" w:color="auto" w:sz="0" w:space="0"/>
          <w:shd w:val="clear" w:fill="FFFFFF"/>
          <w:vertAlign w:val="baseline"/>
        </w:rPr>
        <w:br w:type="textWrapping"/>
      </w:r>
      <w:r>
        <w:rPr>
          <w:rFonts w:hint="eastAsia" w:ascii="宋体" w:hAnsi="宋体" w:eastAsia="宋体" w:cs="宋体"/>
          <w:i w:val="0"/>
          <w:iCs w:val="0"/>
          <w:caps w:val="0"/>
          <w:color w:val="333333"/>
          <w:spacing w:val="0"/>
          <w:sz w:val="24"/>
          <w:szCs w:val="24"/>
          <w:bdr w:val="none" w:color="auto" w:sz="0" w:space="0"/>
          <w:shd w:val="clear" w:fill="FFFFFF"/>
          <w:vertAlign w:val="baseline"/>
        </w:rPr>
        <w:t>（10）单位负责人为同一人或者存在直接控股、管理关系的不同投标人，不得参加同一合同包的政府采购活动；</w:t>
      </w:r>
      <w:r>
        <w:rPr>
          <w:rFonts w:hint="eastAsia" w:ascii="宋体" w:hAnsi="宋体" w:eastAsia="宋体" w:cs="宋体"/>
          <w:i w:val="0"/>
          <w:iCs w:val="0"/>
          <w:caps w:val="0"/>
          <w:color w:val="333333"/>
          <w:spacing w:val="0"/>
          <w:sz w:val="24"/>
          <w:szCs w:val="24"/>
          <w:bdr w:val="none" w:color="auto" w:sz="0" w:space="0"/>
          <w:shd w:val="clear" w:fill="FFFFFF"/>
          <w:vertAlign w:val="baseline"/>
        </w:rPr>
        <w:br w:type="textWrapping"/>
      </w:r>
      <w:r>
        <w:rPr>
          <w:rFonts w:hint="eastAsia" w:ascii="宋体" w:hAnsi="宋体" w:eastAsia="宋体" w:cs="宋体"/>
          <w:i w:val="0"/>
          <w:iCs w:val="0"/>
          <w:caps w:val="0"/>
          <w:color w:val="333333"/>
          <w:spacing w:val="0"/>
          <w:sz w:val="24"/>
          <w:szCs w:val="24"/>
          <w:bdr w:val="none" w:color="auto" w:sz="0" w:space="0"/>
          <w:shd w:val="clear" w:fill="FFFFFF"/>
          <w:vertAlign w:val="baseline"/>
        </w:rPr>
        <w:t>（11）本项目不接受联合体投标。</w:t>
      </w:r>
    </w:p>
    <w:p w14:paraId="6542A8E8">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合同包2(A片区肉蛋禽采购)特定资格要求如下:</w:t>
      </w:r>
    </w:p>
    <w:p w14:paraId="02BE6081">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480" w:right="0" w:firstLine="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（1）具有独立承担民事责任的能力，提供营业执照、税务登记证、组织机构代码证或登载有统一社会信用代码的营业执照（或《事业单位法人证书》或其他合法组织登记证书、自然人只须提供身份证）；</w:t>
      </w:r>
      <w:r>
        <w:rPr>
          <w:rFonts w:hint="eastAsia" w:ascii="宋体" w:hAnsi="宋体" w:eastAsia="宋体" w:cs="宋体"/>
          <w:i w:val="0"/>
          <w:iCs w:val="0"/>
          <w:caps w:val="0"/>
          <w:color w:val="333333"/>
          <w:spacing w:val="0"/>
          <w:sz w:val="24"/>
          <w:szCs w:val="24"/>
          <w:bdr w:val="none" w:color="auto" w:sz="0" w:space="0"/>
          <w:shd w:val="clear" w:fill="FFFFFF"/>
          <w:vertAlign w:val="baseline"/>
        </w:rPr>
        <w:br w:type="textWrapping"/>
      </w:r>
      <w:r>
        <w:rPr>
          <w:rFonts w:hint="eastAsia" w:ascii="宋体" w:hAnsi="宋体" w:eastAsia="宋体" w:cs="宋体"/>
          <w:i w:val="0"/>
          <w:iCs w:val="0"/>
          <w:caps w:val="0"/>
          <w:color w:val="333333"/>
          <w:spacing w:val="0"/>
          <w:sz w:val="24"/>
          <w:szCs w:val="24"/>
          <w:bdr w:val="none" w:color="auto" w:sz="0" w:space="0"/>
          <w:shd w:val="clear" w:fill="FFFFFF"/>
          <w:vertAlign w:val="baseline"/>
        </w:rPr>
        <w:t>（2）提供法定代表人授权书（附法定代表人身份证复印件）及被授权代理人身份证复印件（法定代表人直接参加时只需提供法定代表人身份证复印件）；</w:t>
      </w:r>
      <w:r>
        <w:rPr>
          <w:rFonts w:hint="eastAsia" w:ascii="宋体" w:hAnsi="宋体" w:eastAsia="宋体" w:cs="宋体"/>
          <w:i w:val="0"/>
          <w:iCs w:val="0"/>
          <w:caps w:val="0"/>
          <w:color w:val="333333"/>
          <w:spacing w:val="0"/>
          <w:sz w:val="24"/>
          <w:szCs w:val="24"/>
          <w:bdr w:val="none" w:color="auto" w:sz="0" w:space="0"/>
          <w:shd w:val="clear" w:fill="FFFFFF"/>
          <w:vertAlign w:val="baseline"/>
        </w:rPr>
        <w:br w:type="textWrapping"/>
      </w:r>
      <w:r>
        <w:rPr>
          <w:rFonts w:hint="eastAsia" w:ascii="宋体" w:hAnsi="宋体" w:eastAsia="宋体" w:cs="宋体"/>
          <w:i w:val="0"/>
          <w:iCs w:val="0"/>
          <w:caps w:val="0"/>
          <w:color w:val="333333"/>
          <w:spacing w:val="0"/>
          <w:sz w:val="24"/>
          <w:szCs w:val="24"/>
          <w:bdr w:val="none" w:color="auto" w:sz="0" w:space="0"/>
          <w:shd w:val="clear" w:fill="FFFFFF"/>
          <w:vertAlign w:val="baseline"/>
        </w:rPr>
        <w:t>（3）供应商若为生产厂家的须提供《生猪定点屠宰证》和《动物防疫条件合格证》；厂家属地实行牛羊定点屠宰的附加《畜禽定点屠宰证书》，厂家属地不核发牛羊定点屠宰证则提供属地政策佐证替代；供应商若为代理商的须提供《食品经营许可证》和《陕西省生鲜肉经营备案表》并附生产厂家对应资质复印件（厂家盖章），厂家属地不核发牛羊定点屠宰证的，一并附厂家属地政策佐证；</w:t>
      </w:r>
      <w:r>
        <w:rPr>
          <w:rFonts w:hint="eastAsia" w:ascii="宋体" w:hAnsi="宋体" w:eastAsia="宋体" w:cs="宋体"/>
          <w:i w:val="0"/>
          <w:iCs w:val="0"/>
          <w:caps w:val="0"/>
          <w:color w:val="333333"/>
          <w:spacing w:val="0"/>
          <w:sz w:val="24"/>
          <w:szCs w:val="24"/>
          <w:bdr w:val="none" w:color="auto" w:sz="0" w:space="0"/>
          <w:shd w:val="clear" w:fill="FFFFFF"/>
          <w:vertAlign w:val="baseline"/>
        </w:rPr>
        <w:br w:type="textWrapping"/>
      </w:r>
      <w:r>
        <w:rPr>
          <w:rFonts w:hint="eastAsia" w:ascii="宋体" w:hAnsi="宋体" w:eastAsia="宋体" w:cs="宋体"/>
          <w:i w:val="0"/>
          <w:iCs w:val="0"/>
          <w:caps w:val="0"/>
          <w:color w:val="333333"/>
          <w:spacing w:val="0"/>
          <w:sz w:val="24"/>
          <w:szCs w:val="24"/>
          <w:bdr w:val="none" w:color="auto" w:sz="0" w:space="0"/>
          <w:shd w:val="clear" w:fill="FFFFFF"/>
          <w:vertAlign w:val="baseline"/>
        </w:rPr>
        <w:t>（4）财务状况报告：提供2025年的财务审计报告（成立时间至提交响应文件截止时间不足1年的可提供成立后任意时段的资产负债表）或其基本存款账户开户银行出具的资信证明；</w:t>
      </w:r>
      <w:r>
        <w:rPr>
          <w:rFonts w:hint="eastAsia" w:ascii="宋体" w:hAnsi="宋体" w:eastAsia="宋体" w:cs="宋体"/>
          <w:i w:val="0"/>
          <w:iCs w:val="0"/>
          <w:caps w:val="0"/>
          <w:color w:val="333333"/>
          <w:spacing w:val="0"/>
          <w:sz w:val="24"/>
          <w:szCs w:val="24"/>
          <w:bdr w:val="none" w:color="auto" w:sz="0" w:space="0"/>
          <w:shd w:val="clear" w:fill="FFFFFF"/>
          <w:vertAlign w:val="baseline"/>
        </w:rPr>
        <w:br w:type="textWrapping"/>
      </w:r>
      <w:r>
        <w:rPr>
          <w:rFonts w:hint="eastAsia" w:ascii="宋体" w:hAnsi="宋体" w:eastAsia="宋体" w:cs="宋体"/>
          <w:i w:val="0"/>
          <w:iCs w:val="0"/>
          <w:caps w:val="0"/>
          <w:color w:val="333333"/>
          <w:spacing w:val="0"/>
          <w:sz w:val="24"/>
          <w:szCs w:val="24"/>
          <w:bdr w:val="none" w:color="auto" w:sz="0" w:space="0"/>
          <w:shd w:val="clear" w:fill="FFFFFF"/>
          <w:vertAlign w:val="baseline"/>
        </w:rPr>
        <w:t>（5）税收缴纳证明：提供2026年1月至今已缴纳的至少一个月的纳税证明或完税证明，依法免税的单位应提供相关证明材料；</w:t>
      </w:r>
      <w:r>
        <w:rPr>
          <w:rFonts w:hint="eastAsia" w:ascii="宋体" w:hAnsi="宋体" w:eastAsia="宋体" w:cs="宋体"/>
          <w:i w:val="0"/>
          <w:iCs w:val="0"/>
          <w:caps w:val="0"/>
          <w:color w:val="333333"/>
          <w:spacing w:val="0"/>
          <w:sz w:val="24"/>
          <w:szCs w:val="24"/>
          <w:bdr w:val="none" w:color="auto" w:sz="0" w:space="0"/>
          <w:shd w:val="clear" w:fill="FFFFFF"/>
          <w:vertAlign w:val="baseline"/>
        </w:rPr>
        <w:br w:type="textWrapping"/>
      </w:r>
      <w:r>
        <w:rPr>
          <w:rFonts w:hint="eastAsia" w:ascii="宋体" w:hAnsi="宋体" w:eastAsia="宋体" w:cs="宋体"/>
          <w:i w:val="0"/>
          <w:iCs w:val="0"/>
          <w:caps w:val="0"/>
          <w:color w:val="333333"/>
          <w:spacing w:val="0"/>
          <w:sz w:val="24"/>
          <w:szCs w:val="24"/>
          <w:bdr w:val="none" w:color="auto" w:sz="0" w:space="0"/>
          <w:shd w:val="clear" w:fill="FFFFFF"/>
          <w:vertAlign w:val="baseline"/>
        </w:rPr>
        <w:t>（6）社保缴纳证明：提供2026年1月至今至少一个月的社会保障资金缴纳单据或社保机构开具的社会保险参保缴费情况证明，依法不需要缴纳社会保障资金的应提供相关证明材料；</w:t>
      </w:r>
      <w:r>
        <w:rPr>
          <w:rFonts w:hint="eastAsia" w:ascii="宋体" w:hAnsi="宋体" w:eastAsia="宋体" w:cs="宋体"/>
          <w:i w:val="0"/>
          <w:iCs w:val="0"/>
          <w:caps w:val="0"/>
          <w:color w:val="333333"/>
          <w:spacing w:val="0"/>
          <w:sz w:val="24"/>
          <w:szCs w:val="24"/>
          <w:bdr w:val="none" w:color="auto" w:sz="0" w:space="0"/>
          <w:shd w:val="clear" w:fill="FFFFFF"/>
          <w:vertAlign w:val="baseline"/>
        </w:rPr>
        <w:br w:type="textWrapping"/>
      </w:r>
      <w:r>
        <w:rPr>
          <w:rFonts w:hint="eastAsia" w:ascii="宋体" w:hAnsi="宋体" w:eastAsia="宋体" w:cs="宋体"/>
          <w:i w:val="0"/>
          <w:iCs w:val="0"/>
          <w:caps w:val="0"/>
          <w:color w:val="333333"/>
          <w:spacing w:val="0"/>
          <w:sz w:val="24"/>
          <w:szCs w:val="24"/>
          <w:bdr w:val="none" w:color="auto" w:sz="0" w:space="0"/>
          <w:shd w:val="clear" w:fill="FFFFFF"/>
          <w:vertAlign w:val="baseline"/>
        </w:rPr>
        <w:t>（7）供应商须提供具备履行合同所必需的设备和专业技术能力的证明材料；</w:t>
      </w:r>
      <w:r>
        <w:rPr>
          <w:rFonts w:hint="eastAsia" w:ascii="宋体" w:hAnsi="宋体" w:eastAsia="宋体" w:cs="宋体"/>
          <w:i w:val="0"/>
          <w:iCs w:val="0"/>
          <w:caps w:val="0"/>
          <w:color w:val="333333"/>
          <w:spacing w:val="0"/>
          <w:sz w:val="24"/>
          <w:szCs w:val="24"/>
          <w:bdr w:val="none" w:color="auto" w:sz="0" w:space="0"/>
          <w:shd w:val="clear" w:fill="FFFFFF"/>
          <w:vertAlign w:val="baseline"/>
        </w:rPr>
        <w:br w:type="textWrapping"/>
      </w:r>
      <w:r>
        <w:rPr>
          <w:rFonts w:hint="eastAsia" w:ascii="宋体" w:hAnsi="宋体" w:eastAsia="宋体" w:cs="宋体"/>
          <w:i w:val="0"/>
          <w:iCs w:val="0"/>
          <w:caps w:val="0"/>
          <w:color w:val="333333"/>
          <w:spacing w:val="0"/>
          <w:sz w:val="24"/>
          <w:szCs w:val="24"/>
          <w:bdr w:val="none" w:color="auto" w:sz="0" w:space="0"/>
          <w:shd w:val="clear" w:fill="FFFFFF"/>
          <w:vertAlign w:val="baseline"/>
        </w:rPr>
        <w:t>（8）供应商必须提供参加政府采购活动近3年内在经营活动中没有重大违法记录的、未发生食品安全事故的书面声明；</w:t>
      </w:r>
      <w:r>
        <w:rPr>
          <w:rFonts w:hint="eastAsia" w:ascii="宋体" w:hAnsi="宋体" w:eastAsia="宋体" w:cs="宋体"/>
          <w:i w:val="0"/>
          <w:iCs w:val="0"/>
          <w:caps w:val="0"/>
          <w:color w:val="333333"/>
          <w:spacing w:val="0"/>
          <w:sz w:val="24"/>
          <w:szCs w:val="24"/>
          <w:bdr w:val="none" w:color="auto" w:sz="0" w:space="0"/>
          <w:shd w:val="clear" w:fill="FFFFFF"/>
          <w:vertAlign w:val="baseline"/>
        </w:rPr>
        <w:br w:type="textWrapping"/>
      </w:r>
      <w:r>
        <w:rPr>
          <w:rFonts w:hint="eastAsia" w:ascii="宋体" w:hAnsi="宋体" w:eastAsia="宋体" w:cs="宋体"/>
          <w:i w:val="0"/>
          <w:iCs w:val="0"/>
          <w:caps w:val="0"/>
          <w:color w:val="333333"/>
          <w:spacing w:val="0"/>
          <w:sz w:val="24"/>
          <w:szCs w:val="24"/>
          <w:bdr w:val="none" w:color="auto" w:sz="0" w:space="0"/>
          <w:shd w:val="clear" w:fill="FFFFFF"/>
          <w:vertAlign w:val="baseline"/>
        </w:rPr>
        <w:t>（9）供应商通过“信用中国”网站（www.creditchina.gov.cn）和中国政府采购网（www.ccgp.gov.cn）等渠道查询相关主体信用记录，对列入失信被执行人、重大税收违法失信主体、政府采购严重违法失信行为记录名单的供应商，将拒绝其参与政府采购活动；</w:t>
      </w:r>
      <w:r>
        <w:rPr>
          <w:rFonts w:hint="eastAsia" w:ascii="宋体" w:hAnsi="宋体" w:eastAsia="宋体" w:cs="宋体"/>
          <w:i w:val="0"/>
          <w:iCs w:val="0"/>
          <w:caps w:val="0"/>
          <w:color w:val="333333"/>
          <w:spacing w:val="0"/>
          <w:sz w:val="24"/>
          <w:szCs w:val="24"/>
          <w:bdr w:val="none" w:color="auto" w:sz="0" w:space="0"/>
          <w:shd w:val="clear" w:fill="FFFFFF"/>
          <w:vertAlign w:val="baseline"/>
        </w:rPr>
        <w:br w:type="textWrapping"/>
      </w:r>
      <w:r>
        <w:rPr>
          <w:rFonts w:hint="eastAsia" w:ascii="宋体" w:hAnsi="宋体" w:eastAsia="宋体" w:cs="宋体"/>
          <w:i w:val="0"/>
          <w:iCs w:val="0"/>
          <w:caps w:val="0"/>
          <w:color w:val="333333"/>
          <w:spacing w:val="0"/>
          <w:sz w:val="24"/>
          <w:szCs w:val="24"/>
          <w:bdr w:val="none" w:color="auto" w:sz="0" w:space="0"/>
          <w:shd w:val="clear" w:fill="FFFFFF"/>
          <w:vertAlign w:val="baseline"/>
        </w:rPr>
        <w:t>（10）单位负责人为同一人或者存在直接控股、管理关系的不同投标人，不得参加同一合同包的政府采购活动；</w:t>
      </w:r>
      <w:r>
        <w:rPr>
          <w:rFonts w:hint="eastAsia" w:ascii="宋体" w:hAnsi="宋体" w:eastAsia="宋体" w:cs="宋体"/>
          <w:i w:val="0"/>
          <w:iCs w:val="0"/>
          <w:caps w:val="0"/>
          <w:color w:val="333333"/>
          <w:spacing w:val="0"/>
          <w:sz w:val="24"/>
          <w:szCs w:val="24"/>
          <w:bdr w:val="none" w:color="auto" w:sz="0" w:space="0"/>
          <w:shd w:val="clear" w:fill="FFFFFF"/>
          <w:vertAlign w:val="baseline"/>
        </w:rPr>
        <w:br w:type="textWrapping"/>
      </w:r>
      <w:r>
        <w:rPr>
          <w:rFonts w:hint="eastAsia" w:ascii="宋体" w:hAnsi="宋体" w:eastAsia="宋体" w:cs="宋体"/>
          <w:i w:val="0"/>
          <w:iCs w:val="0"/>
          <w:caps w:val="0"/>
          <w:color w:val="333333"/>
          <w:spacing w:val="0"/>
          <w:sz w:val="24"/>
          <w:szCs w:val="24"/>
          <w:bdr w:val="none" w:color="auto" w:sz="0" w:space="0"/>
          <w:shd w:val="clear" w:fill="FFFFFF"/>
          <w:vertAlign w:val="baseline"/>
        </w:rPr>
        <w:t>（11）本项目不接受联合体投标。</w:t>
      </w:r>
    </w:p>
    <w:p w14:paraId="28ADF7DA">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合同包3(B片区肉蛋禽采购)特定资格要求如下:</w:t>
      </w:r>
    </w:p>
    <w:p w14:paraId="42507331">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480" w:right="0" w:firstLine="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（1）具有独立承担民事责任的能力，提供营业执照、税务登记证、组织机构代码证或登载有统一社会信用代码的营业执照（或《事业单位法人证书》或其他合法组织登记证书、自然人只须提供身份证）；</w:t>
      </w:r>
      <w:r>
        <w:rPr>
          <w:rFonts w:hint="eastAsia" w:ascii="宋体" w:hAnsi="宋体" w:eastAsia="宋体" w:cs="宋体"/>
          <w:i w:val="0"/>
          <w:iCs w:val="0"/>
          <w:caps w:val="0"/>
          <w:color w:val="333333"/>
          <w:spacing w:val="0"/>
          <w:sz w:val="24"/>
          <w:szCs w:val="24"/>
          <w:bdr w:val="none" w:color="auto" w:sz="0" w:space="0"/>
          <w:shd w:val="clear" w:fill="FFFFFF"/>
          <w:vertAlign w:val="baseline"/>
        </w:rPr>
        <w:br w:type="textWrapping"/>
      </w:r>
      <w:r>
        <w:rPr>
          <w:rFonts w:hint="eastAsia" w:ascii="宋体" w:hAnsi="宋体" w:eastAsia="宋体" w:cs="宋体"/>
          <w:i w:val="0"/>
          <w:iCs w:val="0"/>
          <w:caps w:val="0"/>
          <w:color w:val="333333"/>
          <w:spacing w:val="0"/>
          <w:sz w:val="24"/>
          <w:szCs w:val="24"/>
          <w:bdr w:val="none" w:color="auto" w:sz="0" w:space="0"/>
          <w:shd w:val="clear" w:fill="FFFFFF"/>
          <w:vertAlign w:val="baseline"/>
        </w:rPr>
        <w:t>（2）提供法定代表人授权书（附法定代表人身份证复印件）及被授权代理人身份证复印件（法定代表人直接参加时只需提供法定代表人身份证复印件）；</w:t>
      </w:r>
      <w:r>
        <w:rPr>
          <w:rFonts w:hint="eastAsia" w:ascii="宋体" w:hAnsi="宋体" w:eastAsia="宋体" w:cs="宋体"/>
          <w:i w:val="0"/>
          <w:iCs w:val="0"/>
          <w:caps w:val="0"/>
          <w:color w:val="333333"/>
          <w:spacing w:val="0"/>
          <w:sz w:val="24"/>
          <w:szCs w:val="24"/>
          <w:bdr w:val="none" w:color="auto" w:sz="0" w:space="0"/>
          <w:shd w:val="clear" w:fill="FFFFFF"/>
          <w:vertAlign w:val="baseline"/>
        </w:rPr>
        <w:br w:type="textWrapping"/>
      </w:r>
      <w:r>
        <w:rPr>
          <w:rFonts w:hint="eastAsia" w:ascii="宋体" w:hAnsi="宋体" w:eastAsia="宋体" w:cs="宋体"/>
          <w:i w:val="0"/>
          <w:iCs w:val="0"/>
          <w:caps w:val="0"/>
          <w:color w:val="333333"/>
          <w:spacing w:val="0"/>
          <w:sz w:val="24"/>
          <w:szCs w:val="24"/>
          <w:bdr w:val="none" w:color="auto" w:sz="0" w:space="0"/>
          <w:shd w:val="clear" w:fill="FFFFFF"/>
          <w:vertAlign w:val="baseline"/>
        </w:rPr>
        <w:t>（3）供应商若为生产厂家的须提供《生猪定点屠宰证》和《动物防疫条件合格证》；厂家属地实行牛羊定点屠宰的附加《畜禽定点屠宰证书》，厂家属地不核发牛羊定点屠宰证则提供属地政策佐证替代；供应商若为代理商的须提供《食品经营许可证》和《陕西省生鲜肉经营备案表》并附生产厂家对应资质复印件（厂家盖章），厂家属地不核发牛羊定点屠宰证的，一并附厂家属地政策佐证；</w:t>
      </w:r>
      <w:r>
        <w:rPr>
          <w:rFonts w:hint="eastAsia" w:ascii="宋体" w:hAnsi="宋体" w:eastAsia="宋体" w:cs="宋体"/>
          <w:i w:val="0"/>
          <w:iCs w:val="0"/>
          <w:caps w:val="0"/>
          <w:color w:val="333333"/>
          <w:spacing w:val="0"/>
          <w:sz w:val="24"/>
          <w:szCs w:val="24"/>
          <w:bdr w:val="none" w:color="auto" w:sz="0" w:space="0"/>
          <w:shd w:val="clear" w:fill="FFFFFF"/>
          <w:vertAlign w:val="baseline"/>
        </w:rPr>
        <w:br w:type="textWrapping"/>
      </w:r>
      <w:r>
        <w:rPr>
          <w:rFonts w:hint="eastAsia" w:ascii="宋体" w:hAnsi="宋体" w:eastAsia="宋体" w:cs="宋体"/>
          <w:i w:val="0"/>
          <w:iCs w:val="0"/>
          <w:caps w:val="0"/>
          <w:color w:val="333333"/>
          <w:spacing w:val="0"/>
          <w:sz w:val="24"/>
          <w:szCs w:val="24"/>
          <w:bdr w:val="none" w:color="auto" w:sz="0" w:space="0"/>
          <w:shd w:val="clear" w:fill="FFFFFF"/>
          <w:vertAlign w:val="baseline"/>
        </w:rPr>
        <w:t>（4）财务状况报告：提供2025年的财务审计报告（成立时间至提交响应文件截止时间不足1年的可提供成立后任意时段的资产负债表）或其基本存款账户开户银行出具的资信证明；</w:t>
      </w:r>
      <w:r>
        <w:rPr>
          <w:rFonts w:hint="eastAsia" w:ascii="宋体" w:hAnsi="宋体" w:eastAsia="宋体" w:cs="宋体"/>
          <w:i w:val="0"/>
          <w:iCs w:val="0"/>
          <w:caps w:val="0"/>
          <w:color w:val="333333"/>
          <w:spacing w:val="0"/>
          <w:sz w:val="24"/>
          <w:szCs w:val="24"/>
          <w:bdr w:val="none" w:color="auto" w:sz="0" w:space="0"/>
          <w:shd w:val="clear" w:fill="FFFFFF"/>
          <w:vertAlign w:val="baseline"/>
        </w:rPr>
        <w:br w:type="textWrapping"/>
      </w:r>
      <w:r>
        <w:rPr>
          <w:rFonts w:hint="eastAsia" w:ascii="宋体" w:hAnsi="宋体" w:eastAsia="宋体" w:cs="宋体"/>
          <w:i w:val="0"/>
          <w:iCs w:val="0"/>
          <w:caps w:val="0"/>
          <w:color w:val="333333"/>
          <w:spacing w:val="0"/>
          <w:sz w:val="24"/>
          <w:szCs w:val="24"/>
          <w:bdr w:val="none" w:color="auto" w:sz="0" w:space="0"/>
          <w:shd w:val="clear" w:fill="FFFFFF"/>
          <w:vertAlign w:val="baseline"/>
        </w:rPr>
        <w:t>（5）税收缴纳证明：提供2026年1月至今已缴纳的至少一个月的纳税证明或完税证明，依法免税的单位应提供相关证明材料；</w:t>
      </w:r>
      <w:r>
        <w:rPr>
          <w:rFonts w:hint="eastAsia" w:ascii="宋体" w:hAnsi="宋体" w:eastAsia="宋体" w:cs="宋体"/>
          <w:i w:val="0"/>
          <w:iCs w:val="0"/>
          <w:caps w:val="0"/>
          <w:color w:val="333333"/>
          <w:spacing w:val="0"/>
          <w:sz w:val="24"/>
          <w:szCs w:val="24"/>
          <w:bdr w:val="none" w:color="auto" w:sz="0" w:space="0"/>
          <w:shd w:val="clear" w:fill="FFFFFF"/>
          <w:vertAlign w:val="baseline"/>
        </w:rPr>
        <w:br w:type="textWrapping"/>
      </w:r>
      <w:r>
        <w:rPr>
          <w:rFonts w:hint="eastAsia" w:ascii="宋体" w:hAnsi="宋体" w:eastAsia="宋体" w:cs="宋体"/>
          <w:i w:val="0"/>
          <w:iCs w:val="0"/>
          <w:caps w:val="0"/>
          <w:color w:val="333333"/>
          <w:spacing w:val="0"/>
          <w:sz w:val="24"/>
          <w:szCs w:val="24"/>
          <w:bdr w:val="none" w:color="auto" w:sz="0" w:space="0"/>
          <w:shd w:val="clear" w:fill="FFFFFF"/>
          <w:vertAlign w:val="baseline"/>
        </w:rPr>
        <w:t>（6）社保缴纳证明：提供2026年1月至今至少一个月的社会保障资金缴纳单据或社保机构开具的社会保险参保缴费情况证明，依法不需要缴纳社会保障资金的应提供相关证明材料；</w:t>
      </w:r>
      <w:r>
        <w:rPr>
          <w:rFonts w:hint="eastAsia" w:ascii="宋体" w:hAnsi="宋体" w:eastAsia="宋体" w:cs="宋体"/>
          <w:i w:val="0"/>
          <w:iCs w:val="0"/>
          <w:caps w:val="0"/>
          <w:color w:val="333333"/>
          <w:spacing w:val="0"/>
          <w:sz w:val="24"/>
          <w:szCs w:val="24"/>
          <w:bdr w:val="none" w:color="auto" w:sz="0" w:space="0"/>
          <w:shd w:val="clear" w:fill="FFFFFF"/>
          <w:vertAlign w:val="baseline"/>
        </w:rPr>
        <w:br w:type="textWrapping"/>
      </w:r>
      <w:r>
        <w:rPr>
          <w:rFonts w:hint="eastAsia" w:ascii="宋体" w:hAnsi="宋体" w:eastAsia="宋体" w:cs="宋体"/>
          <w:i w:val="0"/>
          <w:iCs w:val="0"/>
          <w:caps w:val="0"/>
          <w:color w:val="333333"/>
          <w:spacing w:val="0"/>
          <w:sz w:val="24"/>
          <w:szCs w:val="24"/>
          <w:bdr w:val="none" w:color="auto" w:sz="0" w:space="0"/>
          <w:shd w:val="clear" w:fill="FFFFFF"/>
          <w:vertAlign w:val="baseline"/>
        </w:rPr>
        <w:t>（7）供应商须提供具备履行合同所必需的设备和专业技术能力的证明材料；</w:t>
      </w:r>
      <w:r>
        <w:rPr>
          <w:rFonts w:hint="eastAsia" w:ascii="宋体" w:hAnsi="宋体" w:eastAsia="宋体" w:cs="宋体"/>
          <w:i w:val="0"/>
          <w:iCs w:val="0"/>
          <w:caps w:val="0"/>
          <w:color w:val="333333"/>
          <w:spacing w:val="0"/>
          <w:sz w:val="24"/>
          <w:szCs w:val="24"/>
          <w:bdr w:val="none" w:color="auto" w:sz="0" w:space="0"/>
          <w:shd w:val="clear" w:fill="FFFFFF"/>
          <w:vertAlign w:val="baseline"/>
        </w:rPr>
        <w:br w:type="textWrapping"/>
      </w:r>
      <w:r>
        <w:rPr>
          <w:rFonts w:hint="eastAsia" w:ascii="宋体" w:hAnsi="宋体" w:eastAsia="宋体" w:cs="宋体"/>
          <w:i w:val="0"/>
          <w:iCs w:val="0"/>
          <w:caps w:val="0"/>
          <w:color w:val="333333"/>
          <w:spacing w:val="0"/>
          <w:sz w:val="24"/>
          <w:szCs w:val="24"/>
          <w:bdr w:val="none" w:color="auto" w:sz="0" w:space="0"/>
          <w:shd w:val="clear" w:fill="FFFFFF"/>
          <w:vertAlign w:val="baseline"/>
        </w:rPr>
        <w:t>（8）供应商必须提供参加政府采购活动近3年内在经营活动中没有重大违法记录的、未发生食品安全事故的书面声明；</w:t>
      </w:r>
      <w:r>
        <w:rPr>
          <w:rFonts w:hint="eastAsia" w:ascii="宋体" w:hAnsi="宋体" w:eastAsia="宋体" w:cs="宋体"/>
          <w:i w:val="0"/>
          <w:iCs w:val="0"/>
          <w:caps w:val="0"/>
          <w:color w:val="333333"/>
          <w:spacing w:val="0"/>
          <w:sz w:val="24"/>
          <w:szCs w:val="24"/>
          <w:bdr w:val="none" w:color="auto" w:sz="0" w:space="0"/>
          <w:shd w:val="clear" w:fill="FFFFFF"/>
          <w:vertAlign w:val="baseline"/>
        </w:rPr>
        <w:br w:type="textWrapping"/>
      </w:r>
      <w:r>
        <w:rPr>
          <w:rFonts w:hint="eastAsia" w:ascii="宋体" w:hAnsi="宋体" w:eastAsia="宋体" w:cs="宋体"/>
          <w:i w:val="0"/>
          <w:iCs w:val="0"/>
          <w:caps w:val="0"/>
          <w:color w:val="333333"/>
          <w:spacing w:val="0"/>
          <w:sz w:val="24"/>
          <w:szCs w:val="24"/>
          <w:bdr w:val="none" w:color="auto" w:sz="0" w:space="0"/>
          <w:shd w:val="clear" w:fill="FFFFFF"/>
          <w:vertAlign w:val="baseline"/>
        </w:rPr>
        <w:t>（9）供应商通过“信用中国”网站（www.creditchina.gov.cn）和中国政府采购网（www.ccgp.gov.cn）等渠道查询相关主体信用记录，对列入失信被执行人、重大税收违法失信主体、政府采购严重违法失信行为记录名单的供应商，将拒绝其参与政府采购活动；</w:t>
      </w:r>
      <w:r>
        <w:rPr>
          <w:rFonts w:hint="eastAsia" w:ascii="宋体" w:hAnsi="宋体" w:eastAsia="宋体" w:cs="宋体"/>
          <w:i w:val="0"/>
          <w:iCs w:val="0"/>
          <w:caps w:val="0"/>
          <w:color w:val="333333"/>
          <w:spacing w:val="0"/>
          <w:sz w:val="24"/>
          <w:szCs w:val="24"/>
          <w:bdr w:val="none" w:color="auto" w:sz="0" w:space="0"/>
          <w:shd w:val="clear" w:fill="FFFFFF"/>
          <w:vertAlign w:val="baseline"/>
        </w:rPr>
        <w:br w:type="textWrapping"/>
      </w:r>
      <w:r>
        <w:rPr>
          <w:rFonts w:hint="eastAsia" w:ascii="宋体" w:hAnsi="宋体" w:eastAsia="宋体" w:cs="宋体"/>
          <w:i w:val="0"/>
          <w:iCs w:val="0"/>
          <w:caps w:val="0"/>
          <w:color w:val="333333"/>
          <w:spacing w:val="0"/>
          <w:sz w:val="24"/>
          <w:szCs w:val="24"/>
          <w:bdr w:val="none" w:color="auto" w:sz="0" w:space="0"/>
          <w:shd w:val="clear" w:fill="FFFFFF"/>
          <w:vertAlign w:val="baseline"/>
        </w:rPr>
        <w:t>（10）单位负责人为同一人或者存在直接控股、管理关系的不同投标人，不得参加同一合同包的政府采购活动；</w:t>
      </w:r>
      <w:r>
        <w:rPr>
          <w:rFonts w:hint="eastAsia" w:ascii="宋体" w:hAnsi="宋体" w:eastAsia="宋体" w:cs="宋体"/>
          <w:i w:val="0"/>
          <w:iCs w:val="0"/>
          <w:caps w:val="0"/>
          <w:color w:val="333333"/>
          <w:spacing w:val="0"/>
          <w:sz w:val="24"/>
          <w:szCs w:val="24"/>
          <w:bdr w:val="none" w:color="auto" w:sz="0" w:space="0"/>
          <w:shd w:val="clear" w:fill="FFFFFF"/>
          <w:vertAlign w:val="baseline"/>
        </w:rPr>
        <w:br w:type="textWrapping"/>
      </w:r>
      <w:r>
        <w:rPr>
          <w:rFonts w:hint="eastAsia" w:ascii="宋体" w:hAnsi="宋体" w:eastAsia="宋体" w:cs="宋体"/>
          <w:i w:val="0"/>
          <w:iCs w:val="0"/>
          <w:caps w:val="0"/>
          <w:color w:val="333333"/>
          <w:spacing w:val="0"/>
          <w:sz w:val="24"/>
          <w:szCs w:val="24"/>
          <w:bdr w:val="none" w:color="auto" w:sz="0" w:space="0"/>
          <w:shd w:val="clear" w:fill="FFFFFF"/>
          <w:vertAlign w:val="baseline"/>
        </w:rPr>
        <w:t>（11）本项目不接受联合体投标。</w:t>
      </w:r>
    </w:p>
    <w:p w14:paraId="42DF126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150" w:beforeAutospacing="0" w:after="0" w:afterAutospacing="0" w:line="400" w:lineRule="exact"/>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26"/>
          <w:rFonts w:hint="eastAsia" w:ascii="宋体" w:hAnsi="宋体" w:eastAsia="宋体" w:cs="宋体"/>
          <w:b/>
          <w:bCs/>
          <w:i w:val="0"/>
          <w:iCs w:val="0"/>
          <w:caps w:val="0"/>
          <w:color w:val="333333"/>
          <w:spacing w:val="0"/>
          <w:sz w:val="24"/>
          <w:szCs w:val="24"/>
          <w:bdr w:val="none" w:color="auto" w:sz="0" w:space="0"/>
          <w:shd w:val="clear" w:fill="FFFFFF"/>
          <w:vertAlign w:val="baseline"/>
        </w:rPr>
        <w:t>三、获取招标文件</w:t>
      </w:r>
    </w:p>
    <w:p w14:paraId="2F0DE890">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时间：2026年08月08日至2026年08月14日，每天上午00:00:00至12:00:00，下午12:00:00至23:59:59（北京时间）</w:t>
      </w:r>
    </w:p>
    <w:p w14:paraId="5D52DE04">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途径：全国公共资源交易中心平台（陕西省安康市）</w:t>
      </w:r>
    </w:p>
    <w:p w14:paraId="2BBF5771">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方式：在线获取</w:t>
      </w:r>
    </w:p>
    <w:p w14:paraId="48273974">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售价：0元</w:t>
      </w:r>
    </w:p>
    <w:p w14:paraId="0470CAD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150" w:beforeAutospacing="0" w:after="0" w:afterAutospacing="0" w:line="400" w:lineRule="exact"/>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26"/>
          <w:rFonts w:hint="eastAsia" w:ascii="宋体" w:hAnsi="宋体" w:eastAsia="宋体" w:cs="宋体"/>
          <w:b/>
          <w:bCs/>
          <w:i w:val="0"/>
          <w:iCs w:val="0"/>
          <w:caps w:val="0"/>
          <w:color w:val="333333"/>
          <w:spacing w:val="0"/>
          <w:sz w:val="24"/>
          <w:szCs w:val="24"/>
          <w:bdr w:val="none" w:color="auto" w:sz="0" w:space="0"/>
          <w:shd w:val="clear" w:fill="FFFFFF"/>
          <w:vertAlign w:val="baseline"/>
        </w:rPr>
        <w:t>四、提交投标文件截止时间、开标时间和地点</w:t>
      </w:r>
    </w:p>
    <w:p w14:paraId="229FFEA6">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时间：2026年08月28日14时00分00秒 （北京时间）</w:t>
      </w:r>
    </w:p>
    <w:p w14:paraId="51765F70">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提交投标文件地点：全国公共资源交易中心平台（陕西省安康市）</w:t>
      </w:r>
    </w:p>
    <w:p w14:paraId="7C691970">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开标地点：不见面开标大厅</w:t>
      </w:r>
    </w:p>
    <w:p w14:paraId="58117C8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150" w:beforeAutospacing="0" w:after="0" w:afterAutospacing="0" w:line="400" w:lineRule="exact"/>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26"/>
          <w:rFonts w:hint="eastAsia" w:ascii="宋体" w:hAnsi="宋体" w:eastAsia="宋体" w:cs="宋体"/>
          <w:b/>
          <w:bCs/>
          <w:i w:val="0"/>
          <w:iCs w:val="0"/>
          <w:caps w:val="0"/>
          <w:color w:val="333333"/>
          <w:spacing w:val="0"/>
          <w:sz w:val="24"/>
          <w:szCs w:val="24"/>
          <w:bdr w:val="none" w:color="auto" w:sz="0" w:space="0"/>
          <w:shd w:val="clear" w:fill="FFFFFF"/>
          <w:vertAlign w:val="baseline"/>
        </w:rPr>
        <w:t>五、公告期限</w:t>
      </w:r>
    </w:p>
    <w:p w14:paraId="18701E0B">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自本公告发布之日起5个工作日。</w:t>
      </w:r>
    </w:p>
    <w:p w14:paraId="256A2CB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150" w:beforeAutospacing="0" w:after="0" w:afterAutospacing="0" w:line="400" w:lineRule="exact"/>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26"/>
          <w:rFonts w:hint="eastAsia" w:ascii="宋体" w:hAnsi="宋体" w:eastAsia="宋体" w:cs="宋体"/>
          <w:b/>
          <w:bCs/>
          <w:i w:val="0"/>
          <w:iCs w:val="0"/>
          <w:caps w:val="0"/>
          <w:color w:val="333333"/>
          <w:spacing w:val="0"/>
          <w:sz w:val="24"/>
          <w:szCs w:val="24"/>
          <w:bdr w:val="none" w:color="auto" w:sz="0" w:space="0"/>
          <w:shd w:val="clear" w:fill="FFFFFF"/>
          <w:vertAlign w:val="baseline"/>
        </w:rPr>
        <w:t>六、其他补充事宜</w:t>
      </w:r>
    </w:p>
    <w:p w14:paraId="1339BE8C">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kern w:val="0"/>
          <w:sz w:val="24"/>
          <w:szCs w:val="24"/>
          <w:bdr w:val="none" w:color="auto" w:sz="0" w:space="0"/>
          <w:shd w:val="clear" w:fill="FFFFFF"/>
          <w:vertAlign w:val="baseline"/>
          <w:lang w:val="en-US" w:eastAsia="zh-CN" w:bidi="ar"/>
        </w:rPr>
        <w:t>（1）财政部、工业和信息化部关于印发《政府采购促进中小企业发展管理办法》的通知-财库〔2020〕46号；（2）关于进一步加大政府采购支持中小企业力度的通知-财库〔2022〕19号；（3）财政部 司法部关于政府采购支持监狱企业发展有关问题的通知-财库〔2014〕68号；（4）财政部 民政部 中国残疾人联合会关于促进残疾人就业政府采购政策的通知-财库〔2017〕141号；（5）关于调整优化节能产品、环境标志产品政府采购执行机制的通知-财库〔2019〕9号；（6）财政部生态 环境部关于印发环境标志产品政府采购品目清单的通知-财库〔2019〕18号；（7）财政部发展改革委关于印发节能产品政府采购品目清单的通知-财库〔2019〕19号；（8）财政部 农业农村部 国家乡村振兴局关于运用政府采购政策支持乡村产业振兴的通知-财库〔2021〕19 号；（9）财政部、农业农村部、国家乡村振兴局、中华全国供销合作总社关于印发《关于深入开展政府采购脱贫地区农副产品工作推进乡村产业振兴的实施意见》的通知-财库〔2021〕20号；（10）陕西省财政厅关于落实政府采购支持中小企业政策有关事项的通知-陕财办采函〔2022〕10 号；（11）陕西省财政厅关于进一步加强政府绿色采购有关问题的通知-陕财办采〔2021〕29号；（12）陕西省财政厅关于印发《陕西省中小企业政府采购信用融资办法》-陕财办采〔2018〕23号；（13）陕西省财政厅关于加快推进我省中小企业政府采购信用融资工作的通知-陕财办采〔2020〕15号；（14）陕西省财政厅 中国人民银行西安分行关于深入推进政府采购信用融资业务的通知-陕财办采〔2023〕5号；（15）《财政部 工业和信息化部关于贯彻落实&lt;国务院办公厅关于在政府采购中实施本国产品标准及相关政策的通知&gt;的意见》（财库〔2025〕30 号）；（16）《关于推动解决政府采购异常低价问题的通知》（财库〔2026〕 2号）；（17）如有最新颁布的政府采购政策，按最新的文件执行。</w:t>
      </w:r>
    </w:p>
    <w:p w14:paraId="3F13F5C1">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kern w:val="0"/>
          <w:sz w:val="24"/>
          <w:szCs w:val="24"/>
          <w:bdr w:val="none" w:color="auto" w:sz="0" w:space="0"/>
          <w:shd w:val="clear" w:fill="FFFFFF"/>
          <w:vertAlign w:val="baseline"/>
          <w:lang w:val="en-US" w:eastAsia="zh-CN" w:bidi="ar"/>
        </w:rPr>
        <w:t>注（1）供应商使用捆绑陕西省公共资源交易平台的CA锁登录安康市公共资源交易中心（http://ak.sxggzyjy.cn），选择“电子交易平台—陕西政府采购交易系统—企业端”进行登录，登录后选择“交易乙方”身份进入供应商界面，选择有意向的项目点击“我要投标”，完善相关投标信息。（2）在采购文件获取时间内，供应商可在〖我的项目〗中点击“项目流程交易文件下载”免费下载电子采购文件。（3）未完成网上投标或未在规定时间内在平台上下载电子招标文件的，导致无法完成后续流程的责任自负；（4）供应商只可以对已报名的采购项目下载招标文件。招标文件以合同包为基本单位，若供应商需投某个项目的多个合同包，则应按合同包分别报名、下载招标文件及上传投标文件。例如：报名的项目含多个合同包的，即使采购文件相同，也需每个合同包分别点击下载。如果没有下载招标文件的记录，交易平台系统不允许对该合同包上传投标文件。（5）本项目采用电子化投标方式投标，相关操作流程详见全国公共资源交易平台（陕西省）网站[服务指南－下载专区]中的《陕西省公共资源交易中心政府采购项目投标指南》。（6）技术支持：4009280095、4009980000；（7）请各供应商下载招标文件后，按照陕西省财政厅《关于政府采购供应商注册登记有关事项的通知》要求，通过陕西省政府采购网注册登记加入陕西省政府采购供应商库，以便中标后能顺利录入中标单位信息，若未办理入库手续，造成不能发布中标公告，责任自负。（8）本项目合同包1：大米单价最高限价为：4.78元/千克；面粉单价最高限价为：4.28元/千克；菜籽油单价最高限价为：14.31元/升；面制品按照优惠率报价计算作为实际结算单价，最终依据实际供货量据实结算；牛奶按照优惠率报价计算作为实际结算单价，最终依据实际供货量据实结算；杂粮按照优惠率报价计算作为实际结算单价，最终依据实际供货量据实结算。本项目合同包2和合同包3：肉蛋禽按照优惠率报价计算作为实际结算单价，依据实际供货量据实结算。</w:t>
      </w:r>
    </w:p>
    <w:p w14:paraId="09AADC4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150" w:beforeAutospacing="0" w:after="0" w:afterAutospacing="0" w:line="400" w:lineRule="exact"/>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26"/>
          <w:rFonts w:hint="eastAsia" w:ascii="宋体" w:hAnsi="宋体" w:eastAsia="宋体" w:cs="宋体"/>
          <w:b/>
          <w:bCs/>
          <w:i w:val="0"/>
          <w:iCs w:val="0"/>
          <w:caps w:val="0"/>
          <w:color w:val="333333"/>
          <w:spacing w:val="0"/>
          <w:sz w:val="24"/>
          <w:szCs w:val="24"/>
          <w:bdr w:val="none" w:color="auto" w:sz="0" w:space="0"/>
          <w:shd w:val="clear" w:fill="FFFFFF"/>
          <w:vertAlign w:val="baseline"/>
        </w:rPr>
        <w:t>七、对本次招标提出询问，请按以下方式联系。</w:t>
      </w:r>
    </w:p>
    <w:p w14:paraId="2CCB5CC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jc w:val="left"/>
        <w:textAlignment w:val="baseline"/>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vertAlign w:val="baseline"/>
        </w:rPr>
        <w:t>1.采购人信息</w:t>
      </w:r>
    </w:p>
    <w:p w14:paraId="089803A7">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名称：汉滨区教育体育局</w:t>
      </w:r>
    </w:p>
    <w:p w14:paraId="33CADCC8">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地址：汉滨区五星街127号</w:t>
      </w:r>
    </w:p>
    <w:p w14:paraId="14FF9D28">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联系方式：0915-3219515</w:t>
      </w:r>
    </w:p>
    <w:p w14:paraId="294259C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jc w:val="left"/>
        <w:textAlignment w:val="baseline"/>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vertAlign w:val="baseline"/>
        </w:rPr>
        <w:t>2.采购代理机构信息</w:t>
      </w:r>
    </w:p>
    <w:p w14:paraId="7B36ACFF">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名称：中科经纬工程技术有限公司</w:t>
      </w:r>
    </w:p>
    <w:p w14:paraId="0F365CD4">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地址：陕西省西安市浐灞生态区兴泰一街127号世园大观3幢10502室</w:t>
      </w:r>
    </w:p>
    <w:p w14:paraId="747BD148">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联系方式：029-85261162</w:t>
      </w:r>
    </w:p>
    <w:p w14:paraId="19D17C5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jc w:val="left"/>
        <w:textAlignment w:val="baseline"/>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vertAlign w:val="baseline"/>
        </w:rPr>
        <w:t>3.项目联系方式</w:t>
      </w:r>
    </w:p>
    <w:p w14:paraId="09B6C6C4">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项目联系人：张洁泉、宁莎</w:t>
      </w:r>
    </w:p>
    <w:p w14:paraId="3C4C4E9C">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lang w:eastAsia="zh-CN"/>
        </w:rPr>
      </w:pPr>
      <w:r>
        <w:rPr>
          <w:rFonts w:hint="eastAsia" w:ascii="宋体" w:hAnsi="宋体" w:eastAsia="宋体" w:cs="宋体"/>
          <w:i w:val="0"/>
          <w:iCs w:val="0"/>
          <w:caps w:val="0"/>
          <w:color w:val="333333"/>
          <w:spacing w:val="0"/>
          <w:sz w:val="24"/>
          <w:szCs w:val="24"/>
          <w:bdr w:val="none" w:color="auto" w:sz="0" w:space="0"/>
          <w:shd w:val="clear" w:fill="FFFFFF"/>
          <w:vertAlign w:val="baseline"/>
        </w:rPr>
        <w:t>电话：029-85261162</w:t>
      </w:r>
      <w:r>
        <w:rPr>
          <w:rFonts w:hint="eastAsia" w:ascii="宋体" w:hAnsi="宋体" w:eastAsia="宋体" w:cs="宋体"/>
          <w:i w:val="0"/>
          <w:iCs w:val="0"/>
          <w:caps w:val="0"/>
          <w:color w:val="333333"/>
          <w:spacing w:val="0"/>
          <w:sz w:val="24"/>
          <w:szCs w:val="24"/>
          <w:bdr w:val="none" w:color="auto" w:sz="0" w:space="0"/>
          <w:shd w:val="clear" w:fill="FFFFFF"/>
          <w:vertAlign w:val="baseline"/>
          <w:lang w:eastAsia="zh-CN"/>
        </w:rPr>
        <w:t>、13119159282</w:t>
      </w:r>
    </w:p>
    <w:p w14:paraId="620AA81C">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0" w:beforeAutospacing="0" w:after="0" w:afterAutospacing="0" w:line="400" w:lineRule="exact"/>
        <w:ind w:left="0" w:right="0" w:firstLine="480"/>
        <w:jc w:val="right"/>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中科经纬工程技术有限公司</w:t>
      </w:r>
    </w:p>
    <w:p w14:paraId="7400D13F">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0" w:beforeAutospacing="0" w:after="0" w:afterAutospacing="0" w:line="400" w:lineRule="exact"/>
        <w:ind w:left="0" w:right="0" w:firstLine="480"/>
        <w:jc w:val="center"/>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bdr w:val="none" w:color="auto" w:sz="0" w:space="0"/>
          <w:shd w:val="clear" w:fill="FFFFFF"/>
          <w:vertAlign w:val="baseline"/>
        </w:rPr>
        <w:t>2026年08月07日</w:t>
      </w:r>
    </w:p>
    <w:p w14:paraId="49AE7810">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val="0"/>
        <w:autoSpaceDN w:val="0"/>
        <w:bidi w:val="0"/>
        <w:adjustRightInd/>
        <w:snapToGrid/>
        <w:spacing w:before="0" w:beforeAutospacing="0" w:after="0" w:afterAutospacing="0" w:line="400" w:lineRule="exact"/>
        <w:ind w:left="0" w:right="0" w:firstLine="480"/>
        <w:jc w:val="both"/>
        <w:textAlignment w:val="baseline"/>
      </w:pPr>
    </w:p>
    <w:p w14:paraId="02CC287A">
      <w:pPr>
        <w:pStyle w:val="2"/>
        <w:pageBreakBefore w:val="0"/>
        <w:topLinePunct w:val="0"/>
        <w:bidi w:val="0"/>
        <w:spacing w:before="0" w:line="500" w:lineRule="exact"/>
        <w:ind w:left="0" w:leftChars="0" w:right="0" w:rightChars="0" w:firstLine="723" w:firstLineChars="200"/>
      </w:pPr>
    </w:p>
    <w:p w14:paraId="7F3F8070">
      <w:pPr>
        <w:pStyle w:val="2"/>
        <w:pageBreakBefore w:val="0"/>
        <w:topLinePunct w:val="0"/>
        <w:bidi w:val="0"/>
        <w:spacing w:before="0" w:line="500" w:lineRule="exact"/>
        <w:ind w:left="0" w:leftChars="0" w:right="0" w:rightChars="0" w:firstLine="723" w:firstLineChars="200"/>
      </w:pPr>
    </w:p>
    <w:p w14:paraId="6009AD39">
      <w:pPr>
        <w:pStyle w:val="2"/>
        <w:pageBreakBefore w:val="0"/>
        <w:topLinePunct w:val="0"/>
        <w:bidi w:val="0"/>
        <w:spacing w:before="0" w:line="500" w:lineRule="exact"/>
        <w:ind w:left="0" w:leftChars="0" w:right="0" w:rightChars="0" w:firstLine="723" w:firstLineChars="200"/>
      </w:pPr>
    </w:p>
    <w:p w14:paraId="70925C0D">
      <w:pPr>
        <w:pStyle w:val="2"/>
        <w:pageBreakBefore w:val="0"/>
        <w:topLinePunct w:val="0"/>
        <w:bidi w:val="0"/>
        <w:spacing w:before="0" w:line="500" w:lineRule="exact"/>
        <w:ind w:left="0" w:leftChars="0" w:right="0" w:rightChars="0" w:firstLine="723" w:firstLineChars="200"/>
      </w:pPr>
    </w:p>
    <w:p w14:paraId="43052DCC">
      <w:pPr>
        <w:pStyle w:val="2"/>
        <w:pageBreakBefore w:val="0"/>
        <w:topLinePunct w:val="0"/>
        <w:bidi w:val="0"/>
        <w:spacing w:before="0" w:line="500" w:lineRule="exact"/>
        <w:ind w:left="0" w:leftChars="0" w:right="0" w:rightChars="0" w:firstLine="723" w:firstLineChars="200"/>
      </w:pPr>
    </w:p>
    <w:p w14:paraId="67A811E9"/>
    <w:p w14:paraId="02A4E831"/>
    <w:p w14:paraId="3B16D97E"/>
    <w:p w14:paraId="5568558F"/>
    <w:p w14:paraId="75DA5318"/>
    <w:p w14:paraId="7C7D11C4"/>
    <w:p w14:paraId="22C976BB"/>
    <w:p w14:paraId="05340914"/>
    <w:p w14:paraId="083CBBEF"/>
    <w:p w14:paraId="16392E74"/>
    <w:p w14:paraId="0D1AF7C6">
      <w:pPr>
        <w:pStyle w:val="2"/>
        <w:pageBreakBefore w:val="0"/>
        <w:topLinePunct w:val="0"/>
        <w:bidi w:val="0"/>
        <w:spacing w:before="0" w:line="500" w:lineRule="exact"/>
        <w:ind w:right="0" w:rightChars="0"/>
        <w:jc w:val="both"/>
      </w:pPr>
    </w:p>
    <w:p w14:paraId="4276DFD4">
      <w:pPr>
        <w:pStyle w:val="2"/>
        <w:pageBreakBefore w:val="0"/>
        <w:topLinePunct w:val="0"/>
        <w:bidi w:val="0"/>
        <w:spacing w:before="0" w:line="500" w:lineRule="exact"/>
        <w:ind w:left="0" w:leftChars="0" w:right="0" w:rightChars="0" w:firstLine="723" w:firstLineChars="200"/>
      </w:pPr>
    </w:p>
    <w:p w14:paraId="55DEC62F">
      <w:pPr>
        <w:pStyle w:val="2"/>
        <w:pageBreakBefore w:val="0"/>
        <w:topLinePunct w:val="0"/>
        <w:bidi w:val="0"/>
        <w:spacing w:before="0" w:line="500" w:lineRule="exact"/>
        <w:ind w:left="0" w:leftChars="0" w:right="0" w:rightChars="0" w:firstLine="723" w:firstLineChars="200"/>
      </w:pPr>
    </w:p>
    <w:p w14:paraId="5169002B">
      <w:pPr>
        <w:pStyle w:val="2"/>
        <w:pageBreakBefore w:val="0"/>
        <w:topLinePunct w:val="0"/>
        <w:bidi w:val="0"/>
        <w:spacing w:before="0" w:line="500" w:lineRule="exact"/>
        <w:ind w:left="0" w:leftChars="0" w:right="0" w:rightChars="0" w:firstLine="723" w:firstLineChars="200"/>
      </w:pPr>
      <w:r>
        <w:t>第二章 投标须知</w:t>
      </w:r>
      <w:bookmarkEnd w:id="3"/>
    </w:p>
    <w:p w14:paraId="2653B937">
      <w:pPr>
        <w:pStyle w:val="8"/>
        <w:pageBreakBefore w:val="0"/>
        <w:topLinePunct w:val="0"/>
        <w:bidi w:val="0"/>
        <w:spacing w:line="500" w:lineRule="exact"/>
        <w:ind w:left="0" w:leftChars="0" w:right="0" w:rightChars="0" w:firstLine="480" w:firstLineChars="200"/>
        <w:rPr>
          <w:sz w:val="24"/>
          <w:szCs w:val="24"/>
        </w:rPr>
      </w:pPr>
    </w:p>
    <w:p w14:paraId="279E95A3">
      <w:pPr>
        <w:pageBreakBefore w:val="0"/>
        <w:topLinePunct w:val="0"/>
        <w:bidi w:val="0"/>
        <w:spacing w:line="500" w:lineRule="exact"/>
        <w:ind w:left="0" w:leftChars="0" w:right="0" w:rightChars="0" w:firstLine="480" w:firstLineChars="200"/>
        <w:rPr>
          <w:sz w:val="24"/>
          <w:szCs w:val="24"/>
        </w:rPr>
      </w:pPr>
      <w:r>
        <w:rPr>
          <w:sz w:val="24"/>
          <w:szCs w:val="24"/>
        </w:rPr>
        <w:t>1</w:t>
      </w:r>
      <w:r>
        <w:rPr>
          <w:rFonts w:hint="eastAsia"/>
          <w:sz w:val="24"/>
          <w:szCs w:val="24"/>
          <w:lang w:val="en-US"/>
        </w:rPr>
        <w:t>.</w:t>
      </w:r>
      <w:r>
        <w:rPr>
          <w:sz w:val="24"/>
          <w:szCs w:val="24"/>
        </w:rPr>
        <w:t>采购人：汉滨区教育体育局</w:t>
      </w:r>
    </w:p>
    <w:p w14:paraId="3E603BD4">
      <w:pPr>
        <w:pageBreakBefore w:val="0"/>
        <w:topLinePunct w:val="0"/>
        <w:bidi w:val="0"/>
        <w:spacing w:line="500" w:lineRule="exact"/>
        <w:ind w:left="0" w:leftChars="0" w:right="0" w:rightChars="0" w:firstLine="480" w:firstLineChars="200"/>
        <w:rPr>
          <w:rFonts w:hint="eastAsia"/>
          <w:sz w:val="24"/>
          <w:szCs w:val="24"/>
          <w:lang w:val="en-US"/>
        </w:rPr>
      </w:pPr>
      <w:r>
        <w:rPr>
          <w:rFonts w:hint="eastAsia"/>
          <w:sz w:val="24"/>
          <w:szCs w:val="24"/>
          <w:lang w:val="en-US"/>
        </w:rPr>
        <w:t>2.监督机构：汉滨区财政局</w:t>
      </w:r>
    </w:p>
    <w:p w14:paraId="53AC449C">
      <w:pPr>
        <w:pageBreakBefore w:val="0"/>
        <w:topLinePunct w:val="0"/>
        <w:bidi w:val="0"/>
        <w:spacing w:line="500" w:lineRule="exact"/>
        <w:ind w:left="0" w:leftChars="0" w:right="0" w:rightChars="0" w:firstLine="480" w:firstLineChars="200"/>
        <w:rPr>
          <w:rFonts w:hint="eastAsia" w:eastAsia="宋体"/>
          <w:sz w:val="24"/>
          <w:szCs w:val="24"/>
          <w:lang w:val="en-US" w:eastAsia="zh-CN"/>
        </w:rPr>
      </w:pPr>
      <w:r>
        <w:rPr>
          <w:sz w:val="24"/>
          <w:szCs w:val="24"/>
        </w:rPr>
        <w:t>3</w:t>
      </w:r>
      <w:r>
        <w:rPr>
          <w:rFonts w:hint="eastAsia"/>
          <w:sz w:val="24"/>
          <w:szCs w:val="24"/>
          <w:lang w:val="en-US"/>
        </w:rPr>
        <w:t>.</w:t>
      </w:r>
      <w:r>
        <w:rPr>
          <w:sz w:val="24"/>
          <w:szCs w:val="24"/>
        </w:rPr>
        <w:t>采购代理机构：</w:t>
      </w:r>
      <w:r>
        <w:rPr>
          <w:rFonts w:hint="eastAsia"/>
          <w:sz w:val="24"/>
          <w:szCs w:val="24"/>
          <w:lang w:val="en-US" w:eastAsia="zh-CN"/>
        </w:rPr>
        <w:t>中科经纬工程技术有限公司</w:t>
      </w:r>
    </w:p>
    <w:p w14:paraId="3AF4A3FA">
      <w:pPr>
        <w:pageBreakBefore w:val="0"/>
        <w:topLinePunct w:val="0"/>
        <w:bidi w:val="0"/>
        <w:spacing w:line="500" w:lineRule="exact"/>
        <w:ind w:left="0" w:leftChars="0" w:right="0" w:rightChars="0" w:firstLine="480" w:firstLineChars="200"/>
        <w:rPr>
          <w:color w:val="auto"/>
          <w:sz w:val="20"/>
        </w:rPr>
      </w:pPr>
      <w:r>
        <w:rPr>
          <w:rFonts w:hint="eastAsia"/>
          <w:sz w:val="24"/>
          <w:szCs w:val="24"/>
          <w:lang w:val="en-US" w:eastAsia="zh-CN"/>
        </w:rPr>
        <w:t>4</w:t>
      </w:r>
      <w:r>
        <w:rPr>
          <w:rFonts w:hint="eastAsia"/>
          <w:sz w:val="24"/>
          <w:szCs w:val="24"/>
          <w:lang w:val="en-US"/>
        </w:rPr>
        <w:t>.</w:t>
      </w:r>
      <w:r>
        <w:rPr>
          <w:rFonts w:hint="eastAsia"/>
          <w:sz w:val="24"/>
          <w:szCs w:val="24"/>
          <w:lang w:eastAsia="zh-CN"/>
        </w:rPr>
        <w:t>供应商</w:t>
      </w:r>
      <w:r>
        <w:rPr>
          <w:sz w:val="24"/>
          <w:szCs w:val="24"/>
        </w:rPr>
        <w:t>：是指响应招标</w:t>
      </w:r>
      <w:r>
        <w:rPr>
          <w:color w:val="auto"/>
          <w:sz w:val="24"/>
          <w:szCs w:val="24"/>
        </w:rPr>
        <w:t>并符合招标文件规定的资格条件和参加投标竞争的法人、其他组织或自然人。</w:t>
      </w:r>
    </w:p>
    <w:p w14:paraId="1F81241A">
      <w:pPr>
        <w:pStyle w:val="5"/>
        <w:pageBreakBefore w:val="0"/>
        <w:numPr>
          <w:ilvl w:val="0"/>
          <w:numId w:val="0"/>
        </w:numPr>
        <w:topLinePunct w:val="0"/>
        <w:bidi w:val="0"/>
        <w:spacing w:line="500" w:lineRule="exact"/>
        <w:ind w:leftChars="200" w:right="0" w:rightChars="0" w:firstLine="3654" w:firstLineChars="1300"/>
        <w:jc w:val="both"/>
        <w:rPr>
          <w:color w:val="auto"/>
        </w:rPr>
      </w:pPr>
      <w:bookmarkStart w:id="4" w:name="一、投标说明"/>
      <w:bookmarkEnd w:id="4"/>
      <w:r>
        <w:rPr>
          <w:rFonts w:hint="eastAsia"/>
          <w:color w:val="auto"/>
          <w:lang w:val="en-US" w:eastAsia="zh-CN"/>
        </w:rPr>
        <w:t>一、</w:t>
      </w:r>
      <w:r>
        <w:rPr>
          <w:color w:val="auto"/>
        </w:rPr>
        <w:t>投标说明</w:t>
      </w:r>
    </w:p>
    <w:p w14:paraId="240F697F">
      <w:pPr>
        <w:pStyle w:val="12"/>
        <w:pageBreakBefore w:val="0"/>
        <w:topLinePunct w:val="0"/>
        <w:bidi w:val="0"/>
        <w:spacing w:line="500" w:lineRule="exact"/>
        <w:ind w:left="0" w:leftChars="0" w:right="0" w:rightChars="0" w:firstLine="803" w:firstLineChars="200"/>
        <w:rPr>
          <w:b/>
          <w:color w:val="auto"/>
          <w:sz w:val="40"/>
        </w:rPr>
      </w:pPr>
    </w:p>
    <w:p w14:paraId="5E8689BC">
      <w:pPr>
        <w:pStyle w:val="7"/>
        <w:pageBreakBefore w:val="0"/>
        <w:tabs>
          <w:tab w:val="left" w:pos="984"/>
        </w:tabs>
        <w:topLinePunct w:val="0"/>
        <w:bidi w:val="0"/>
        <w:spacing w:line="500" w:lineRule="exact"/>
        <w:ind w:left="0" w:leftChars="0" w:right="0" w:rightChars="0" w:firstLine="482" w:firstLineChars="200"/>
        <w:rPr>
          <w:color w:val="auto"/>
        </w:rPr>
      </w:pPr>
      <w:r>
        <w:rPr>
          <w:rFonts w:hint="eastAsia"/>
          <w:color w:val="auto"/>
        </w:rPr>
        <w:t>1.</w:t>
      </w:r>
      <w:r>
        <w:rPr>
          <w:color w:val="auto"/>
        </w:rPr>
        <w:t>投标委托</w:t>
      </w:r>
    </w:p>
    <w:p w14:paraId="1A3478D1">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1.1如</w:t>
      </w:r>
      <w:r>
        <w:rPr>
          <w:rFonts w:hint="eastAsia"/>
          <w:color w:val="auto"/>
          <w:sz w:val="24"/>
          <w:szCs w:val="24"/>
          <w:lang w:val="en-US" w:eastAsia="zh-CN"/>
        </w:rPr>
        <w:t>供应商</w:t>
      </w:r>
      <w:r>
        <w:rPr>
          <w:rFonts w:hint="eastAsia"/>
          <w:color w:val="auto"/>
          <w:sz w:val="24"/>
          <w:szCs w:val="24"/>
          <w:lang w:val="en-US"/>
        </w:rPr>
        <w:t>代表不是法定代表人，须</w:t>
      </w:r>
      <w:r>
        <w:rPr>
          <w:rFonts w:hint="eastAsia"/>
          <w:color w:val="auto"/>
          <w:sz w:val="24"/>
          <w:szCs w:val="24"/>
          <w:lang w:val="en-US" w:eastAsia="zh-CN"/>
        </w:rPr>
        <w:t>在</w:t>
      </w:r>
      <w:r>
        <w:rPr>
          <w:rFonts w:hint="eastAsia"/>
          <w:color w:val="auto"/>
          <w:sz w:val="24"/>
          <w:szCs w:val="24"/>
          <w:lang w:val="en-US"/>
        </w:rPr>
        <w:t>投标文件</w:t>
      </w:r>
      <w:r>
        <w:rPr>
          <w:rFonts w:hint="eastAsia"/>
          <w:color w:val="auto"/>
          <w:sz w:val="24"/>
          <w:szCs w:val="24"/>
          <w:lang w:val="en-US" w:eastAsia="zh-CN"/>
        </w:rPr>
        <w:t>中</w:t>
      </w:r>
      <w:r>
        <w:rPr>
          <w:rFonts w:hint="eastAsia"/>
          <w:color w:val="auto"/>
          <w:sz w:val="24"/>
          <w:szCs w:val="24"/>
          <w:lang w:val="en-US"/>
        </w:rPr>
        <w:t>提供《法</w:t>
      </w:r>
      <w:r>
        <w:rPr>
          <w:rFonts w:hint="eastAsia"/>
          <w:color w:val="auto"/>
          <w:sz w:val="24"/>
          <w:szCs w:val="24"/>
          <w:lang w:val="en-US" w:eastAsia="zh-CN"/>
        </w:rPr>
        <w:t>定代表</w:t>
      </w:r>
      <w:r>
        <w:rPr>
          <w:rFonts w:hint="eastAsia"/>
          <w:color w:val="auto"/>
          <w:sz w:val="24"/>
          <w:szCs w:val="24"/>
          <w:lang w:val="en-US"/>
        </w:rPr>
        <w:t>人授权委托书》</w:t>
      </w:r>
      <w:r>
        <w:rPr>
          <w:rFonts w:hint="eastAsia"/>
          <w:color w:val="auto"/>
          <w:sz w:val="24"/>
          <w:szCs w:val="24"/>
          <w:lang w:val="en-US" w:eastAsia="zh-CN"/>
        </w:rPr>
        <w:t>（</w:t>
      </w:r>
      <w:r>
        <w:rPr>
          <w:rFonts w:hint="eastAsia"/>
          <w:color w:val="auto"/>
          <w:sz w:val="24"/>
          <w:szCs w:val="24"/>
          <w:lang w:val="en-US"/>
        </w:rPr>
        <w:t>统一格式</w:t>
      </w:r>
      <w:r>
        <w:rPr>
          <w:rFonts w:hint="eastAsia"/>
          <w:color w:val="auto"/>
          <w:sz w:val="24"/>
          <w:szCs w:val="24"/>
          <w:lang w:val="en-US" w:eastAsia="zh-CN"/>
        </w:rPr>
        <w:t>）</w:t>
      </w:r>
      <w:r>
        <w:rPr>
          <w:rFonts w:hint="eastAsia"/>
          <w:color w:val="auto"/>
          <w:sz w:val="24"/>
          <w:szCs w:val="24"/>
          <w:lang w:val="en-US"/>
        </w:rPr>
        <w:t>。</w:t>
      </w:r>
    </w:p>
    <w:p w14:paraId="2AE9DBBD">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1.2</w:t>
      </w:r>
      <w:r>
        <w:rPr>
          <w:rFonts w:hint="eastAsia"/>
          <w:color w:val="auto"/>
          <w:sz w:val="24"/>
          <w:szCs w:val="24"/>
          <w:lang w:val="en-US" w:eastAsia="zh-CN"/>
        </w:rPr>
        <w:t>供应商</w:t>
      </w:r>
      <w:r>
        <w:rPr>
          <w:rFonts w:hint="eastAsia"/>
          <w:color w:val="auto"/>
          <w:sz w:val="24"/>
          <w:szCs w:val="24"/>
          <w:lang w:val="en-US"/>
        </w:rPr>
        <w:t>只允许为独立法人，不接受联合体投标。</w:t>
      </w:r>
    </w:p>
    <w:p w14:paraId="2996920E">
      <w:pPr>
        <w:pStyle w:val="7"/>
        <w:pageBreakBefore w:val="0"/>
        <w:tabs>
          <w:tab w:val="left" w:pos="984"/>
        </w:tabs>
        <w:topLinePunct w:val="0"/>
        <w:bidi w:val="0"/>
        <w:spacing w:line="500" w:lineRule="exact"/>
        <w:ind w:left="0" w:leftChars="0" w:right="0" w:rightChars="0" w:firstLine="482" w:firstLineChars="200"/>
        <w:rPr>
          <w:color w:val="auto"/>
        </w:rPr>
      </w:pPr>
      <w:r>
        <w:rPr>
          <w:color w:val="auto"/>
        </w:rPr>
        <w:t>2</w:t>
      </w:r>
      <w:r>
        <w:rPr>
          <w:rFonts w:hint="eastAsia"/>
          <w:color w:val="auto"/>
        </w:rPr>
        <w:t>.投标费用</w:t>
      </w:r>
    </w:p>
    <w:p w14:paraId="72F91C65">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不论投标结果如何，</w:t>
      </w:r>
      <w:r>
        <w:rPr>
          <w:rFonts w:hint="eastAsia"/>
          <w:color w:val="auto"/>
          <w:sz w:val="24"/>
          <w:szCs w:val="24"/>
          <w:lang w:val="en-US" w:eastAsia="zh-CN"/>
        </w:rPr>
        <w:t>供应商</w:t>
      </w:r>
      <w:r>
        <w:rPr>
          <w:rFonts w:hint="eastAsia"/>
          <w:color w:val="auto"/>
          <w:sz w:val="24"/>
          <w:szCs w:val="24"/>
          <w:lang w:val="en-US"/>
        </w:rPr>
        <w:t>准备和参加投标活动的费用自理。</w:t>
      </w:r>
    </w:p>
    <w:p w14:paraId="35E16F65">
      <w:pPr>
        <w:pStyle w:val="7"/>
        <w:pageBreakBefore w:val="0"/>
        <w:tabs>
          <w:tab w:val="left" w:pos="984"/>
        </w:tabs>
        <w:topLinePunct w:val="0"/>
        <w:bidi w:val="0"/>
        <w:spacing w:line="500" w:lineRule="exact"/>
        <w:ind w:left="0" w:leftChars="0" w:right="0" w:rightChars="0" w:firstLine="482" w:firstLineChars="200"/>
        <w:rPr>
          <w:color w:val="auto"/>
        </w:rPr>
      </w:pPr>
      <w:r>
        <w:rPr>
          <w:color w:val="auto"/>
        </w:rPr>
        <w:t>3</w:t>
      </w:r>
      <w:r>
        <w:rPr>
          <w:rFonts w:hint="eastAsia"/>
          <w:color w:val="auto"/>
        </w:rPr>
        <w:t xml:space="preserve">.名词解释 </w:t>
      </w:r>
    </w:p>
    <w:p w14:paraId="61C117E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3.1 采购人系指依法进行政府采购的国家机关、事业单位、团体组织。本次采购的采购人名称、地址、电话、联系人见</w:t>
      </w:r>
      <w:r>
        <w:rPr>
          <w:rFonts w:hint="eastAsia"/>
          <w:color w:val="auto"/>
          <w:sz w:val="24"/>
          <w:szCs w:val="24"/>
          <w:lang w:val="en-US" w:eastAsia="zh-CN"/>
        </w:rPr>
        <w:t>供应商</w:t>
      </w:r>
      <w:r>
        <w:rPr>
          <w:rFonts w:hint="eastAsia"/>
          <w:color w:val="auto"/>
          <w:sz w:val="24"/>
          <w:szCs w:val="24"/>
          <w:lang w:val="en-US"/>
        </w:rPr>
        <w:t xml:space="preserve">须知前附表。 </w:t>
      </w:r>
    </w:p>
    <w:p w14:paraId="0CD141D9">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 xml:space="preserve">3.2 监督机构系指政府采购行政监督管理部门。 </w:t>
      </w:r>
    </w:p>
    <w:p w14:paraId="661689F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3.3 采购代理机构系指接受采购人委托，代理采购项目的依法经财政部门认定资格的采购代理机构。本次采购的采购代理机构名称、地址、电话、联系人见</w:t>
      </w:r>
      <w:r>
        <w:rPr>
          <w:rFonts w:hint="eastAsia"/>
          <w:color w:val="auto"/>
          <w:sz w:val="24"/>
          <w:szCs w:val="24"/>
          <w:lang w:val="en-US" w:eastAsia="zh-CN"/>
        </w:rPr>
        <w:t>供应商</w:t>
      </w:r>
      <w:r>
        <w:rPr>
          <w:rFonts w:hint="eastAsia"/>
          <w:color w:val="auto"/>
          <w:sz w:val="24"/>
          <w:szCs w:val="24"/>
          <w:lang w:val="en-US"/>
        </w:rPr>
        <w:t xml:space="preserve">须知前附表。 </w:t>
      </w:r>
    </w:p>
    <w:p w14:paraId="07F671B1">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 xml:space="preserve">3.4 </w:t>
      </w:r>
      <w:r>
        <w:rPr>
          <w:rFonts w:hint="eastAsia"/>
          <w:color w:val="auto"/>
          <w:sz w:val="24"/>
          <w:szCs w:val="24"/>
          <w:lang w:val="en-US" w:eastAsia="zh-CN"/>
        </w:rPr>
        <w:t>供应商</w:t>
      </w:r>
      <w:r>
        <w:rPr>
          <w:rFonts w:hint="eastAsia"/>
          <w:color w:val="auto"/>
          <w:sz w:val="24"/>
          <w:szCs w:val="24"/>
          <w:lang w:val="en-US"/>
        </w:rPr>
        <w:t xml:space="preserve">是指响应招标，参加投标竞争的法人或其他组织或个人。 </w:t>
      </w:r>
    </w:p>
    <w:p w14:paraId="791DD78E">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3.5 货物是指本招标文件中</w:t>
      </w:r>
      <w:r>
        <w:rPr>
          <w:rFonts w:hint="eastAsia"/>
          <w:color w:val="auto"/>
          <w:sz w:val="24"/>
          <w:szCs w:val="24"/>
          <w:lang w:val="en-US" w:eastAsia="zh-CN"/>
        </w:rPr>
        <w:t>第三章</w:t>
      </w:r>
      <w:r>
        <w:rPr>
          <w:rFonts w:hint="eastAsia"/>
          <w:color w:val="auto"/>
          <w:sz w:val="24"/>
          <w:szCs w:val="24"/>
          <w:lang w:val="en-US"/>
        </w:rPr>
        <w:t xml:space="preserve">所述所有货物。 </w:t>
      </w:r>
    </w:p>
    <w:p w14:paraId="302C0D4D">
      <w:pPr>
        <w:pageBreakBefore w:val="0"/>
        <w:topLinePunct w:val="0"/>
        <w:bidi w:val="0"/>
        <w:spacing w:line="500" w:lineRule="exact"/>
        <w:ind w:left="0" w:leftChars="0" w:right="0" w:rightChars="0" w:firstLine="480" w:firstLineChars="200"/>
        <w:rPr>
          <w:rFonts w:hint="eastAsia"/>
          <w:color w:val="auto"/>
          <w:sz w:val="24"/>
          <w:szCs w:val="24"/>
          <w:lang w:val="en-US" w:eastAsia="zh-CN"/>
        </w:rPr>
      </w:pPr>
      <w:r>
        <w:rPr>
          <w:rFonts w:hint="eastAsia"/>
          <w:color w:val="auto"/>
          <w:sz w:val="24"/>
          <w:szCs w:val="24"/>
          <w:lang w:val="en-US"/>
        </w:rPr>
        <w:t>3.6 服务是指</w:t>
      </w:r>
      <w:r>
        <w:rPr>
          <w:rFonts w:hint="eastAsia"/>
          <w:color w:val="auto"/>
          <w:sz w:val="24"/>
          <w:szCs w:val="24"/>
          <w:lang w:val="en-US" w:eastAsia="zh-CN"/>
        </w:rPr>
        <w:t>供应商</w:t>
      </w:r>
      <w:r>
        <w:rPr>
          <w:rFonts w:hint="eastAsia"/>
          <w:color w:val="auto"/>
          <w:sz w:val="24"/>
          <w:szCs w:val="24"/>
          <w:lang w:val="en-US"/>
        </w:rPr>
        <w:t>为</w:t>
      </w:r>
      <w:r>
        <w:rPr>
          <w:rFonts w:hint="eastAsia"/>
          <w:color w:val="auto"/>
          <w:sz w:val="24"/>
          <w:szCs w:val="24"/>
          <w:lang w:val="en-US" w:eastAsia="zh-CN"/>
        </w:rPr>
        <w:t xml:space="preserve">满足招标文件要求而提供的服务。 </w:t>
      </w:r>
    </w:p>
    <w:p w14:paraId="4DCADCC6">
      <w:pPr>
        <w:pageBreakBefore w:val="0"/>
        <w:topLinePunct w:val="0"/>
        <w:bidi w:val="0"/>
        <w:spacing w:line="500" w:lineRule="exact"/>
        <w:ind w:left="0" w:leftChars="0" w:right="0" w:rightChars="0" w:firstLine="480" w:firstLineChars="200"/>
        <w:rPr>
          <w:rFonts w:hint="eastAsia"/>
          <w:color w:val="auto"/>
          <w:sz w:val="24"/>
          <w:szCs w:val="24"/>
          <w:lang w:val="en-US" w:eastAsia="zh-CN"/>
        </w:rPr>
      </w:pPr>
      <w:r>
        <w:rPr>
          <w:rFonts w:hint="eastAsia"/>
          <w:color w:val="auto"/>
          <w:sz w:val="24"/>
          <w:szCs w:val="24"/>
          <w:lang w:val="en-US" w:eastAsia="zh-CN"/>
        </w:rPr>
        <w:t xml:space="preserve">3.7 节能产品指财政部、发展改革委、生态环境部等部门发布的《节能产品品目清单》中的产品。 </w:t>
      </w:r>
    </w:p>
    <w:p w14:paraId="326B655D">
      <w:pPr>
        <w:pageBreakBefore w:val="0"/>
        <w:topLinePunct w:val="0"/>
        <w:bidi w:val="0"/>
        <w:spacing w:line="500" w:lineRule="exact"/>
        <w:ind w:left="0" w:leftChars="0" w:right="0" w:rightChars="0" w:firstLine="480" w:firstLineChars="200"/>
        <w:rPr>
          <w:rFonts w:hint="eastAsia"/>
          <w:color w:val="auto"/>
          <w:sz w:val="24"/>
          <w:szCs w:val="24"/>
          <w:lang w:val="en-US" w:eastAsia="zh-CN"/>
        </w:rPr>
      </w:pPr>
      <w:r>
        <w:rPr>
          <w:rFonts w:hint="eastAsia"/>
          <w:color w:val="auto"/>
          <w:sz w:val="24"/>
          <w:szCs w:val="24"/>
          <w:lang w:val="en-US" w:eastAsia="zh-CN"/>
        </w:rPr>
        <w:t xml:space="preserve">3.8 环境标志产品是指财政部、发展改革委、生态环境部等部门发布的《环境标志产品品目清单》中的产品。 </w:t>
      </w:r>
    </w:p>
    <w:p w14:paraId="222D9E3B">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eastAsia="zh-CN"/>
        </w:rPr>
        <w:t>3.9 进口产品是指通过中国海关报关验放进入中国境内且产自关境外的产品，详见《关于政府采购进口产品管理有关问题的通知》（财库〔2007〕</w:t>
      </w:r>
      <w:r>
        <w:rPr>
          <w:rFonts w:hint="eastAsia"/>
          <w:color w:val="auto"/>
          <w:sz w:val="24"/>
          <w:szCs w:val="24"/>
          <w:lang w:val="en-US"/>
        </w:rPr>
        <w:t>119 号</w:t>
      </w:r>
      <w:r>
        <w:rPr>
          <w:rFonts w:hint="eastAsia"/>
          <w:color w:val="auto"/>
          <w:sz w:val="24"/>
          <w:szCs w:val="24"/>
          <w:lang w:val="en-US" w:eastAsia="zh-CN"/>
        </w:rPr>
        <w:t>）</w:t>
      </w:r>
      <w:r>
        <w:rPr>
          <w:rFonts w:hint="eastAsia"/>
          <w:color w:val="auto"/>
          <w:sz w:val="24"/>
          <w:szCs w:val="24"/>
          <w:lang w:val="en-US"/>
        </w:rPr>
        <w:t xml:space="preserve">。 </w:t>
      </w:r>
    </w:p>
    <w:p w14:paraId="63EDC62B">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3.10 中小企业是指符合《工业和信息化部、国家统计局、国家发展和改革委员会、财政部关于印发中小企业划型标准规定的通知》（工信部联企业</w:t>
      </w:r>
      <w:r>
        <w:rPr>
          <w:rFonts w:hint="eastAsia"/>
          <w:color w:val="auto"/>
          <w:sz w:val="24"/>
          <w:szCs w:val="24"/>
          <w:lang w:val="en-US" w:eastAsia="zh-CN"/>
        </w:rPr>
        <w:t>〔2011〕</w:t>
      </w:r>
      <w:r>
        <w:rPr>
          <w:rFonts w:hint="eastAsia"/>
          <w:color w:val="auto"/>
          <w:sz w:val="24"/>
          <w:szCs w:val="24"/>
          <w:lang w:val="en-US"/>
        </w:rPr>
        <w:t xml:space="preserve">300 号）规定的对中小企业的划分标准的企业。 </w:t>
      </w:r>
    </w:p>
    <w:p w14:paraId="185E7B01">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 xml:space="preserve">3.11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13D5DF7D">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3.12 残疾人福利性单位是指符合《财政部、民政部、中国残疾人联合会关于促进残疾人就业政府采购政策的通知》（财库〔2017〕141 号）规定条件的单位。</w:t>
      </w:r>
    </w:p>
    <w:p w14:paraId="7A8583E6">
      <w:pPr>
        <w:pStyle w:val="7"/>
        <w:pageBreakBefore w:val="0"/>
        <w:tabs>
          <w:tab w:val="left" w:pos="984"/>
        </w:tabs>
        <w:topLinePunct w:val="0"/>
        <w:bidi w:val="0"/>
        <w:spacing w:line="500" w:lineRule="exact"/>
        <w:ind w:left="0" w:leftChars="0" w:right="0" w:rightChars="0" w:firstLine="482" w:firstLineChars="200"/>
        <w:rPr>
          <w:rFonts w:hint="eastAsia" w:eastAsia="宋体"/>
          <w:color w:val="auto"/>
          <w:lang w:eastAsia="zh-CN"/>
        </w:rPr>
      </w:pPr>
      <w:r>
        <w:rPr>
          <w:rFonts w:hint="eastAsia"/>
          <w:color w:val="auto"/>
        </w:rPr>
        <w:t>4.合格的</w:t>
      </w:r>
      <w:r>
        <w:rPr>
          <w:rFonts w:hint="eastAsia"/>
          <w:color w:val="auto"/>
          <w:lang w:eastAsia="zh-CN"/>
        </w:rPr>
        <w:t>供应商</w:t>
      </w:r>
    </w:p>
    <w:p w14:paraId="32E33FC1">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4.1合格的</w:t>
      </w:r>
      <w:r>
        <w:rPr>
          <w:rFonts w:hint="eastAsia"/>
          <w:color w:val="auto"/>
          <w:sz w:val="24"/>
          <w:szCs w:val="24"/>
          <w:lang w:val="en-US" w:eastAsia="zh-CN"/>
        </w:rPr>
        <w:t>供应商</w:t>
      </w:r>
      <w:r>
        <w:rPr>
          <w:rFonts w:hint="eastAsia"/>
          <w:color w:val="auto"/>
          <w:sz w:val="24"/>
          <w:szCs w:val="24"/>
          <w:lang w:val="en-US"/>
        </w:rPr>
        <w:t>应具备以下条件：</w:t>
      </w:r>
    </w:p>
    <w:p w14:paraId="47B80E6D">
      <w:pPr>
        <w:pageBreakBefore w:val="0"/>
        <w:topLinePunct w:val="0"/>
        <w:bidi w:val="0"/>
        <w:spacing w:line="500" w:lineRule="exact"/>
        <w:ind w:left="0" w:leftChars="0" w:right="0" w:rightChars="0" w:firstLine="480" w:firstLineChars="200"/>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（1）具备且满足“招标公告”要求的；</w:t>
      </w:r>
    </w:p>
    <w:p w14:paraId="3FF00184">
      <w:pPr>
        <w:pageBreakBefore w:val="0"/>
        <w:topLinePunct w:val="0"/>
        <w:bidi w:val="0"/>
        <w:spacing w:line="500" w:lineRule="exact"/>
        <w:ind w:left="0" w:leftChars="0" w:right="0" w:rightChars="0" w:firstLine="480" w:firstLineChars="200"/>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（2）</w:t>
      </w:r>
      <w:r>
        <w:rPr>
          <w:rFonts w:hint="eastAsia" w:ascii="宋体" w:hAnsi="宋体" w:eastAsia="宋体" w:cs="宋体"/>
          <w:color w:val="auto"/>
          <w:sz w:val="24"/>
          <w:szCs w:val="24"/>
          <w:lang w:val="en-US" w:eastAsia="zh-CN"/>
        </w:rPr>
        <w:t>供应商必须在全国公共资源交易中心平台（陕西省·安康市）获取招标文件，并按招标文件要求制作上传投标文件。</w:t>
      </w:r>
    </w:p>
    <w:p w14:paraId="239F835E">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w:t>
      </w:r>
      <w:r>
        <w:rPr>
          <w:rFonts w:hint="eastAsia"/>
          <w:color w:val="auto"/>
          <w:sz w:val="24"/>
          <w:szCs w:val="24"/>
          <w:lang w:val="en-US" w:eastAsia="zh-CN"/>
        </w:rPr>
        <w:t>3</w:t>
      </w:r>
      <w:r>
        <w:rPr>
          <w:rFonts w:hint="eastAsia"/>
          <w:color w:val="auto"/>
          <w:sz w:val="24"/>
          <w:szCs w:val="24"/>
          <w:lang w:val="en-US"/>
        </w:rPr>
        <w:t>）遵守国家、陕西省和安康市有关的法律、法规和规范性文件要求；</w:t>
      </w:r>
    </w:p>
    <w:p w14:paraId="08091A8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w:t>
      </w:r>
      <w:r>
        <w:rPr>
          <w:rFonts w:hint="eastAsia"/>
          <w:color w:val="auto"/>
          <w:sz w:val="24"/>
          <w:szCs w:val="24"/>
          <w:lang w:val="en-US" w:eastAsia="zh-CN"/>
        </w:rPr>
        <w:t>4</w:t>
      </w:r>
      <w:r>
        <w:rPr>
          <w:rFonts w:hint="eastAsia"/>
          <w:color w:val="auto"/>
          <w:sz w:val="24"/>
          <w:szCs w:val="24"/>
          <w:lang w:val="en-US"/>
        </w:rPr>
        <w:t>）招标文件和法律、行政法规规定的其他条件。</w:t>
      </w:r>
    </w:p>
    <w:p w14:paraId="32B0D68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4.2</w:t>
      </w:r>
      <w:r>
        <w:rPr>
          <w:rFonts w:hint="eastAsia"/>
          <w:color w:val="auto"/>
          <w:sz w:val="24"/>
          <w:szCs w:val="24"/>
          <w:lang w:val="en-US" w:eastAsia="zh-CN"/>
        </w:rPr>
        <w:t>供应商</w:t>
      </w:r>
      <w:r>
        <w:rPr>
          <w:rFonts w:hint="eastAsia"/>
          <w:color w:val="auto"/>
          <w:sz w:val="24"/>
          <w:szCs w:val="24"/>
          <w:lang w:val="en-US"/>
        </w:rPr>
        <w:t>不得存在下列情形之一：</w:t>
      </w:r>
    </w:p>
    <w:p w14:paraId="1CEB1886">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（l）与采购人、采购代理机构存在隶属关系或者其他利害关系；</w:t>
      </w:r>
    </w:p>
    <w:p w14:paraId="3F9F8738">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（2）与其他</w:t>
      </w:r>
      <w:r>
        <w:rPr>
          <w:rFonts w:hint="eastAsia"/>
          <w:color w:val="auto"/>
          <w:sz w:val="24"/>
          <w:szCs w:val="24"/>
          <w:lang w:val="en-US" w:eastAsia="zh-CN"/>
        </w:rPr>
        <w:t>投标人</w:t>
      </w:r>
      <w:r>
        <w:rPr>
          <w:rFonts w:hint="eastAsia"/>
          <w:color w:val="auto"/>
          <w:sz w:val="24"/>
          <w:szCs w:val="24"/>
          <w:lang w:val="en-US"/>
        </w:rPr>
        <w:t>的法定代表人（或者负责人）为同一人，或者与其他</w:t>
      </w:r>
      <w:r>
        <w:rPr>
          <w:rFonts w:hint="eastAsia"/>
          <w:color w:val="auto"/>
          <w:sz w:val="24"/>
          <w:szCs w:val="24"/>
          <w:lang w:val="en-US" w:eastAsia="zh-CN"/>
        </w:rPr>
        <w:t>投标</w:t>
      </w:r>
      <w:r>
        <w:rPr>
          <w:rFonts w:hint="eastAsia"/>
          <w:color w:val="auto"/>
          <w:sz w:val="24"/>
          <w:szCs w:val="24"/>
          <w:lang w:val="en-US"/>
        </w:rPr>
        <w:t>人存在控股、关联关系；</w:t>
      </w:r>
    </w:p>
    <w:p w14:paraId="0EF42DD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（3）受到刑事处罚；</w:t>
      </w:r>
    </w:p>
    <w:p w14:paraId="54FFE6E0">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（4）受到财政部门的行政处罚；</w:t>
      </w:r>
    </w:p>
    <w:p w14:paraId="3FDF7069">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（5）被责令停产停业、暂扣或者吊销许可证、暂扣或者吊销执照的行政处罚；</w:t>
      </w:r>
    </w:p>
    <w:p w14:paraId="3E03E25B">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（6）在一至三年内禁止参加政府采购活动或存在财政部门认定的其他重大违法记录。</w:t>
      </w:r>
    </w:p>
    <w:p w14:paraId="32C0D8B8">
      <w:pPr>
        <w:pStyle w:val="7"/>
        <w:pageBreakBefore w:val="0"/>
        <w:tabs>
          <w:tab w:val="left" w:pos="984"/>
        </w:tabs>
        <w:topLinePunct w:val="0"/>
        <w:bidi w:val="0"/>
        <w:spacing w:line="500" w:lineRule="exact"/>
        <w:ind w:left="0" w:leftChars="0" w:right="0" w:rightChars="0" w:firstLine="482" w:firstLineChars="200"/>
        <w:rPr>
          <w:color w:val="auto"/>
        </w:rPr>
      </w:pPr>
      <w:r>
        <w:rPr>
          <w:rFonts w:hint="eastAsia"/>
          <w:color w:val="auto"/>
        </w:rPr>
        <w:t>5.合格的货物（产品）和服务</w:t>
      </w:r>
    </w:p>
    <w:p w14:paraId="16CD42B3">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5.1</w:t>
      </w:r>
      <w:r>
        <w:rPr>
          <w:rFonts w:hint="eastAsia"/>
          <w:color w:val="auto"/>
          <w:sz w:val="24"/>
          <w:szCs w:val="24"/>
          <w:lang w:val="en-US" w:eastAsia="zh-CN"/>
        </w:rPr>
        <w:t>供应商</w:t>
      </w:r>
      <w:r>
        <w:rPr>
          <w:rFonts w:hint="eastAsia"/>
          <w:color w:val="auto"/>
          <w:sz w:val="24"/>
          <w:szCs w:val="24"/>
          <w:lang w:val="en-US"/>
        </w:rPr>
        <w:t>提供的所有产品和服务，必须是合法生产、合法来源，符合国家有关标准要求，并满足招标文件规定的规格、参数、质量、价格、有效期、售后服务及</w:t>
      </w:r>
      <w:r>
        <w:rPr>
          <w:rFonts w:hint="eastAsia"/>
          <w:color w:val="auto"/>
          <w:sz w:val="24"/>
          <w:szCs w:val="24"/>
          <w:lang w:val="en-US" w:eastAsia="zh-CN"/>
        </w:rPr>
        <w:t>供应商</w:t>
      </w:r>
      <w:r>
        <w:rPr>
          <w:rFonts w:hint="eastAsia"/>
          <w:color w:val="auto"/>
          <w:sz w:val="24"/>
          <w:szCs w:val="24"/>
          <w:lang w:val="en-US"/>
        </w:rPr>
        <w:t>须承担的运输、配送、技术支</w:t>
      </w:r>
      <w:r>
        <w:rPr>
          <w:rFonts w:hint="eastAsia"/>
          <w:color w:val="auto"/>
          <w:sz w:val="24"/>
          <w:szCs w:val="24"/>
          <w:lang w:val="en-US" w:eastAsia="zh-CN"/>
        </w:rPr>
        <w:t>持及</w:t>
      </w:r>
      <w:r>
        <w:rPr>
          <w:rFonts w:hint="eastAsia"/>
          <w:color w:val="auto"/>
          <w:sz w:val="24"/>
          <w:szCs w:val="24"/>
          <w:lang w:val="en-US"/>
        </w:rPr>
        <w:t>招标文件规定</w:t>
      </w:r>
      <w:r>
        <w:rPr>
          <w:rFonts w:hint="eastAsia"/>
          <w:color w:val="auto"/>
          <w:sz w:val="24"/>
          <w:szCs w:val="24"/>
          <w:lang w:val="en-US" w:eastAsia="zh-CN"/>
        </w:rPr>
        <w:t>的其他</w:t>
      </w:r>
      <w:r>
        <w:rPr>
          <w:rFonts w:hint="eastAsia"/>
          <w:color w:val="auto"/>
          <w:sz w:val="24"/>
          <w:szCs w:val="24"/>
          <w:lang w:val="en-US"/>
        </w:rPr>
        <w:t>伴随服务等要求。</w:t>
      </w:r>
    </w:p>
    <w:p w14:paraId="1F8C8E72">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5.2采购人有权拒绝接受任何不合格的产品和服务，由此产生的费用及相关后果均由</w:t>
      </w:r>
      <w:r>
        <w:rPr>
          <w:rFonts w:hint="eastAsia"/>
          <w:color w:val="auto"/>
          <w:sz w:val="24"/>
          <w:szCs w:val="24"/>
          <w:lang w:val="en-US" w:eastAsia="zh-CN"/>
        </w:rPr>
        <w:t>供应商</w:t>
      </w:r>
      <w:r>
        <w:rPr>
          <w:rFonts w:hint="eastAsia"/>
          <w:color w:val="auto"/>
          <w:sz w:val="24"/>
          <w:szCs w:val="24"/>
          <w:lang w:val="en-US"/>
        </w:rPr>
        <w:t>自行承担。</w:t>
      </w:r>
    </w:p>
    <w:p w14:paraId="2D7A2BEB">
      <w:pPr>
        <w:pStyle w:val="7"/>
        <w:pageBreakBefore w:val="0"/>
        <w:tabs>
          <w:tab w:val="left" w:pos="984"/>
        </w:tabs>
        <w:topLinePunct w:val="0"/>
        <w:bidi w:val="0"/>
        <w:spacing w:line="500" w:lineRule="exact"/>
        <w:ind w:left="0" w:leftChars="0" w:right="0" w:rightChars="0" w:firstLine="482" w:firstLineChars="200"/>
        <w:rPr>
          <w:rFonts w:hint="eastAsia"/>
          <w:b/>
          <w:bCs/>
          <w:color w:val="auto"/>
          <w:sz w:val="24"/>
          <w:szCs w:val="24"/>
          <w:lang w:val="en-US" w:eastAsia="zh-CN"/>
        </w:rPr>
      </w:pPr>
      <w:r>
        <w:rPr>
          <w:rFonts w:hint="eastAsia"/>
          <w:b/>
          <w:bCs/>
          <w:color w:val="auto"/>
          <w:sz w:val="24"/>
          <w:szCs w:val="24"/>
          <w:lang w:val="en-US" w:eastAsia="zh-CN"/>
        </w:rPr>
        <w:t>5.3根据《陕西省中小学、幼儿园集中用餐管理办法（试行）》第三十二条 本着‘有竞争、有比较、有备份’原则，合理确定中标单位” 的要求，为提高采购效率与灵活性、简化区域内配送流程、缩短响应时间，分散降低采购风险以避免因单一供应商问题导致全域供餐受影响,为提高校园食品安全，保障学生用餐质量及学生健康成长，本次招标共设3个合同包，投标人可对其中任何合同包进行投标，但最多只能中标1个合同包，开标按包号从小到大依次评审，若某投标人在前序包号已中标，则该投标人后续所有包号均不再授予中标资格。</w:t>
      </w:r>
    </w:p>
    <w:p w14:paraId="29869FF5">
      <w:pPr>
        <w:pStyle w:val="7"/>
        <w:pageBreakBefore w:val="0"/>
        <w:tabs>
          <w:tab w:val="left" w:pos="984"/>
        </w:tabs>
        <w:topLinePunct w:val="0"/>
        <w:bidi w:val="0"/>
        <w:spacing w:line="500" w:lineRule="exact"/>
        <w:ind w:left="0" w:leftChars="0" w:right="0" w:rightChars="0" w:firstLine="482" w:firstLineChars="200"/>
        <w:rPr>
          <w:color w:val="auto"/>
        </w:rPr>
      </w:pPr>
      <w:r>
        <w:rPr>
          <w:rFonts w:hint="eastAsia"/>
          <w:color w:val="auto"/>
        </w:rPr>
        <w:t>6.知识产权</w:t>
      </w:r>
    </w:p>
    <w:p w14:paraId="323A67F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6.1</w:t>
      </w:r>
      <w:r>
        <w:rPr>
          <w:rFonts w:hint="eastAsia"/>
          <w:color w:val="auto"/>
          <w:sz w:val="24"/>
          <w:szCs w:val="24"/>
          <w:lang w:val="en-US" w:eastAsia="zh-CN"/>
        </w:rPr>
        <w:t>供应商</w:t>
      </w:r>
      <w:r>
        <w:rPr>
          <w:rFonts w:hint="eastAsia"/>
          <w:color w:val="auto"/>
          <w:sz w:val="24"/>
          <w:szCs w:val="24"/>
          <w:lang w:val="en-US"/>
        </w:rPr>
        <w:t>应保证在本项目使用的任何产品和服务（包括部分使用）时，不会产生因第三方提出侵犯其专利权、商标权或其它知识产权而引起的法律和经济纠纷，如因专利权、商标权或其它知识产权而引起法律和经济纠纷，由</w:t>
      </w:r>
      <w:r>
        <w:rPr>
          <w:rFonts w:hint="eastAsia"/>
          <w:color w:val="auto"/>
          <w:sz w:val="24"/>
          <w:szCs w:val="24"/>
          <w:lang w:val="en-US" w:eastAsia="zh-CN"/>
        </w:rPr>
        <w:t>供应商</w:t>
      </w:r>
      <w:r>
        <w:rPr>
          <w:rFonts w:hint="eastAsia"/>
          <w:color w:val="auto"/>
          <w:sz w:val="24"/>
          <w:szCs w:val="24"/>
          <w:lang w:val="en-US"/>
        </w:rPr>
        <w:t>承担所有相关责任。</w:t>
      </w:r>
    </w:p>
    <w:p w14:paraId="75EA7480">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6.2采购人享有本项目实施过程中产生的知识成果及知识产权。</w:t>
      </w:r>
    </w:p>
    <w:p w14:paraId="24577DA3">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6.3如采用</w:t>
      </w:r>
      <w:r>
        <w:rPr>
          <w:rFonts w:hint="eastAsia"/>
          <w:color w:val="auto"/>
          <w:sz w:val="24"/>
          <w:szCs w:val="24"/>
          <w:lang w:val="en-US" w:eastAsia="zh-CN"/>
        </w:rPr>
        <w:t>供应商</w:t>
      </w:r>
      <w:r>
        <w:rPr>
          <w:rFonts w:hint="eastAsia"/>
          <w:color w:val="auto"/>
          <w:sz w:val="24"/>
          <w:szCs w:val="24"/>
          <w:lang w:val="en-US"/>
        </w:rPr>
        <w:t>所不拥有的知识产权，则在投标报价中必须包括合法获取该知识产权的相关费用。</w:t>
      </w:r>
    </w:p>
    <w:p w14:paraId="54C7D735">
      <w:pPr>
        <w:pageBreakBefore w:val="0"/>
        <w:topLinePunct w:val="0"/>
        <w:bidi w:val="0"/>
        <w:spacing w:line="500" w:lineRule="exact"/>
        <w:ind w:left="0" w:leftChars="0" w:right="0" w:rightChars="0" w:firstLine="480" w:firstLineChars="200"/>
        <w:rPr>
          <w:color w:val="auto"/>
          <w:sz w:val="24"/>
          <w:szCs w:val="24"/>
          <w:lang w:val="en-US"/>
        </w:rPr>
      </w:pPr>
    </w:p>
    <w:p w14:paraId="52E7D65F">
      <w:pPr>
        <w:pStyle w:val="5"/>
        <w:pageBreakBefore w:val="0"/>
        <w:topLinePunct w:val="0"/>
        <w:bidi w:val="0"/>
        <w:spacing w:line="500" w:lineRule="exact"/>
        <w:ind w:left="0" w:leftChars="0" w:right="0" w:rightChars="0" w:firstLine="562" w:firstLineChars="200"/>
        <w:rPr>
          <w:color w:val="auto"/>
        </w:rPr>
      </w:pPr>
      <w:bookmarkStart w:id="5" w:name="二、招标文件"/>
      <w:bookmarkEnd w:id="5"/>
      <w:r>
        <w:rPr>
          <w:color w:val="auto"/>
        </w:rPr>
        <w:t>二、招标文件</w:t>
      </w:r>
    </w:p>
    <w:p w14:paraId="70CA29D9">
      <w:pPr>
        <w:pStyle w:val="7"/>
        <w:pageBreakBefore w:val="0"/>
        <w:topLinePunct w:val="0"/>
        <w:bidi w:val="0"/>
        <w:spacing w:line="500" w:lineRule="exact"/>
        <w:ind w:left="0" w:leftChars="0" w:right="0" w:rightChars="0" w:firstLine="482" w:firstLineChars="200"/>
        <w:rPr>
          <w:color w:val="auto"/>
        </w:rPr>
      </w:pPr>
      <w:r>
        <w:rPr>
          <w:rFonts w:hint="eastAsia"/>
          <w:color w:val="auto"/>
          <w:lang w:val="en-US"/>
        </w:rPr>
        <w:t>1.</w:t>
      </w:r>
      <w:r>
        <w:rPr>
          <w:color w:val="auto"/>
        </w:rPr>
        <w:t>招标文件的组成：</w:t>
      </w:r>
    </w:p>
    <w:p w14:paraId="42EE4F32">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招标文件用以阐明招标项目所需的资质、技术、服务及报价等要求、招标投标程序、有关规定和注意事项以及合同主要条款等。本招标文件包括以下内容：</w:t>
      </w:r>
    </w:p>
    <w:p w14:paraId="43BB4947">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 xml:space="preserve">第一章 招标公告； </w:t>
      </w:r>
    </w:p>
    <w:p w14:paraId="703FC0F7">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第二章 投标须知；</w:t>
      </w:r>
    </w:p>
    <w:p w14:paraId="2BB4EAE8">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第三章 招标采购内容及服务要求；</w:t>
      </w:r>
    </w:p>
    <w:p w14:paraId="273DD708">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第四章 商务要求；</w:t>
      </w:r>
    </w:p>
    <w:p w14:paraId="25B49B06">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 xml:space="preserve">第五章 合同主要条款； </w:t>
      </w:r>
    </w:p>
    <w:p w14:paraId="58C7567E">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第六章 投标文件格式要求。</w:t>
      </w:r>
    </w:p>
    <w:p w14:paraId="43EDD9F5">
      <w:pPr>
        <w:pStyle w:val="7"/>
        <w:pageBreakBefore w:val="0"/>
        <w:tabs>
          <w:tab w:val="left" w:pos="984"/>
        </w:tabs>
        <w:topLinePunct w:val="0"/>
        <w:bidi w:val="0"/>
        <w:spacing w:line="500" w:lineRule="exact"/>
        <w:ind w:left="0" w:leftChars="0" w:right="0" w:rightChars="0" w:firstLine="482" w:firstLineChars="200"/>
        <w:rPr>
          <w:color w:val="auto"/>
        </w:rPr>
      </w:pPr>
      <w:r>
        <w:rPr>
          <w:rFonts w:hint="eastAsia"/>
          <w:color w:val="auto"/>
          <w:lang w:val="en-US"/>
        </w:rPr>
        <w:t>2.</w:t>
      </w:r>
      <w:r>
        <w:rPr>
          <w:color w:val="auto"/>
        </w:rPr>
        <w:t>招标文件的澄清和修改：</w:t>
      </w:r>
    </w:p>
    <w:p w14:paraId="7DAB3B6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2.1提交投标文件截止时间前，采购人或采购代理机构可以以书面形式对招标文件进行必要的澄清或修改，但不得改变采购标的和资格条件，并在原信息发布媒体上发布变更公告。澄清或修改的内容均为招标文件的组成部分，并对采购人及</w:t>
      </w:r>
      <w:r>
        <w:rPr>
          <w:rFonts w:hint="eastAsia"/>
          <w:color w:val="auto"/>
          <w:sz w:val="24"/>
          <w:szCs w:val="24"/>
          <w:lang w:val="en-US" w:eastAsia="zh-CN"/>
        </w:rPr>
        <w:t>供应商</w:t>
      </w:r>
      <w:r>
        <w:rPr>
          <w:rFonts w:hint="eastAsia"/>
          <w:color w:val="auto"/>
          <w:sz w:val="24"/>
          <w:szCs w:val="24"/>
          <w:lang w:val="en-US"/>
        </w:rPr>
        <w:t>起约束作用。澄清或修改的内容可能影响投标文件编制的，都将于提交投标文件截止时间15日前以书面形式通知所有获取招标文件的潜在</w:t>
      </w:r>
      <w:r>
        <w:rPr>
          <w:rFonts w:hint="eastAsia"/>
          <w:color w:val="auto"/>
          <w:sz w:val="24"/>
          <w:szCs w:val="24"/>
          <w:lang w:val="en-US" w:eastAsia="zh-CN"/>
        </w:rPr>
        <w:t>供应商</w:t>
      </w:r>
      <w:r>
        <w:rPr>
          <w:rFonts w:hint="eastAsia"/>
          <w:color w:val="auto"/>
          <w:sz w:val="24"/>
          <w:szCs w:val="24"/>
          <w:lang w:val="en-US"/>
        </w:rPr>
        <w:t>；不足15日的，采购人或者采购代理机构应当顺延提交投标文件的截止时间。</w:t>
      </w:r>
    </w:p>
    <w:p w14:paraId="7710E80E">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2.2</w:t>
      </w:r>
      <w:r>
        <w:rPr>
          <w:rFonts w:hint="eastAsia"/>
          <w:color w:val="auto"/>
          <w:sz w:val="24"/>
          <w:szCs w:val="24"/>
          <w:lang w:val="en-US" w:eastAsia="zh-CN"/>
        </w:rPr>
        <w:t>供应商</w:t>
      </w:r>
      <w:r>
        <w:rPr>
          <w:rFonts w:hint="eastAsia"/>
          <w:color w:val="auto"/>
          <w:sz w:val="24"/>
          <w:szCs w:val="24"/>
          <w:lang w:val="en-US"/>
        </w:rPr>
        <w:t>对招标文件有疑问在投标截止时间15日前，按招标文件中规定的地址以书面形式通知采购人及采购代理机构，采购代理机构以书面形式予以答复。超过该时间收到的需要询问或澄清的内容，采购代理机构有权不予答复。</w:t>
      </w:r>
    </w:p>
    <w:p w14:paraId="3B8B3384">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2.3招标文件的澄清或修改内容均以书面形式明确的内容为准。当招标文件的澄清、修改、补充等在同一内容的表述上不一致时，以最后发出的书面文件为准。所有补充文件将作为招标文件的组成部分，对所有</w:t>
      </w:r>
      <w:r>
        <w:rPr>
          <w:rFonts w:hint="eastAsia"/>
          <w:color w:val="auto"/>
          <w:sz w:val="24"/>
          <w:szCs w:val="24"/>
          <w:lang w:val="en-US" w:eastAsia="zh-CN"/>
        </w:rPr>
        <w:t>供应商</w:t>
      </w:r>
      <w:r>
        <w:rPr>
          <w:rFonts w:hint="eastAsia"/>
          <w:color w:val="auto"/>
          <w:sz w:val="24"/>
          <w:szCs w:val="24"/>
          <w:lang w:val="en-US"/>
        </w:rPr>
        <w:t>具有约束力。</w:t>
      </w:r>
    </w:p>
    <w:p w14:paraId="5DA94E8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2.4在投标截止时间前，根据招标工作进展实际情况，采购人可酌情延长递交投标文件的截止时间。若延长将另行以书面形式通知各</w:t>
      </w:r>
      <w:r>
        <w:rPr>
          <w:rFonts w:hint="eastAsia"/>
          <w:color w:val="auto"/>
          <w:sz w:val="24"/>
          <w:szCs w:val="24"/>
          <w:lang w:val="en-US" w:eastAsia="zh-CN"/>
        </w:rPr>
        <w:t>供应商</w:t>
      </w:r>
      <w:r>
        <w:rPr>
          <w:rFonts w:hint="eastAsia"/>
          <w:color w:val="auto"/>
          <w:sz w:val="24"/>
          <w:szCs w:val="24"/>
          <w:lang w:val="en-US"/>
        </w:rPr>
        <w:t>并在原信息发布媒体上发布变更公告。采购代理机构和</w:t>
      </w:r>
      <w:r>
        <w:rPr>
          <w:rFonts w:hint="eastAsia"/>
          <w:color w:val="auto"/>
          <w:sz w:val="24"/>
          <w:szCs w:val="24"/>
          <w:lang w:val="en-US" w:eastAsia="zh-CN"/>
        </w:rPr>
        <w:t>供应商</w:t>
      </w:r>
      <w:r>
        <w:rPr>
          <w:rFonts w:hint="eastAsia"/>
          <w:color w:val="auto"/>
          <w:sz w:val="24"/>
          <w:szCs w:val="24"/>
          <w:lang w:val="en-US"/>
        </w:rPr>
        <w:t>的权利和义务将受到新的截止期的约束。</w:t>
      </w:r>
    </w:p>
    <w:p w14:paraId="6D6E1FBA">
      <w:pPr>
        <w:pStyle w:val="7"/>
        <w:pageBreakBefore w:val="0"/>
        <w:topLinePunct w:val="0"/>
        <w:bidi w:val="0"/>
        <w:spacing w:line="500" w:lineRule="exact"/>
        <w:ind w:left="0" w:leftChars="0" w:right="0" w:rightChars="0" w:firstLine="482" w:firstLineChars="200"/>
        <w:rPr>
          <w:color w:val="auto"/>
          <w:lang w:val="en-US"/>
        </w:rPr>
      </w:pPr>
      <w:r>
        <w:rPr>
          <w:rFonts w:hint="eastAsia"/>
          <w:color w:val="auto"/>
          <w:lang w:val="en-US"/>
        </w:rPr>
        <w:t>3.招标文件的获取：</w:t>
      </w:r>
    </w:p>
    <w:p w14:paraId="00305C4A">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eastAsia="zh-CN"/>
        </w:rPr>
        <w:t>供应商必须在全国公共资源交易中心平台（陕西省安康市）获取招标文件</w:t>
      </w:r>
      <w:r>
        <w:rPr>
          <w:rFonts w:hint="eastAsia"/>
          <w:color w:val="auto"/>
          <w:sz w:val="24"/>
          <w:szCs w:val="24"/>
          <w:lang w:val="en-US"/>
        </w:rPr>
        <w:t>，</w:t>
      </w:r>
      <w:r>
        <w:rPr>
          <w:rFonts w:hint="eastAsia"/>
          <w:color w:val="auto"/>
          <w:sz w:val="24"/>
          <w:szCs w:val="24"/>
          <w:lang w:val="en-US" w:eastAsia="zh-CN"/>
        </w:rPr>
        <w:t>供应商</w:t>
      </w:r>
      <w:r>
        <w:rPr>
          <w:rFonts w:hint="eastAsia"/>
          <w:color w:val="auto"/>
          <w:sz w:val="24"/>
          <w:szCs w:val="24"/>
          <w:lang w:val="en-US"/>
        </w:rPr>
        <w:t>自行转让或复制招标文件视为无效。招标文件仅作为本次招标使用。</w:t>
      </w:r>
    </w:p>
    <w:p w14:paraId="44BF9489">
      <w:pPr>
        <w:pStyle w:val="7"/>
        <w:pageBreakBefore w:val="0"/>
        <w:tabs>
          <w:tab w:val="left" w:pos="-220"/>
        </w:tabs>
        <w:topLinePunct w:val="0"/>
        <w:bidi w:val="0"/>
        <w:spacing w:line="500" w:lineRule="exact"/>
        <w:ind w:left="0" w:leftChars="0" w:right="0" w:rightChars="0" w:firstLine="482" w:firstLineChars="200"/>
        <w:rPr>
          <w:color w:val="auto"/>
          <w:lang w:val="en-US"/>
        </w:rPr>
      </w:pPr>
      <w:r>
        <w:rPr>
          <w:rFonts w:hint="eastAsia"/>
          <w:color w:val="auto"/>
          <w:lang w:val="en-US"/>
        </w:rPr>
        <w:t>4.招标文件解释权：</w:t>
      </w:r>
    </w:p>
    <w:p w14:paraId="414ACD9B">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招标文件的解释权归采购代理机构，如发现招标文件内容与现行法律法规不相符的情况，以现行法律法规为准。</w:t>
      </w:r>
    </w:p>
    <w:p w14:paraId="54FB10D6">
      <w:pPr>
        <w:pStyle w:val="7"/>
        <w:pageBreakBefore w:val="0"/>
        <w:tabs>
          <w:tab w:val="left" w:pos="-1080"/>
        </w:tabs>
        <w:topLinePunct w:val="0"/>
        <w:bidi w:val="0"/>
        <w:spacing w:line="500" w:lineRule="exact"/>
        <w:ind w:left="0" w:leftChars="0" w:right="0" w:rightChars="0" w:firstLine="482" w:firstLineChars="200"/>
        <w:rPr>
          <w:color w:val="auto"/>
          <w:lang w:val="en-US"/>
        </w:rPr>
      </w:pPr>
      <w:r>
        <w:rPr>
          <w:rFonts w:hint="eastAsia"/>
          <w:color w:val="auto"/>
          <w:lang w:val="en-US"/>
        </w:rPr>
        <w:t>5.现场勘查、标前答疑会：</w:t>
      </w:r>
    </w:p>
    <w:p w14:paraId="502B0D76">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不组织。</w:t>
      </w:r>
      <w:r>
        <w:rPr>
          <w:rFonts w:hint="eastAsia"/>
          <w:color w:val="auto"/>
          <w:sz w:val="24"/>
          <w:szCs w:val="24"/>
          <w:lang w:val="en-US" w:eastAsia="zh-CN"/>
        </w:rPr>
        <w:t>供应商</w:t>
      </w:r>
      <w:r>
        <w:rPr>
          <w:rFonts w:hint="eastAsia"/>
          <w:color w:val="auto"/>
          <w:sz w:val="24"/>
          <w:szCs w:val="24"/>
          <w:lang w:val="en-US"/>
        </w:rPr>
        <w:t>认为有必要可自行勘查，并承担所有费用及风险。</w:t>
      </w:r>
    </w:p>
    <w:p w14:paraId="44672D80">
      <w:pPr>
        <w:pageBreakBefore w:val="0"/>
        <w:topLinePunct w:val="0"/>
        <w:bidi w:val="0"/>
        <w:spacing w:line="500" w:lineRule="exact"/>
        <w:ind w:left="0" w:leftChars="0" w:right="0" w:rightChars="0" w:firstLine="480" w:firstLineChars="200"/>
        <w:rPr>
          <w:color w:val="auto"/>
          <w:sz w:val="24"/>
          <w:szCs w:val="24"/>
          <w:lang w:val="en-US"/>
        </w:rPr>
        <w:sectPr>
          <w:headerReference r:id="rId9" w:type="default"/>
          <w:footerReference r:id="rId10" w:type="default"/>
          <w:pgSz w:w="11910" w:h="16840"/>
          <w:pgMar w:top="1157" w:right="1253" w:bottom="1213" w:left="1310" w:header="872" w:footer="1005" w:gutter="0"/>
          <w:pgNumType w:fmt="decimal" w:start="1"/>
          <w:cols w:space="720" w:num="1"/>
        </w:sectPr>
      </w:pPr>
    </w:p>
    <w:p w14:paraId="59C771CF">
      <w:pPr>
        <w:pStyle w:val="5"/>
        <w:pageBreakBefore w:val="0"/>
        <w:topLinePunct w:val="0"/>
        <w:bidi w:val="0"/>
        <w:spacing w:line="500" w:lineRule="exact"/>
        <w:ind w:left="0" w:leftChars="0" w:right="0" w:rightChars="0" w:firstLine="562" w:firstLineChars="200"/>
        <w:rPr>
          <w:rFonts w:hint="eastAsia" w:ascii="宋体" w:hAnsi="宋体" w:eastAsia="宋体" w:cs="宋体"/>
          <w:b/>
          <w:bCs/>
          <w:color w:val="auto"/>
          <w:sz w:val="28"/>
          <w:szCs w:val="28"/>
          <w:lang w:val="en-US" w:eastAsia="zh-CN" w:bidi="zh-CN"/>
        </w:rPr>
      </w:pPr>
      <w:r>
        <w:rPr>
          <w:rFonts w:hint="eastAsia" w:ascii="宋体" w:hAnsi="宋体" w:eastAsia="宋体" w:cs="宋体"/>
          <w:b/>
          <w:bCs/>
          <w:color w:val="auto"/>
          <w:sz w:val="28"/>
          <w:szCs w:val="28"/>
          <w:lang w:val="en-US" w:eastAsia="zh-CN" w:bidi="zh-CN"/>
        </w:rPr>
        <w:t>三、供应商</w:t>
      </w:r>
    </w:p>
    <w:p w14:paraId="01D5861D">
      <w:pPr>
        <w:pStyle w:val="7"/>
        <w:pageBreakBefore w:val="0"/>
        <w:numPr>
          <w:ilvl w:val="0"/>
          <w:numId w:val="0"/>
        </w:numPr>
        <w:tabs>
          <w:tab w:val="left" w:pos="-220"/>
        </w:tabs>
        <w:topLinePunct w:val="0"/>
        <w:bidi w:val="0"/>
        <w:spacing w:line="500" w:lineRule="exact"/>
        <w:ind w:leftChars="200" w:right="0" w:rightChars="0"/>
        <w:jc w:val="both"/>
        <w:rPr>
          <w:rFonts w:hint="eastAsia" w:ascii="宋体" w:hAnsi="宋体" w:eastAsia="宋体" w:cs="宋体"/>
          <w:b/>
          <w:bCs/>
          <w:color w:val="auto"/>
          <w:sz w:val="24"/>
          <w:szCs w:val="24"/>
          <w:lang w:val="en-US" w:eastAsia="zh-CN" w:bidi="zh-CN"/>
        </w:rPr>
      </w:pPr>
      <w:r>
        <w:rPr>
          <w:rFonts w:hint="eastAsia" w:cs="宋体"/>
          <w:b/>
          <w:bCs/>
          <w:color w:val="auto"/>
          <w:sz w:val="24"/>
          <w:szCs w:val="24"/>
          <w:lang w:val="en-US" w:eastAsia="zh-CN" w:bidi="zh-CN"/>
        </w:rPr>
        <w:t>1.</w:t>
      </w:r>
      <w:r>
        <w:rPr>
          <w:rFonts w:hint="eastAsia" w:ascii="宋体" w:hAnsi="宋体" w:eastAsia="宋体" w:cs="宋体"/>
          <w:b/>
          <w:bCs/>
          <w:color w:val="auto"/>
          <w:sz w:val="24"/>
          <w:szCs w:val="24"/>
          <w:lang w:val="en-US" w:eastAsia="zh-CN" w:bidi="zh-CN"/>
        </w:rPr>
        <w:t>供应商资格要求应包括：</w:t>
      </w:r>
    </w:p>
    <w:p w14:paraId="731949B3">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cs="宋体"/>
          <w:i w:val="0"/>
          <w:iCs w:val="0"/>
          <w:caps w:val="0"/>
          <w:color w:val="auto"/>
          <w:spacing w:val="0"/>
          <w:sz w:val="24"/>
          <w:szCs w:val="24"/>
          <w:shd w:val="clear" w:color="auto" w:fill="FFFFFF"/>
          <w:lang w:eastAsia="zh-CN"/>
        </w:rPr>
        <w:t>A片区米面油、牛奶采购</w:t>
      </w:r>
      <w:r>
        <w:rPr>
          <w:rFonts w:hint="eastAsia" w:ascii="宋体" w:hAnsi="宋体" w:eastAsia="宋体" w:cs="宋体"/>
          <w:i w:val="0"/>
          <w:iCs w:val="0"/>
          <w:caps w:val="0"/>
          <w:color w:val="auto"/>
          <w:spacing w:val="0"/>
          <w:sz w:val="24"/>
          <w:szCs w:val="24"/>
          <w:shd w:val="clear" w:color="auto" w:fill="FFFFFF"/>
        </w:rPr>
        <w:t>)特定资格要求如下:</w:t>
      </w:r>
    </w:p>
    <w:p w14:paraId="1B79BA68">
      <w:pPr>
        <w:pStyle w:val="20"/>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具有独立承担民事责任的能力，提供营业执照、税务登记证、组织机构代码证或登载有统一社会信用代码的营业执照（或《事业单位法人证书》或其他合法组织登记证书、自然人只须提供身份证）；</w:t>
      </w:r>
    </w:p>
    <w:p w14:paraId="71C9F53B">
      <w:pPr>
        <w:pStyle w:val="20"/>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提供法定代表人授权书（附法定代表人身份证复印件）及被授权代理人身份证复印件（法定代表人直接参加时只需提供法定代表人身份证复印件）；</w:t>
      </w:r>
    </w:p>
    <w:p w14:paraId="79A551E0">
      <w:pPr>
        <w:pStyle w:val="20"/>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lang w:eastAsia="zh-CN"/>
        </w:rPr>
        <w:t>供应商若为生产厂家的须提供《食品生产许可证》；供应商为代理商的须提供《食品经营许可证》或《陕西省仅销售预包装食品经营者备案表》，并提供生产厂家的《食品生产许可证》（复印件加盖生产厂家公章）；</w:t>
      </w:r>
    </w:p>
    <w:p w14:paraId="6406A554">
      <w:pPr>
        <w:pStyle w:val="20"/>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财务状况报告：</w:t>
      </w:r>
      <w:r>
        <w:rPr>
          <w:rFonts w:hint="eastAsia" w:cs="宋体"/>
          <w:i w:val="0"/>
          <w:iCs w:val="0"/>
          <w:caps w:val="0"/>
          <w:color w:val="auto"/>
          <w:spacing w:val="0"/>
          <w:sz w:val="24"/>
          <w:szCs w:val="24"/>
          <w:shd w:val="clear" w:color="auto" w:fill="FFFFFF"/>
          <w:lang w:eastAsia="zh-CN"/>
        </w:rPr>
        <w:t>提供2025年的财务审计报告</w:t>
      </w:r>
      <w:r>
        <w:rPr>
          <w:rFonts w:hint="eastAsia" w:ascii="宋体" w:hAnsi="宋体" w:eastAsia="宋体" w:cs="宋体"/>
          <w:i w:val="0"/>
          <w:iCs w:val="0"/>
          <w:caps w:val="0"/>
          <w:color w:val="auto"/>
          <w:spacing w:val="0"/>
          <w:sz w:val="24"/>
          <w:szCs w:val="24"/>
          <w:shd w:val="clear" w:color="auto" w:fill="FFFFFF"/>
        </w:rPr>
        <w:t>（成立时间至提交响应文件截止时间不足1年的可提供成立后任意时段的资产负债表）或其基本存款账户开户银行出具的资信证明；</w:t>
      </w:r>
    </w:p>
    <w:p w14:paraId="68C6FA99">
      <w:pPr>
        <w:pStyle w:val="20"/>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税收缴纳证明：</w:t>
      </w:r>
      <w:r>
        <w:rPr>
          <w:rFonts w:hint="eastAsia" w:cs="宋体"/>
          <w:i w:val="0"/>
          <w:iCs w:val="0"/>
          <w:caps w:val="0"/>
          <w:color w:val="auto"/>
          <w:spacing w:val="0"/>
          <w:sz w:val="24"/>
          <w:szCs w:val="24"/>
          <w:shd w:val="clear" w:color="auto" w:fill="FFFFFF"/>
          <w:lang w:eastAsia="zh-CN"/>
        </w:rPr>
        <w:t>提供2026年1月至今已缴纳的至少一个月</w:t>
      </w:r>
      <w:r>
        <w:rPr>
          <w:rFonts w:hint="eastAsia" w:ascii="宋体" w:hAnsi="宋体" w:eastAsia="宋体" w:cs="宋体"/>
          <w:i w:val="0"/>
          <w:iCs w:val="0"/>
          <w:caps w:val="0"/>
          <w:color w:val="auto"/>
          <w:spacing w:val="0"/>
          <w:sz w:val="24"/>
          <w:szCs w:val="24"/>
          <w:shd w:val="clear" w:color="auto" w:fill="FFFFFF"/>
        </w:rPr>
        <w:t>的纳税证明或完税证明，依法免税的单位应提供相关证明材料；</w:t>
      </w:r>
    </w:p>
    <w:p w14:paraId="43F31A97">
      <w:pPr>
        <w:pStyle w:val="20"/>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社保缴纳证明：</w:t>
      </w:r>
      <w:r>
        <w:rPr>
          <w:rFonts w:hint="eastAsia" w:cs="宋体"/>
          <w:i w:val="0"/>
          <w:iCs w:val="0"/>
          <w:caps w:val="0"/>
          <w:color w:val="auto"/>
          <w:spacing w:val="0"/>
          <w:sz w:val="24"/>
          <w:szCs w:val="24"/>
          <w:shd w:val="clear" w:color="auto" w:fill="FFFFFF"/>
          <w:lang w:eastAsia="zh-CN"/>
        </w:rPr>
        <w:t>提供2026年1月至今至少一个月</w:t>
      </w:r>
      <w:r>
        <w:rPr>
          <w:rFonts w:hint="eastAsia" w:ascii="宋体" w:hAnsi="宋体" w:eastAsia="宋体" w:cs="宋体"/>
          <w:i w:val="0"/>
          <w:iCs w:val="0"/>
          <w:caps w:val="0"/>
          <w:color w:val="auto"/>
          <w:spacing w:val="0"/>
          <w:sz w:val="24"/>
          <w:szCs w:val="24"/>
          <w:shd w:val="clear" w:color="auto" w:fill="FFFFFF"/>
        </w:rPr>
        <w:t>的社会保障资金缴纳单据或社保机构开具的社会保险参保缴费情况证明，依法不需要缴纳社会保障资金的应提供相关证明材料；</w:t>
      </w:r>
    </w:p>
    <w:p w14:paraId="484BD175">
      <w:pPr>
        <w:pStyle w:val="20"/>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供应商须提供具备履行合同所必需的设备和专业技术能力的证明材料；</w:t>
      </w:r>
    </w:p>
    <w:p w14:paraId="22EB754A">
      <w:pPr>
        <w:pStyle w:val="20"/>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供应商必须提供参加政府采购活动近3年内在经营活动中没有重大违法记录的</w:t>
      </w:r>
      <w:r>
        <w:rPr>
          <w:rFonts w:hint="eastAsia" w:cs="宋体"/>
          <w:i w:val="0"/>
          <w:iCs w:val="0"/>
          <w:caps w:val="0"/>
          <w:color w:val="auto"/>
          <w:spacing w:val="0"/>
          <w:sz w:val="24"/>
          <w:szCs w:val="24"/>
          <w:shd w:val="clear" w:color="auto" w:fill="FFFFFF"/>
          <w:lang w:eastAsia="zh-CN"/>
        </w:rPr>
        <w:t>、未发生食品安全事故的书面声明</w:t>
      </w:r>
      <w:r>
        <w:rPr>
          <w:rFonts w:hint="eastAsia" w:ascii="宋体" w:hAnsi="宋体" w:eastAsia="宋体" w:cs="宋体"/>
          <w:i w:val="0"/>
          <w:iCs w:val="0"/>
          <w:caps w:val="0"/>
          <w:color w:val="auto"/>
          <w:spacing w:val="0"/>
          <w:sz w:val="24"/>
          <w:szCs w:val="24"/>
          <w:shd w:val="clear" w:color="auto" w:fill="FFFFFF"/>
        </w:rPr>
        <w:t>；</w:t>
      </w:r>
    </w:p>
    <w:p w14:paraId="7599026A">
      <w:pPr>
        <w:pStyle w:val="20"/>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供应商通过“信用中国”网站（www.creditchina.gov.cn）和中国政府采购网（www.ccgp.gov.cn）等渠道查询相关主体信用记录，对列入失信被执行人、重大税收违法失信主体、政府采购严重违法失信行为记录名单的供应商，将拒绝其参与政府采购活动；</w:t>
      </w:r>
    </w:p>
    <w:p w14:paraId="494DE60E">
      <w:pPr>
        <w:pStyle w:val="20"/>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单位负责人为同一人或者存在直接控股、管理关系的不同投标人，不得参加同一合同包的政府采购活动；</w:t>
      </w:r>
    </w:p>
    <w:p w14:paraId="2C5923EC">
      <w:pPr>
        <w:pStyle w:val="20"/>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本项目不接受联合体投标</w:t>
      </w:r>
      <w:r>
        <w:rPr>
          <w:rFonts w:hint="eastAsia" w:cs="宋体"/>
          <w:i w:val="0"/>
          <w:iCs w:val="0"/>
          <w:caps w:val="0"/>
          <w:color w:val="auto"/>
          <w:spacing w:val="0"/>
          <w:sz w:val="24"/>
          <w:szCs w:val="24"/>
          <w:shd w:val="clear" w:color="auto" w:fill="FFFFFF"/>
          <w:lang w:eastAsia="zh-CN"/>
        </w:rPr>
        <w:t>。</w:t>
      </w:r>
    </w:p>
    <w:p w14:paraId="317E2383">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合同包2(</w:t>
      </w:r>
      <w:r>
        <w:rPr>
          <w:rFonts w:hint="eastAsia" w:cs="宋体"/>
          <w:i w:val="0"/>
          <w:iCs w:val="0"/>
          <w:caps w:val="0"/>
          <w:color w:val="auto"/>
          <w:spacing w:val="0"/>
          <w:sz w:val="24"/>
          <w:szCs w:val="24"/>
          <w:shd w:val="clear" w:color="auto" w:fill="FFFFFF"/>
          <w:lang w:eastAsia="zh-CN"/>
        </w:rPr>
        <w:t>A片区肉蛋禽采购</w:t>
      </w:r>
      <w:r>
        <w:rPr>
          <w:rFonts w:hint="eastAsia" w:ascii="宋体" w:hAnsi="宋体" w:eastAsia="宋体" w:cs="宋体"/>
          <w:i w:val="0"/>
          <w:iCs w:val="0"/>
          <w:caps w:val="0"/>
          <w:color w:val="auto"/>
          <w:spacing w:val="0"/>
          <w:sz w:val="24"/>
          <w:szCs w:val="24"/>
          <w:shd w:val="clear" w:color="auto" w:fill="FFFFFF"/>
        </w:rPr>
        <w:t>)特定资格要求如下:</w:t>
      </w:r>
    </w:p>
    <w:p w14:paraId="47BD0338">
      <w:pPr>
        <w:pStyle w:val="20"/>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具有独立承担民事责任的能力，提供营业执照、税务登记证、组织机构代码证或登载有统一社会信用代码的营业执照（或《事业单位法人证书》或其他合法组织登记证书、自然人只须提供身份证）；</w:t>
      </w:r>
    </w:p>
    <w:p w14:paraId="78BDD712">
      <w:pPr>
        <w:pStyle w:val="20"/>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提供法定代表人授权书（附法定代表人身份证复印件）及被授权代理人身份证复印件（法定代表人直接参加时只需提供法定代表人身份证复印件）；</w:t>
      </w:r>
    </w:p>
    <w:p w14:paraId="5317469C">
      <w:pPr>
        <w:pStyle w:val="20"/>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color="auto" w:fill="FFFFFF"/>
          <w:lang w:eastAsia="zh-CN"/>
        </w:rPr>
        <w:t>供应商若为生产厂家的须提供《生猪定点屠宰证》和《动物防疫条件合格证》；厂家属地实行牛羊定点屠宰的附加《畜禽定点屠宰证书》，厂家属地不核发牛羊定点屠宰证则提供属地政策佐证替代；供应商若为代理商的须提供《食品经营许可证》和《陕西省生鲜肉经营备案表》并附生产厂家对应资质复印件（厂家盖章），厂家属地不核发牛羊定点屠宰证的，一并附厂家属地政策佐证</w:t>
      </w:r>
      <w:r>
        <w:rPr>
          <w:rFonts w:hint="eastAsia" w:ascii="宋体" w:hAnsi="宋体" w:eastAsia="宋体" w:cs="宋体"/>
          <w:i w:val="0"/>
          <w:iCs w:val="0"/>
          <w:caps w:val="0"/>
          <w:color w:val="auto"/>
          <w:spacing w:val="0"/>
          <w:sz w:val="24"/>
          <w:szCs w:val="24"/>
          <w:shd w:val="clear" w:color="auto" w:fill="FFFFFF"/>
          <w:lang w:eastAsia="zh-CN"/>
        </w:rPr>
        <w:t>；</w:t>
      </w:r>
    </w:p>
    <w:p w14:paraId="3ACD0923">
      <w:pPr>
        <w:pStyle w:val="20"/>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财务状况报告：</w:t>
      </w:r>
      <w:r>
        <w:rPr>
          <w:rFonts w:hint="eastAsia" w:cs="宋体"/>
          <w:i w:val="0"/>
          <w:iCs w:val="0"/>
          <w:caps w:val="0"/>
          <w:color w:val="auto"/>
          <w:spacing w:val="0"/>
          <w:sz w:val="24"/>
          <w:szCs w:val="24"/>
          <w:shd w:val="clear" w:color="auto" w:fill="FFFFFF"/>
          <w:lang w:eastAsia="zh-CN"/>
        </w:rPr>
        <w:t>提供2025年的财务审计报告</w:t>
      </w:r>
      <w:r>
        <w:rPr>
          <w:rFonts w:hint="eastAsia" w:ascii="宋体" w:hAnsi="宋体" w:eastAsia="宋体" w:cs="宋体"/>
          <w:i w:val="0"/>
          <w:iCs w:val="0"/>
          <w:caps w:val="0"/>
          <w:color w:val="auto"/>
          <w:spacing w:val="0"/>
          <w:sz w:val="24"/>
          <w:szCs w:val="24"/>
          <w:shd w:val="clear" w:color="auto" w:fill="FFFFFF"/>
        </w:rPr>
        <w:t>（成立时间至提交响应文件截止时间不足1年的可提供成立后任意时段的资产负债表）或其基本存款账户开户银行出具的资信证明；</w:t>
      </w:r>
    </w:p>
    <w:p w14:paraId="31333931">
      <w:pPr>
        <w:pStyle w:val="20"/>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税收缴纳证明：</w:t>
      </w:r>
      <w:r>
        <w:rPr>
          <w:rFonts w:hint="eastAsia" w:cs="宋体"/>
          <w:i w:val="0"/>
          <w:iCs w:val="0"/>
          <w:caps w:val="0"/>
          <w:color w:val="auto"/>
          <w:spacing w:val="0"/>
          <w:sz w:val="24"/>
          <w:szCs w:val="24"/>
          <w:shd w:val="clear" w:color="auto" w:fill="FFFFFF"/>
          <w:lang w:eastAsia="zh-CN"/>
        </w:rPr>
        <w:t>提供2026年1月至今已缴纳的至少一个月</w:t>
      </w:r>
      <w:r>
        <w:rPr>
          <w:rFonts w:hint="eastAsia" w:ascii="宋体" w:hAnsi="宋体" w:eastAsia="宋体" w:cs="宋体"/>
          <w:i w:val="0"/>
          <w:iCs w:val="0"/>
          <w:caps w:val="0"/>
          <w:color w:val="auto"/>
          <w:spacing w:val="0"/>
          <w:sz w:val="24"/>
          <w:szCs w:val="24"/>
          <w:shd w:val="clear" w:color="auto" w:fill="FFFFFF"/>
        </w:rPr>
        <w:t>的纳税证明或完税证明，依法免税的单位应提供相关证明材料；</w:t>
      </w:r>
    </w:p>
    <w:p w14:paraId="4CE75DE7">
      <w:pPr>
        <w:pStyle w:val="20"/>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社保缴纳证明：</w:t>
      </w:r>
      <w:r>
        <w:rPr>
          <w:rFonts w:hint="eastAsia" w:cs="宋体"/>
          <w:i w:val="0"/>
          <w:iCs w:val="0"/>
          <w:caps w:val="0"/>
          <w:color w:val="auto"/>
          <w:spacing w:val="0"/>
          <w:sz w:val="24"/>
          <w:szCs w:val="24"/>
          <w:shd w:val="clear" w:color="auto" w:fill="FFFFFF"/>
          <w:lang w:eastAsia="zh-CN"/>
        </w:rPr>
        <w:t>提供2026年1月至今至少一个月</w:t>
      </w:r>
      <w:r>
        <w:rPr>
          <w:rFonts w:hint="eastAsia" w:ascii="宋体" w:hAnsi="宋体" w:eastAsia="宋体" w:cs="宋体"/>
          <w:i w:val="0"/>
          <w:iCs w:val="0"/>
          <w:caps w:val="0"/>
          <w:color w:val="auto"/>
          <w:spacing w:val="0"/>
          <w:sz w:val="24"/>
          <w:szCs w:val="24"/>
          <w:shd w:val="clear" w:color="auto" w:fill="FFFFFF"/>
        </w:rPr>
        <w:t>的社会保障资金缴纳单据或社保机构开具的社会保险参保缴费情况证明，依法不需要缴纳社会保障资金的应提供相关证明材料；</w:t>
      </w:r>
    </w:p>
    <w:p w14:paraId="3B20097D">
      <w:pPr>
        <w:pStyle w:val="20"/>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供应商须提供具备履行合同所必需的设备和专业技术能力的证明材料；</w:t>
      </w:r>
    </w:p>
    <w:p w14:paraId="216AAFDB">
      <w:pPr>
        <w:pStyle w:val="20"/>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供应商必须提供参加政府采购活动近3年内在经营活动中没有重大违法记录的</w:t>
      </w:r>
      <w:r>
        <w:rPr>
          <w:rFonts w:hint="eastAsia" w:cs="宋体"/>
          <w:i w:val="0"/>
          <w:iCs w:val="0"/>
          <w:caps w:val="0"/>
          <w:color w:val="auto"/>
          <w:spacing w:val="0"/>
          <w:sz w:val="24"/>
          <w:szCs w:val="24"/>
          <w:shd w:val="clear" w:color="auto" w:fill="FFFFFF"/>
          <w:lang w:eastAsia="zh-CN"/>
        </w:rPr>
        <w:t>、未发生食品安全事故的书面声明</w:t>
      </w:r>
      <w:r>
        <w:rPr>
          <w:rFonts w:hint="eastAsia" w:ascii="宋体" w:hAnsi="宋体" w:eastAsia="宋体" w:cs="宋体"/>
          <w:i w:val="0"/>
          <w:iCs w:val="0"/>
          <w:caps w:val="0"/>
          <w:color w:val="auto"/>
          <w:spacing w:val="0"/>
          <w:sz w:val="24"/>
          <w:szCs w:val="24"/>
          <w:shd w:val="clear" w:color="auto" w:fill="FFFFFF"/>
        </w:rPr>
        <w:t>；</w:t>
      </w:r>
    </w:p>
    <w:p w14:paraId="7BF62160">
      <w:pPr>
        <w:pStyle w:val="20"/>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供应商通过“信用中国”网站（www.creditchina.gov.cn）和中国政府采购网（www.ccgp.gov.cn）等渠道查询相关主体信用记录，对列入失信被执行人、重大税收违法失信主体、政府采购严重违法失信行为记录名单的供应商，将拒绝其参与政府采购活动；</w:t>
      </w:r>
    </w:p>
    <w:p w14:paraId="50A151F8">
      <w:pPr>
        <w:pStyle w:val="20"/>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单位负责人为同一人或者存在直接控股、管理关系的不同投标人，不得参加同一合同包的政府采购活动；</w:t>
      </w:r>
    </w:p>
    <w:p w14:paraId="7D8308B0">
      <w:pPr>
        <w:pStyle w:val="20"/>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本项目不接受联合体投标。</w:t>
      </w:r>
    </w:p>
    <w:p w14:paraId="336BA20A">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color="auto" w:fill="FFFFFF"/>
          <w:lang w:eastAsia="zh-CN"/>
        </w:rPr>
        <w:t>合同包3</w:t>
      </w:r>
      <w:r>
        <w:rPr>
          <w:rFonts w:hint="eastAsia" w:ascii="宋体" w:hAnsi="宋体" w:eastAsia="宋体" w:cs="宋体"/>
          <w:i w:val="0"/>
          <w:iCs w:val="0"/>
          <w:caps w:val="0"/>
          <w:color w:val="auto"/>
          <w:spacing w:val="0"/>
          <w:sz w:val="24"/>
          <w:szCs w:val="24"/>
          <w:shd w:val="clear" w:color="auto" w:fill="FFFFFF"/>
        </w:rPr>
        <w:t>(</w:t>
      </w:r>
      <w:r>
        <w:rPr>
          <w:rFonts w:hint="eastAsia" w:cs="宋体"/>
          <w:i w:val="0"/>
          <w:iCs w:val="0"/>
          <w:caps w:val="0"/>
          <w:color w:val="auto"/>
          <w:spacing w:val="0"/>
          <w:sz w:val="24"/>
          <w:szCs w:val="24"/>
          <w:shd w:val="clear" w:color="auto" w:fill="FFFFFF"/>
          <w:lang w:eastAsia="zh-CN"/>
        </w:rPr>
        <w:t>B片区肉蛋禽采购</w:t>
      </w:r>
      <w:r>
        <w:rPr>
          <w:rFonts w:hint="eastAsia" w:ascii="宋体" w:hAnsi="宋体" w:eastAsia="宋体" w:cs="宋体"/>
          <w:i w:val="0"/>
          <w:iCs w:val="0"/>
          <w:caps w:val="0"/>
          <w:color w:val="auto"/>
          <w:spacing w:val="0"/>
          <w:sz w:val="24"/>
          <w:szCs w:val="24"/>
          <w:shd w:val="clear" w:color="auto" w:fill="FFFFFF"/>
        </w:rPr>
        <w:t>)特定资格要求如下:</w:t>
      </w:r>
    </w:p>
    <w:p w14:paraId="35A3B956">
      <w:pPr>
        <w:pStyle w:val="20"/>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具有独立承担民事责任的能力，提供营业执照、税务登记证、组织机构代码证或登载有统一社会信用代码的营业执照（或《事业单位法人证书》或其他合法组织登记证书、自然人只须提供身份证）；</w:t>
      </w:r>
    </w:p>
    <w:p w14:paraId="1A4A42D9">
      <w:pPr>
        <w:pStyle w:val="20"/>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提供法定代表人授权书（附法定代表人身份证复印件）及被授权代理人身份证复印件（法定代表人直接参加时只需提供法定代表人身份证复印件）；</w:t>
      </w:r>
    </w:p>
    <w:p w14:paraId="5D3C60BD">
      <w:pPr>
        <w:pStyle w:val="20"/>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color="auto" w:fill="FFFFFF"/>
          <w:lang w:eastAsia="zh-CN"/>
        </w:rPr>
        <w:t>供应商若为生产厂家的须提供《生猪定点屠宰证》和《动物防疫条件合格证》；厂家属地实行牛羊定点屠宰的附加《畜禽定点屠宰证书》，厂家属地不核发牛羊定点屠宰证则提供属地政策佐证替代；供应商若为代理商的须提供《食品经营许可证》和《陕西省生鲜肉经营备案表》并附生产厂家对应资质复印件（厂家盖章），厂家属地不核发牛羊定点屠宰证的，一并附厂家属地政策佐证</w:t>
      </w:r>
      <w:r>
        <w:rPr>
          <w:rFonts w:hint="eastAsia" w:ascii="宋体" w:hAnsi="宋体" w:eastAsia="宋体" w:cs="宋体"/>
          <w:i w:val="0"/>
          <w:iCs w:val="0"/>
          <w:caps w:val="0"/>
          <w:color w:val="auto"/>
          <w:spacing w:val="0"/>
          <w:sz w:val="24"/>
          <w:szCs w:val="24"/>
          <w:shd w:val="clear" w:color="auto" w:fill="FFFFFF"/>
          <w:lang w:eastAsia="zh-CN"/>
        </w:rPr>
        <w:t>；</w:t>
      </w:r>
    </w:p>
    <w:p w14:paraId="3CC83127">
      <w:pPr>
        <w:pStyle w:val="20"/>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财务状况报告：</w:t>
      </w:r>
      <w:r>
        <w:rPr>
          <w:rFonts w:hint="eastAsia" w:cs="宋体"/>
          <w:i w:val="0"/>
          <w:iCs w:val="0"/>
          <w:caps w:val="0"/>
          <w:color w:val="auto"/>
          <w:spacing w:val="0"/>
          <w:sz w:val="24"/>
          <w:szCs w:val="24"/>
          <w:shd w:val="clear" w:color="auto" w:fill="FFFFFF"/>
          <w:lang w:eastAsia="zh-CN"/>
        </w:rPr>
        <w:t>提供2025年的财务审计报告</w:t>
      </w:r>
      <w:r>
        <w:rPr>
          <w:rFonts w:hint="eastAsia" w:ascii="宋体" w:hAnsi="宋体" w:eastAsia="宋体" w:cs="宋体"/>
          <w:i w:val="0"/>
          <w:iCs w:val="0"/>
          <w:caps w:val="0"/>
          <w:color w:val="auto"/>
          <w:spacing w:val="0"/>
          <w:sz w:val="24"/>
          <w:szCs w:val="24"/>
          <w:shd w:val="clear" w:color="auto" w:fill="FFFFFF"/>
        </w:rPr>
        <w:t>（成立时间至提交响应文件截止时间不足1年的可提供成立后任意时段的资产负债表）或其基本存款账户开户银行出具的资信证明；</w:t>
      </w:r>
    </w:p>
    <w:p w14:paraId="18A3CC78">
      <w:pPr>
        <w:pStyle w:val="20"/>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税收缴纳证明：</w:t>
      </w:r>
      <w:r>
        <w:rPr>
          <w:rFonts w:hint="eastAsia" w:cs="宋体"/>
          <w:i w:val="0"/>
          <w:iCs w:val="0"/>
          <w:caps w:val="0"/>
          <w:color w:val="auto"/>
          <w:spacing w:val="0"/>
          <w:sz w:val="24"/>
          <w:szCs w:val="24"/>
          <w:shd w:val="clear" w:color="auto" w:fill="FFFFFF"/>
          <w:lang w:eastAsia="zh-CN"/>
        </w:rPr>
        <w:t>提供2026年1月至今已缴纳的至少一个月</w:t>
      </w:r>
      <w:r>
        <w:rPr>
          <w:rFonts w:hint="eastAsia" w:ascii="宋体" w:hAnsi="宋体" w:eastAsia="宋体" w:cs="宋体"/>
          <w:i w:val="0"/>
          <w:iCs w:val="0"/>
          <w:caps w:val="0"/>
          <w:color w:val="auto"/>
          <w:spacing w:val="0"/>
          <w:sz w:val="24"/>
          <w:szCs w:val="24"/>
          <w:shd w:val="clear" w:color="auto" w:fill="FFFFFF"/>
        </w:rPr>
        <w:t>的纳税证明或完税证明，依法免税的单位应提供相关证明材料；</w:t>
      </w:r>
    </w:p>
    <w:p w14:paraId="3D3831A4">
      <w:pPr>
        <w:pStyle w:val="20"/>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社保缴纳证明：</w:t>
      </w:r>
      <w:r>
        <w:rPr>
          <w:rFonts w:hint="eastAsia" w:cs="宋体"/>
          <w:i w:val="0"/>
          <w:iCs w:val="0"/>
          <w:caps w:val="0"/>
          <w:color w:val="auto"/>
          <w:spacing w:val="0"/>
          <w:sz w:val="24"/>
          <w:szCs w:val="24"/>
          <w:shd w:val="clear" w:color="auto" w:fill="FFFFFF"/>
          <w:lang w:eastAsia="zh-CN"/>
        </w:rPr>
        <w:t>提供2026年1月至今至少一个月</w:t>
      </w:r>
      <w:r>
        <w:rPr>
          <w:rFonts w:hint="eastAsia" w:ascii="宋体" w:hAnsi="宋体" w:eastAsia="宋体" w:cs="宋体"/>
          <w:i w:val="0"/>
          <w:iCs w:val="0"/>
          <w:caps w:val="0"/>
          <w:color w:val="auto"/>
          <w:spacing w:val="0"/>
          <w:sz w:val="24"/>
          <w:szCs w:val="24"/>
          <w:shd w:val="clear" w:color="auto" w:fill="FFFFFF"/>
        </w:rPr>
        <w:t>的社会保障资金缴纳单据或社保机构开具的社会保险参保缴费情况证明，依法不需要缴纳社会保障资金的应提供相关证明材料；</w:t>
      </w:r>
    </w:p>
    <w:p w14:paraId="037F0104">
      <w:pPr>
        <w:pStyle w:val="20"/>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供应商须提供具备履行合同所必需的设备和专业技术能力的证明材料；</w:t>
      </w:r>
    </w:p>
    <w:p w14:paraId="4643527A">
      <w:pPr>
        <w:pStyle w:val="20"/>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供应商必须提供参加政府采购活动近3年内在经营活动中没有重大违法记录的</w:t>
      </w:r>
      <w:r>
        <w:rPr>
          <w:rFonts w:hint="eastAsia" w:cs="宋体"/>
          <w:i w:val="0"/>
          <w:iCs w:val="0"/>
          <w:caps w:val="0"/>
          <w:color w:val="auto"/>
          <w:spacing w:val="0"/>
          <w:sz w:val="24"/>
          <w:szCs w:val="24"/>
          <w:shd w:val="clear" w:color="auto" w:fill="FFFFFF"/>
          <w:lang w:eastAsia="zh-CN"/>
        </w:rPr>
        <w:t>、未发生食品安全事故的书面声明</w:t>
      </w:r>
      <w:r>
        <w:rPr>
          <w:rFonts w:hint="eastAsia" w:ascii="宋体" w:hAnsi="宋体" w:eastAsia="宋体" w:cs="宋体"/>
          <w:i w:val="0"/>
          <w:iCs w:val="0"/>
          <w:caps w:val="0"/>
          <w:color w:val="auto"/>
          <w:spacing w:val="0"/>
          <w:sz w:val="24"/>
          <w:szCs w:val="24"/>
          <w:shd w:val="clear" w:color="auto" w:fill="FFFFFF"/>
        </w:rPr>
        <w:t>；</w:t>
      </w:r>
    </w:p>
    <w:p w14:paraId="54E59D37">
      <w:pPr>
        <w:pStyle w:val="20"/>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供应商通过“信用中国”网站（www.creditchina.gov.cn）和中国政府采购网（www.ccgp.gov.cn）等渠道查询相关主体信用记录，对列入失信被执行人、重大税收违法失信主体、政府采购严重违法失信行为记录名单的供应商，将拒绝其参与政府采购活动；</w:t>
      </w:r>
    </w:p>
    <w:p w14:paraId="1B5D78BE">
      <w:pPr>
        <w:pStyle w:val="20"/>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单位负责人为同一人或者存在直接控股、管理关系的不同投标人，不得参加同一合同包的政府采购活动；</w:t>
      </w:r>
    </w:p>
    <w:p w14:paraId="07B19DC2">
      <w:pPr>
        <w:pStyle w:val="20"/>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本项目不接受联合体投标</w:t>
      </w:r>
      <w:r>
        <w:rPr>
          <w:rFonts w:hint="eastAsia" w:ascii="宋体" w:hAnsi="宋体" w:eastAsia="宋体" w:cs="宋体"/>
          <w:i w:val="0"/>
          <w:iCs w:val="0"/>
          <w:caps w:val="0"/>
          <w:color w:val="auto"/>
          <w:spacing w:val="0"/>
          <w:sz w:val="24"/>
          <w:szCs w:val="24"/>
          <w:shd w:val="clear" w:color="auto" w:fill="FFFFFF"/>
          <w:lang w:eastAsia="zh-CN"/>
        </w:rPr>
        <w:t>。</w:t>
      </w:r>
    </w:p>
    <w:p w14:paraId="58914C9B">
      <w:pPr>
        <w:pageBreakBefore w:val="0"/>
        <w:numPr>
          <w:ilvl w:val="0"/>
          <w:numId w:val="0"/>
        </w:numPr>
        <w:topLinePunct w:val="0"/>
        <w:bidi w:val="0"/>
        <w:spacing w:line="500" w:lineRule="exact"/>
        <w:ind w:leftChars="200" w:right="0" w:rightChars="0"/>
        <w:rPr>
          <w:rFonts w:hint="eastAsia"/>
          <w:b w:val="0"/>
          <w:bCs w:val="0"/>
          <w:color w:val="auto"/>
          <w:sz w:val="24"/>
          <w:szCs w:val="24"/>
          <w:lang w:val="en-US"/>
        </w:rPr>
      </w:pPr>
      <w:r>
        <w:rPr>
          <w:rFonts w:hint="eastAsia"/>
          <w:b/>
          <w:bCs/>
          <w:color w:val="auto"/>
          <w:sz w:val="24"/>
          <w:szCs w:val="24"/>
          <w:lang w:val="en-US" w:eastAsia="zh-CN"/>
        </w:rPr>
        <w:t>2.</w:t>
      </w:r>
      <w:r>
        <w:rPr>
          <w:rFonts w:hint="eastAsia"/>
          <w:b w:val="0"/>
          <w:bCs w:val="0"/>
          <w:color w:val="auto"/>
          <w:sz w:val="24"/>
          <w:szCs w:val="24"/>
          <w:lang w:val="en-US"/>
        </w:rPr>
        <w:t>参加政府采购活动的中小企业应当提供《中小企业声明函》（见第六章 投标文件格式），不提供的或提供有瑕疵的，在评审时不享受政府采购优惠政策。</w:t>
      </w:r>
    </w:p>
    <w:p w14:paraId="59FC9715">
      <w:pPr>
        <w:pageBreakBefore w:val="0"/>
        <w:numPr>
          <w:ilvl w:val="0"/>
          <w:numId w:val="0"/>
        </w:numPr>
        <w:topLinePunct w:val="0"/>
        <w:bidi w:val="0"/>
        <w:spacing w:line="500" w:lineRule="exact"/>
        <w:ind w:left="0" w:leftChars="0" w:right="0" w:rightChars="0" w:firstLine="482" w:firstLineChars="200"/>
        <w:rPr>
          <w:b w:val="0"/>
          <w:bCs w:val="0"/>
          <w:color w:val="auto"/>
          <w:sz w:val="24"/>
          <w:szCs w:val="24"/>
          <w:lang w:val="en-US"/>
        </w:rPr>
      </w:pPr>
      <w:r>
        <w:rPr>
          <w:rFonts w:hint="eastAsia"/>
          <w:b/>
          <w:bCs/>
          <w:color w:val="auto"/>
          <w:sz w:val="24"/>
          <w:szCs w:val="24"/>
          <w:lang w:val="en-US" w:eastAsia="zh-CN"/>
        </w:rPr>
        <w:t>3.</w:t>
      </w:r>
      <w:r>
        <w:rPr>
          <w:rFonts w:hint="eastAsia"/>
          <w:b w:val="0"/>
          <w:bCs w:val="0"/>
          <w:color w:val="auto"/>
          <w:sz w:val="24"/>
          <w:szCs w:val="24"/>
          <w:lang w:val="en-US"/>
        </w:rPr>
        <w:t>参加政府采购活动的监狱企业应当提供由省级以上监狱管理局、戒毒管理局出具的属于监狱企业的证明文件，不提供或提供有瑕疵的不视为中小企业，在评审时不享受政府采购优惠政策。</w:t>
      </w:r>
    </w:p>
    <w:p w14:paraId="39B6EE06">
      <w:pPr>
        <w:pStyle w:val="7"/>
        <w:pageBreakBefore w:val="0"/>
        <w:numPr>
          <w:ilvl w:val="0"/>
          <w:numId w:val="0"/>
        </w:numPr>
        <w:tabs>
          <w:tab w:val="left" w:pos="-220"/>
        </w:tabs>
        <w:topLinePunct w:val="0"/>
        <w:bidi w:val="0"/>
        <w:spacing w:line="500" w:lineRule="exact"/>
        <w:ind w:left="0" w:leftChars="0" w:right="0" w:rightChars="0" w:firstLine="482" w:firstLineChars="200"/>
        <w:rPr>
          <w:b w:val="0"/>
          <w:bCs w:val="0"/>
          <w:color w:val="auto"/>
          <w:lang w:val="en-US"/>
        </w:rPr>
      </w:pPr>
      <w:r>
        <w:rPr>
          <w:rFonts w:hint="eastAsia" w:ascii="宋体" w:hAnsi="宋体" w:eastAsia="宋体" w:cs="宋体"/>
          <w:b/>
          <w:bCs/>
          <w:color w:val="auto"/>
          <w:sz w:val="24"/>
          <w:szCs w:val="24"/>
          <w:lang w:val="en-US" w:eastAsia="zh-CN" w:bidi="zh-CN"/>
        </w:rPr>
        <w:t>4.</w:t>
      </w:r>
      <w:r>
        <w:rPr>
          <w:rFonts w:hint="eastAsia"/>
          <w:b w:val="0"/>
          <w:bCs w:val="0"/>
          <w:color w:val="auto"/>
          <w:sz w:val="24"/>
          <w:szCs w:val="24"/>
          <w:lang w:val="en-US"/>
        </w:rPr>
        <w:t>参加政府采购活动的残疾人福利性单位应当提供《残疾人福利性单位声明函》（</w:t>
      </w:r>
      <w:r>
        <w:rPr>
          <w:rFonts w:hint="eastAsia"/>
          <w:b w:val="0"/>
          <w:bCs w:val="0"/>
          <w:color w:val="auto"/>
          <w:lang w:val="en-US"/>
        </w:rPr>
        <w:t>见第六章投标文件格式），不提供或提供有瑕疵的，不视为小微企业，在评审时不享受政府采购优惠政策。</w:t>
      </w:r>
    </w:p>
    <w:p w14:paraId="11075DE5">
      <w:pPr>
        <w:pStyle w:val="7"/>
        <w:pageBreakBefore w:val="0"/>
        <w:numPr>
          <w:ilvl w:val="0"/>
          <w:numId w:val="0"/>
        </w:numPr>
        <w:tabs>
          <w:tab w:val="left" w:pos="-220"/>
        </w:tabs>
        <w:topLinePunct w:val="0"/>
        <w:bidi w:val="0"/>
        <w:spacing w:line="500" w:lineRule="exact"/>
        <w:ind w:left="0" w:leftChars="0" w:right="0" w:rightChars="0" w:firstLine="482" w:firstLineChars="200"/>
        <w:rPr>
          <w:rFonts w:hint="eastAsia"/>
          <w:b w:val="0"/>
          <w:bCs w:val="0"/>
          <w:color w:val="auto"/>
          <w:lang w:val="en-US"/>
        </w:rPr>
      </w:pPr>
      <w:r>
        <w:rPr>
          <w:rFonts w:hint="eastAsia" w:ascii="宋体" w:hAnsi="宋体" w:eastAsia="宋体" w:cs="宋体"/>
          <w:b/>
          <w:bCs/>
          <w:color w:val="auto"/>
          <w:sz w:val="24"/>
          <w:szCs w:val="24"/>
          <w:lang w:val="en-US" w:eastAsia="zh-CN" w:bidi="zh-CN"/>
        </w:rPr>
        <w:t>5.</w:t>
      </w:r>
      <w:r>
        <w:rPr>
          <w:rFonts w:hint="eastAsia"/>
          <w:b w:val="0"/>
          <w:bCs w:val="0"/>
          <w:color w:val="auto"/>
          <w:lang w:val="en-US"/>
        </w:rPr>
        <w:t>转包与分包</w:t>
      </w:r>
    </w:p>
    <w:p w14:paraId="5AC1B58F">
      <w:pPr>
        <w:pStyle w:val="7"/>
        <w:pageBreakBefore w:val="0"/>
        <w:numPr>
          <w:ilvl w:val="0"/>
          <w:numId w:val="0"/>
        </w:numPr>
        <w:tabs>
          <w:tab w:val="left" w:pos="-220"/>
        </w:tabs>
        <w:topLinePunct w:val="0"/>
        <w:bidi w:val="0"/>
        <w:spacing w:line="500" w:lineRule="exact"/>
        <w:ind w:left="0" w:leftChars="0" w:right="0" w:rightChars="0" w:firstLine="480" w:firstLineChars="200"/>
        <w:rPr>
          <w:rFonts w:hint="eastAsia"/>
          <w:b w:val="0"/>
          <w:bCs w:val="0"/>
          <w:color w:val="auto"/>
          <w:sz w:val="24"/>
          <w:szCs w:val="24"/>
          <w:lang w:val="en-US"/>
        </w:rPr>
      </w:pPr>
      <w:r>
        <w:rPr>
          <w:rFonts w:hint="eastAsia"/>
          <w:b w:val="0"/>
          <w:bCs w:val="0"/>
          <w:color w:val="auto"/>
          <w:sz w:val="24"/>
          <w:szCs w:val="24"/>
          <w:lang w:val="en-US"/>
        </w:rPr>
        <w:t>5.1本项目不允许采取转包方式履行合同。</w:t>
      </w:r>
    </w:p>
    <w:p w14:paraId="5ED9B89C">
      <w:pPr>
        <w:pStyle w:val="7"/>
        <w:pageBreakBefore w:val="0"/>
        <w:numPr>
          <w:ilvl w:val="0"/>
          <w:numId w:val="0"/>
        </w:numPr>
        <w:tabs>
          <w:tab w:val="left" w:pos="-220"/>
        </w:tabs>
        <w:topLinePunct w:val="0"/>
        <w:bidi w:val="0"/>
        <w:spacing w:line="500" w:lineRule="exact"/>
        <w:ind w:left="0" w:leftChars="0" w:right="0" w:rightChars="0" w:firstLine="480" w:firstLineChars="200"/>
        <w:rPr>
          <w:b w:val="0"/>
          <w:bCs w:val="0"/>
          <w:color w:val="auto"/>
          <w:sz w:val="24"/>
          <w:szCs w:val="24"/>
          <w:lang w:val="en-US"/>
        </w:rPr>
      </w:pPr>
      <w:r>
        <w:rPr>
          <w:rFonts w:hint="eastAsia"/>
          <w:b w:val="0"/>
          <w:bCs w:val="0"/>
          <w:color w:val="auto"/>
          <w:sz w:val="24"/>
          <w:szCs w:val="24"/>
          <w:lang w:val="en-US"/>
        </w:rPr>
        <w:t>5.2本项目不允许分包。</w:t>
      </w:r>
    </w:p>
    <w:p w14:paraId="5CC83620">
      <w:pPr>
        <w:pStyle w:val="7"/>
        <w:pageBreakBefore w:val="0"/>
        <w:numPr>
          <w:ilvl w:val="0"/>
          <w:numId w:val="0"/>
        </w:numPr>
        <w:tabs>
          <w:tab w:val="left" w:pos="-220"/>
        </w:tabs>
        <w:topLinePunct w:val="0"/>
        <w:bidi w:val="0"/>
        <w:spacing w:line="500" w:lineRule="exact"/>
        <w:ind w:left="0" w:leftChars="0" w:right="0" w:rightChars="0" w:firstLine="482" w:firstLineChars="200"/>
        <w:rPr>
          <w:b w:val="0"/>
          <w:bCs w:val="0"/>
          <w:color w:val="auto"/>
          <w:lang w:val="en-US"/>
        </w:rPr>
      </w:pPr>
      <w:r>
        <w:rPr>
          <w:rFonts w:hint="eastAsia" w:ascii="宋体" w:hAnsi="宋体" w:eastAsia="宋体" w:cs="宋体"/>
          <w:b/>
          <w:bCs/>
          <w:color w:val="auto"/>
          <w:sz w:val="24"/>
          <w:szCs w:val="24"/>
          <w:lang w:val="en-US" w:eastAsia="zh-CN" w:bidi="zh-CN"/>
        </w:rPr>
        <w:t>6.</w:t>
      </w:r>
      <w:r>
        <w:rPr>
          <w:rFonts w:hint="eastAsia"/>
          <w:b w:val="0"/>
          <w:bCs w:val="0"/>
          <w:color w:val="auto"/>
          <w:lang w:val="en-US" w:eastAsia="zh-CN"/>
        </w:rPr>
        <w:t>供应商</w:t>
      </w:r>
      <w:r>
        <w:rPr>
          <w:rFonts w:hint="eastAsia"/>
          <w:b w:val="0"/>
          <w:bCs w:val="0"/>
          <w:color w:val="auto"/>
          <w:lang w:val="en-US"/>
        </w:rPr>
        <w:t>的风险</w:t>
      </w:r>
    </w:p>
    <w:p w14:paraId="3CC30EBD">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eastAsia="zh-CN"/>
        </w:rPr>
        <w:t>供应商</w:t>
      </w:r>
      <w:r>
        <w:rPr>
          <w:rFonts w:hint="eastAsia"/>
          <w:color w:val="auto"/>
          <w:sz w:val="24"/>
          <w:szCs w:val="24"/>
          <w:lang w:val="en-US"/>
        </w:rPr>
        <w:t>应认真阅读和充分理解招标文件中所有的事项、格式条款和规范要求，任何对招标文件的忽略或误解不能作为投标文件存在缺陷或瑕疵的理由；</w:t>
      </w:r>
      <w:r>
        <w:rPr>
          <w:rFonts w:hint="eastAsia"/>
          <w:color w:val="auto"/>
          <w:sz w:val="24"/>
          <w:szCs w:val="24"/>
          <w:lang w:val="en-US" w:eastAsia="zh-CN"/>
        </w:rPr>
        <w:t>供应商</w:t>
      </w:r>
      <w:r>
        <w:rPr>
          <w:rFonts w:hint="eastAsia"/>
          <w:color w:val="auto"/>
          <w:sz w:val="24"/>
          <w:szCs w:val="24"/>
          <w:lang w:val="en-US"/>
        </w:rPr>
        <w:t>没有按照招标文件要求提供全部资料，或没有对招标文件全面做出实质性响应将导致其投标文件被拒绝。</w:t>
      </w:r>
    </w:p>
    <w:p w14:paraId="5E716258">
      <w:pPr>
        <w:pStyle w:val="12"/>
        <w:pageBreakBefore w:val="0"/>
        <w:topLinePunct w:val="0"/>
        <w:bidi w:val="0"/>
        <w:spacing w:line="500" w:lineRule="exact"/>
        <w:ind w:left="0" w:leftChars="0" w:right="0" w:rightChars="0" w:firstLine="400" w:firstLineChars="200"/>
        <w:rPr>
          <w:color w:val="auto"/>
          <w:sz w:val="20"/>
        </w:rPr>
      </w:pPr>
    </w:p>
    <w:p w14:paraId="168E96CB">
      <w:pPr>
        <w:pStyle w:val="5"/>
        <w:pageBreakBefore w:val="0"/>
        <w:topLinePunct w:val="0"/>
        <w:bidi w:val="0"/>
        <w:spacing w:line="500" w:lineRule="exact"/>
        <w:ind w:left="0" w:leftChars="0" w:right="0" w:rightChars="0" w:firstLine="562" w:firstLineChars="200"/>
        <w:rPr>
          <w:color w:val="auto"/>
        </w:rPr>
      </w:pPr>
      <w:bookmarkStart w:id="6" w:name="四、投标文件"/>
      <w:bookmarkEnd w:id="6"/>
      <w:r>
        <w:rPr>
          <w:color w:val="auto"/>
        </w:rPr>
        <w:t>四、投标文件</w:t>
      </w:r>
    </w:p>
    <w:p w14:paraId="55DFECCB">
      <w:pPr>
        <w:pStyle w:val="12"/>
        <w:pageBreakBefore w:val="0"/>
        <w:topLinePunct w:val="0"/>
        <w:bidi w:val="0"/>
        <w:spacing w:line="500" w:lineRule="exact"/>
        <w:ind w:left="0" w:leftChars="0" w:right="0" w:rightChars="0" w:firstLine="602" w:firstLineChars="200"/>
        <w:rPr>
          <w:b/>
          <w:color w:val="auto"/>
          <w:sz w:val="30"/>
        </w:rPr>
      </w:pPr>
    </w:p>
    <w:p w14:paraId="4795AA5F">
      <w:pPr>
        <w:pStyle w:val="7"/>
        <w:pageBreakBefore w:val="0"/>
        <w:tabs>
          <w:tab w:val="left" w:pos="0"/>
        </w:tabs>
        <w:topLinePunct w:val="0"/>
        <w:bidi w:val="0"/>
        <w:spacing w:line="500" w:lineRule="exact"/>
        <w:ind w:left="0" w:leftChars="0" w:right="0" w:rightChars="0" w:firstLine="482" w:firstLineChars="200"/>
        <w:rPr>
          <w:color w:val="auto"/>
        </w:rPr>
      </w:pPr>
      <w:r>
        <w:rPr>
          <w:rFonts w:hint="eastAsia"/>
          <w:color w:val="auto"/>
          <w:lang w:val="en-US"/>
        </w:rPr>
        <w:t>1.</w:t>
      </w:r>
      <w:r>
        <w:rPr>
          <w:color w:val="auto"/>
        </w:rPr>
        <w:t>投标文件的编写原则和要求</w:t>
      </w:r>
    </w:p>
    <w:p w14:paraId="785DE4B8">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1.1</w:t>
      </w:r>
      <w:r>
        <w:rPr>
          <w:rFonts w:hint="eastAsia"/>
          <w:color w:val="auto"/>
          <w:sz w:val="24"/>
          <w:szCs w:val="24"/>
          <w:lang w:val="en-US" w:eastAsia="zh-CN"/>
        </w:rPr>
        <w:t>供应商</w:t>
      </w:r>
      <w:r>
        <w:rPr>
          <w:rFonts w:hint="eastAsia"/>
          <w:color w:val="auto"/>
          <w:sz w:val="24"/>
          <w:szCs w:val="24"/>
          <w:lang w:val="en-US"/>
        </w:rPr>
        <w:t>应仔细阅读招标文件的所有内容，按招标文件规定及要求编写，应当对招标文件提出的实质性要求做出响应，并提交完整的投标文件。</w:t>
      </w:r>
      <w:r>
        <w:rPr>
          <w:rFonts w:hint="eastAsia"/>
          <w:color w:val="auto"/>
          <w:sz w:val="24"/>
          <w:szCs w:val="24"/>
          <w:lang w:val="en-US" w:eastAsia="zh-CN"/>
        </w:rPr>
        <w:t>供应商</w:t>
      </w:r>
      <w:r>
        <w:rPr>
          <w:rFonts w:hint="eastAsia"/>
          <w:color w:val="auto"/>
          <w:sz w:val="24"/>
          <w:szCs w:val="24"/>
          <w:lang w:val="en-US"/>
        </w:rPr>
        <w:t>应对投标货物和服务提供完整详细的技术说明，若</w:t>
      </w:r>
      <w:r>
        <w:rPr>
          <w:rFonts w:hint="eastAsia"/>
          <w:color w:val="auto"/>
          <w:sz w:val="24"/>
          <w:szCs w:val="24"/>
          <w:lang w:val="en-US" w:eastAsia="zh-CN"/>
        </w:rPr>
        <w:t>供应商</w:t>
      </w:r>
      <w:r>
        <w:rPr>
          <w:rFonts w:hint="eastAsia"/>
          <w:color w:val="auto"/>
          <w:sz w:val="24"/>
          <w:szCs w:val="24"/>
          <w:lang w:val="en-US"/>
        </w:rPr>
        <w:t>对指定的技术要求不能完全响应，应在投标文件中清楚地注明。</w:t>
      </w:r>
      <w:r>
        <w:rPr>
          <w:rFonts w:hint="eastAsia"/>
          <w:color w:val="auto"/>
          <w:sz w:val="24"/>
          <w:szCs w:val="24"/>
          <w:lang w:val="en-US" w:eastAsia="zh-CN"/>
        </w:rPr>
        <w:t>供应商</w:t>
      </w:r>
      <w:r>
        <w:rPr>
          <w:rFonts w:hint="eastAsia"/>
          <w:color w:val="auto"/>
          <w:sz w:val="24"/>
          <w:szCs w:val="24"/>
          <w:lang w:val="en-US"/>
        </w:rPr>
        <w:t>对本招标文件的每一项要求所给予的响应必须是唯一的，否则将视为无效投标文件。</w:t>
      </w:r>
    </w:p>
    <w:p w14:paraId="5FB67009">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1.2真实性原则</w:t>
      </w:r>
    </w:p>
    <w:p w14:paraId="380E21A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1.2.1</w:t>
      </w:r>
      <w:r>
        <w:rPr>
          <w:rFonts w:hint="eastAsia"/>
          <w:color w:val="auto"/>
          <w:sz w:val="24"/>
          <w:szCs w:val="24"/>
          <w:lang w:val="en-US" w:eastAsia="zh-CN"/>
        </w:rPr>
        <w:t>供应商</w:t>
      </w:r>
      <w:r>
        <w:rPr>
          <w:rFonts w:hint="eastAsia"/>
          <w:color w:val="auto"/>
          <w:sz w:val="24"/>
          <w:szCs w:val="24"/>
          <w:lang w:val="en-US"/>
        </w:rPr>
        <w:t>应保证所提供的投标文件和所有资料的真实性、准确性和完整性。</w:t>
      </w:r>
    </w:p>
    <w:p w14:paraId="47A6C7E9">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1.2.2</w:t>
      </w:r>
      <w:r>
        <w:rPr>
          <w:rFonts w:hint="eastAsia"/>
          <w:color w:val="auto"/>
          <w:sz w:val="24"/>
          <w:szCs w:val="24"/>
          <w:lang w:val="en-US" w:eastAsia="zh-CN"/>
        </w:rPr>
        <w:t>供应商</w:t>
      </w:r>
      <w:r>
        <w:rPr>
          <w:rFonts w:hint="eastAsia"/>
          <w:color w:val="auto"/>
          <w:sz w:val="24"/>
          <w:szCs w:val="24"/>
          <w:lang w:val="en-US"/>
        </w:rPr>
        <w:t>在政府采购过程中提供不真实的材料，无论其材料是否重要，采购人均有权拒绝，并取消其投标资格，</w:t>
      </w:r>
      <w:r>
        <w:rPr>
          <w:rFonts w:hint="eastAsia"/>
          <w:color w:val="auto"/>
          <w:sz w:val="24"/>
          <w:szCs w:val="24"/>
          <w:lang w:val="en-US" w:eastAsia="zh-CN"/>
        </w:rPr>
        <w:t>供应商</w:t>
      </w:r>
      <w:r>
        <w:rPr>
          <w:rFonts w:hint="eastAsia"/>
          <w:color w:val="auto"/>
          <w:sz w:val="24"/>
          <w:szCs w:val="24"/>
          <w:lang w:val="en-US"/>
        </w:rPr>
        <w:t>需承担相应的后果及法律责任。</w:t>
      </w:r>
    </w:p>
    <w:p w14:paraId="00EF4446">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1.3投标语言</w:t>
      </w:r>
    </w:p>
    <w:p w14:paraId="55759742">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1.3.1</w:t>
      </w:r>
      <w:r>
        <w:rPr>
          <w:rFonts w:hint="eastAsia"/>
          <w:color w:val="auto"/>
          <w:sz w:val="24"/>
          <w:szCs w:val="24"/>
          <w:lang w:val="en-US" w:eastAsia="zh-CN"/>
        </w:rPr>
        <w:t>供应商</w:t>
      </w:r>
      <w:r>
        <w:rPr>
          <w:rFonts w:hint="eastAsia"/>
          <w:color w:val="auto"/>
          <w:sz w:val="24"/>
          <w:szCs w:val="24"/>
          <w:lang w:val="en-US"/>
        </w:rPr>
        <w:t>提交的投标文件以及</w:t>
      </w:r>
      <w:r>
        <w:rPr>
          <w:rFonts w:hint="eastAsia"/>
          <w:color w:val="auto"/>
          <w:sz w:val="24"/>
          <w:szCs w:val="24"/>
          <w:lang w:val="en-US" w:eastAsia="zh-CN"/>
        </w:rPr>
        <w:t>供应商</w:t>
      </w:r>
      <w:r>
        <w:rPr>
          <w:rFonts w:hint="eastAsia"/>
          <w:color w:val="auto"/>
          <w:sz w:val="24"/>
          <w:szCs w:val="24"/>
          <w:lang w:val="en-US"/>
        </w:rPr>
        <w:t>与采购代理机构就有关投标的所有来往书面文件均须使用中文。投标文件中如附有外文资料，必须逐一对应翻译成中文并加盖</w:t>
      </w:r>
      <w:r>
        <w:rPr>
          <w:rFonts w:hint="eastAsia"/>
          <w:color w:val="auto"/>
          <w:sz w:val="24"/>
          <w:szCs w:val="24"/>
          <w:lang w:val="en-US" w:eastAsia="zh-CN"/>
        </w:rPr>
        <w:t>供应商</w:t>
      </w:r>
      <w:r>
        <w:rPr>
          <w:rFonts w:hint="eastAsia"/>
          <w:color w:val="auto"/>
          <w:sz w:val="24"/>
          <w:szCs w:val="24"/>
          <w:lang w:val="en-US"/>
        </w:rPr>
        <w:t>公章后附在相关外文资料后面，否则，</w:t>
      </w:r>
      <w:r>
        <w:rPr>
          <w:rFonts w:hint="eastAsia"/>
          <w:color w:val="auto"/>
          <w:sz w:val="24"/>
          <w:szCs w:val="24"/>
          <w:lang w:val="en-US" w:eastAsia="zh-CN"/>
        </w:rPr>
        <w:t>供应商</w:t>
      </w:r>
      <w:r>
        <w:rPr>
          <w:rFonts w:hint="eastAsia"/>
          <w:color w:val="auto"/>
          <w:sz w:val="24"/>
          <w:szCs w:val="24"/>
          <w:lang w:val="en-US"/>
        </w:rPr>
        <w:t>的投标文件将作为无效投标处理。</w:t>
      </w:r>
    </w:p>
    <w:p w14:paraId="6534C2DA">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1.3.2翻译的中文资料与外文资料如果出现差异和矛盾时，以中文为准。但不能故意错误翻译，否则，</w:t>
      </w:r>
      <w:r>
        <w:rPr>
          <w:rFonts w:hint="eastAsia"/>
          <w:color w:val="auto"/>
          <w:sz w:val="24"/>
          <w:szCs w:val="24"/>
          <w:lang w:val="en-US" w:eastAsia="zh-CN"/>
        </w:rPr>
        <w:t>供应商</w:t>
      </w:r>
      <w:r>
        <w:rPr>
          <w:rFonts w:hint="eastAsia"/>
          <w:color w:val="auto"/>
          <w:sz w:val="24"/>
          <w:szCs w:val="24"/>
          <w:lang w:val="en-US"/>
        </w:rPr>
        <w:t>的投标文件将作为无效投标处理。必要时采购人可以要求</w:t>
      </w:r>
      <w:r>
        <w:rPr>
          <w:rFonts w:hint="eastAsia"/>
          <w:color w:val="auto"/>
          <w:sz w:val="24"/>
          <w:szCs w:val="24"/>
          <w:lang w:val="en-US" w:eastAsia="zh-CN"/>
        </w:rPr>
        <w:t>供应商</w:t>
      </w:r>
      <w:r>
        <w:rPr>
          <w:rFonts w:hint="eastAsia"/>
          <w:color w:val="auto"/>
          <w:sz w:val="24"/>
          <w:szCs w:val="24"/>
          <w:lang w:val="en-US"/>
        </w:rPr>
        <w:t>提供附有公证书的中文翻译文件或者与原版文件签章相一致的中文翻译文件。</w:t>
      </w:r>
    </w:p>
    <w:p w14:paraId="0A22B573">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1.4计量单位</w:t>
      </w:r>
    </w:p>
    <w:p w14:paraId="6886ABE4">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1.4.1招标文件已有明确规定的，使用招标文件规定的计量单位；招标文件没有规定的，应采用中华人民共和国法定计量单位</w:t>
      </w:r>
      <w:r>
        <w:rPr>
          <w:rFonts w:hint="eastAsia"/>
          <w:color w:val="auto"/>
          <w:sz w:val="24"/>
          <w:szCs w:val="24"/>
          <w:lang w:val="en-US" w:eastAsia="zh-CN"/>
        </w:rPr>
        <w:t>（</w:t>
      </w:r>
      <w:r>
        <w:rPr>
          <w:rFonts w:hint="eastAsia"/>
          <w:color w:val="auto"/>
          <w:sz w:val="24"/>
          <w:szCs w:val="24"/>
          <w:lang w:val="en-US"/>
        </w:rPr>
        <w:t>国际单位制和国家选定的其他计量单位</w:t>
      </w:r>
      <w:r>
        <w:rPr>
          <w:rFonts w:hint="eastAsia"/>
          <w:color w:val="auto"/>
          <w:sz w:val="24"/>
          <w:szCs w:val="24"/>
          <w:lang w:val="en-US" w:eastAsia="zh-CN"/>
        </w:rPr>
        <w:t>）</w:t>
      </w:r>
      <w:r>
        <w:rPr>
          <w:rFonts w:hint="eastAsia"/>
          <w:color w:val="auto"/>
          <w:sz w:val="24"/>
          <w:szCs w:val="24"/>
          <w:lang w:val="en-US"/>
        </w:rPr>
        <w:t>。否则，视为对招标文件未作出实质性响应。</w:t>
      </w:r>
    </w:p>
    <w:p w14:paraId="137AEA93">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1.4.2投标货币</w:t>
      </w:r>
    </w:p>
    <w:p w14:paraId="721CA80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1.4.3本次招标项目的投标均以人民币报价。</w:t>
      </w:r>
    </w:p>
    <w:p w14:paraId="27C2F5D5">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1.4.4投标文件形式</w:t>
      </w:r>
    </w:p>
    <w:p w14:paraId="59787585">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1.4.5本项目投标文件应采用</w:t>
      </w:r>
      <w:r>
        <w:rPr>
          <w:rFonts w:hint="eastAsia"/>
          <w:color w:val="auto"/>
          <w:sz w:val="24"/>
          <w:szCs w:val="24"/>
          <w:lang w:val="en-US" w:eastAsia="zh-CN"/>
        </w:rPr>
        <w:t>电子投标</w:t>
      </w:r>
      <w:r>
        <w:rPr>
          <w:rFonts w:hint="eastAsia"/>
          <w:color w:val="auto"/>
          <w:sz w:val="24"/>
          <w:szCs w:val="24"/>
          <w:lang w:val="en-US"/>
        </w:rPr>
        <w:t>文件形式，电报、传真、电子邮件形式的投标文件不予接受。</w:t>
      </w:r>
    </w:p>
    <w:p w14:paraId="5B66F6AF">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1.5备选方案</w:t>
      </w:r>
    </w:p>
    <w:p w14:paraId="5903DD80">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1.5.1本项目不接受备选投标方案，投标文件的报价只允许有一个报价，不接受有任何选择或具有附加条件的报价，否则，在评标时将其视为无效投标。</w:t>
      </w:r>
    </w:p>
    <w:p w14:paraId="6E82DBED">
      <w:pPr>
        <w:pStyle w:val="7"/>
        <w:pageBreakBefore w:val="0"/>
        <w:tabs>
          <w:tab w:val="left" w:pos="0"/>
        </w:tabs>
        <w:topLinePunct w:val="0"/>
        <w:bidi w:val="0"/>
        <w:spacing w:line="500" w:lineRule="exact"/>
        <w:ind w:left="0" w:leftChars="0" w:right="0" w:rightChars="0" w:firstLine="482" w:firstLineChars="200"/>
        <w:rPr>
          <w:color w:val="auto"/>
        </w:rPr>
      </w:pPr>
      <w:r>
        <w:rPr>
          <w:rFonts w:hint="eastAsia"/>
          <w:color w:val="auto"/>
          <w:lang w:val="en-US"/>
        </w:rPr>
        <w:t>2.</w:t>
      </w:r>
      <w:r>
        <w:rPr>
          <w:color w:val="auto"/>
        </w:rPr>
        <w:t>投标文件的组成</w:t>
      </w:r>
    </w:p>
    <w:p w14:paraId="4D5ABCAD">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第一部分</w:t>
      </w:r>
      <w:r>
        <w:rPr>
          <w:rFonts w:hint="eastAsia"/>
          <w:color w:val="auto"/>
          <w:sz w:val="24"/>
          <w:szCs w:val="24"/>
          <w:lang w:val="en-US"/>
        </w:rPr>
        <w:tab/>
      </w:r>
      <w:r>
        <w:rPr>
          <w:rFonts w:hint="eastAsia"/>
          <w:color w:val="auto"/>
          <w:sz w:val="24"/>
          <w:szCs w:val="24"/>
          <w:lang w:val="en-US"/>
        </w:rPr>
        <w:t>投标函</w:t>
      </w:r>
    </w:p>
    <w:p w14:paraId="3A32C5FB">
      <w:pPr>
        <w:pageBreakBefore w:val="0"/>
        <w:topLinePunct w:val="0"/>
        <w:bidi w:val="0"/>
        <w:spacing w:line="500" w:lineRule="exact"/>
        <w:ind w:left="0" w:leftChars="0" w:right="0" w:rightChars="0" w:firstLine="480" w:firstLineChars="200"/>
        <w:rPr>
          <w:rFonts w:hint="eastAsia"/>
          <w:color w:val="auto"/>
          <w:sz w:val="24"/>
          <w:szCs w:val="24"/>
          <w:lang w:val="en-US" w:eastAsia="zh-CN"/>
        </w:rPr>
      </w:pPr>
      <w:r>
        <w:rPr>
          <w:rFonts w:hint="eastAsia"/>
          <w:color w:val="auto"/>
          <w:sz w:val="24"/>
          <w:szCs w:val="24"/>
          <w:lang w:val="en-US"/>
        </w:rPr>
        <w:t>第二部分</w:t>
      </w:r>
      <w:r>
        <w:rPr>
          <w:rFonts w:hint="eastAsia"/>
          <w:color w:val="auto"/>
          <w:sz w:val="24"/>
          <w:szCs w:val="24"/>
          <w:lang w:val="en-US"/>
        </w:rPr>
        <w:tab/>
      </w:r>
      <w:r>
        <w:rPr>
          <w:rFonts w:hint="eastAsia"/>
          <w:color w:val="auto"/>
          <w:sz w:val="24"/>
          <w:szCs w:val="24"/>
          <w:lang w:val="en-US"/>
        </w:rPr>
        <w:t>开标一览表（报价表</w:t>
      </w:r>
      <w:r>
        <w:rPr>
          <w:rFonts w:hint="eastAsia"/>
          <w:color w:val="auto"/>
          <w:sz w:val="24"/>
          <w:szCs w:val="24"/>
          <w:lang w:val="en-US" w:eastAsia="zh-CN"/>
        </w:rPr>
        <w:t>）</w:t>
      </w:r>
    </w:p>
    <w:p w14:paraId="41805827">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第三部分</w:t>
      </w:r>
      <w:r>
        <w:rPr>
          <w:rFonts w:hint="eastAsia"/>
          <w:color w:val="auto"/>
          <w:sz w:val="24"/>
          <w:szCs w:val="24"/>
          <w:lang w:val="en-US"/>
        </w:rPr>
        <w:tab/>
      </w:r>
      <w:r>
        <w:rPr>
          <w:rFonts w:hint="eastAsia"/>
          <w:color w:val="auto"/>
          <w:sz w:val="24"/>
          <w:szCs w:val="24"/>
          <w:lang w:val="en-US"/>
        </w:rPr>
        <w:t>投标方案</w:t>
      </w:r>
    </w:p>
    <w:p w14:paraId="12B5E5FE">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第四部分</w:t>
      </w:r>
      <w:r>
        <w:rPr>
          <w:rFonts w:hint="eastAsia"/>
          <w:color w:val="auto"/>
          <w:sz w:val="24"/>
          <w:szCs w:val="24"/>
          <w:lang w:val="en-US"/>
        </w:rPr>
        <w:tab/>
      </w:r>
      <w:r>
        <w:rPr>
          <w:rFonts w:hint="eastAsia"/>
          <w:color w:val="auto"/>
          <w:sz w:val="24"/>
          <w:szCs w:val="24"/>
          <w:lang w:val="en-US"/>
        </w:rPr>
        <w:t>投标</w:t>
      </w:r>
      <w:r>
        <w:rPr>
          <w:rFonts w:hint="eastAsia"/>
          <w:color w:val="auto"/>
          <w:sz w:val="24"/>
          <w:szCs w:val="24"/>
          <w:lang w:val="en-US" w:eastAsia="zh-CN"/>
        </w:rPr>
        <w:t>人</w:t>
      </w:r>
      <w:r>
        <w:rPr>
          <w:rFonts w:hint="eastAsia"/>
          <w:color w:val="auto"/>
          <w:sz w:val="24"/>
          <w:szCs w:val="24"/>
          <w:lang w:val="en-US"/>
        </w:rPr>
        <w:t>资质证明文件</w:t>
      </w:r>
    </w:p>
    <w:p w14:paraId="306B80C2">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第五部分</w:t>
      </w:r>
      <w:r>
        <w:rPr>
          <w:rFonts w:hint="eastAsia"/>
          <w:color w:val="auto"/>
          <w:sz w:val="24"/>
          <w:szCs w:val="24"/>
          <w:lang w:val="en-US"/>
        </w:rPr>
        <w:tab/>
      </w:r>
      <w:r>
        <w:rPr>
          <w:rFonts w:hint="eastAsia"/>
          <w:color w:val="auto"/>
          <w:sz w:val="24"/>
          <w:szCs w:val="24"/>
          <w:lang w:val="en-US" w:eastAsia="zh-CN"/>
        </w:rPr>
        <w:t>供应商</w:t>
      </w:r>
      <w:r>
        <w:rPr>
          <w:rFonts w:hint="eastAsia"/>
          <w:color w:val="auto"/>
          <w:sz w:val="24"/>
          <w:szCs w:val="24"/>
          <w:lang w:val="en-US"/>
        </w:rPr>
        <w:t>承诺书</w:t>
      </w:r>
    </w:p>
    <w:p w14:paraId="282EF1E0">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第六部分</w:t>
      </w:r>
      <w:r>
        <w:rPr>
          <w:rFonts w:hint="eastAsia"/>
          <w:color w:val="auto"/>
          <w:sz w:val="24"/>
          <w:szCs w:val="24"/>
          <w:lang w:val="en-US"/>
        </w:rPr>
        <w:tab/>
      </w:r>
      <w:r>
        <w:rPr>
          <w:rFonts w:hint="eastAsia"/>
          <w:color w:val="auto"/>
          <w:sz w:val="24"/>
          <w:szCs w:val="24"/>
          <w:lang w:val="en-US"/>
        </w:rPr>
        <w:t>其他</w:t>
      </w:r>
    </w:p>
    <w:p w14:paraId="1C1E14B3">
      <w:pPr>
        <w:pStyle w:val="7"/>
        <w:pageBreakBefore w:val="0"/>
        <w:tabs>
          <w:tab w:val="left" w:pos="0"/>
        </w:tabs>
        <w:topLinePunct w:val="0"/>
        <w:bidi w:val="0"/>
        <w:spacing w:line="500" w:lineRule="exact"/>
        <w:ind w:left="0" w:leftChars="0" w:right="0" w:rightChars="0" w:firstLine="482" w:firstLineChars="200"/>
        <w:rPr>
          <w:color w:val="auto"/>
        </w:rPr>
      </w:pPr>
      <w:r>
        <w:rPr>
          <w:rFonts w:hint="eastAsia"/>
          <w:color w:val="auto"/>
          <w:lang w:val="en-US"/>
        </w:rPr>
        <w:t>3.</w:t>
      </w:r>
      <w:r>
        <w:rPr>
          <w:color w:val="auto"/>
        </w:rPr>
        <w:t>投标文件的制作和签署</w:t>
      </w:r>
    </w:p>
    <w:p w14:paraId="56E6F0CA">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eastAsia="zh-CN"/>
        </w:rPr>
        <w:t>供应商</w:t>
      </w:r>
      <w:r>
        <w:rPr>
          <w:rFonts w:hint="eastAsia"/>
          <w:color w:val="auto"/>
          <w:sz w:val="24"/>
          <w:szCs w:val="24"/>
          <w:lang w:val="en-US"/>
        </w:rPr>
        <w:t>应认真阅读招标文件的所有内容</w:t>
      </w:r>
      <w:r>
        <w:rPr>
          <w:rFonts w:hint="eastAsia"/>
          <w:color w:val="auto"/>
          <w:sz w:val="24"/>
          <w:szCs w:val="24"/>
          <w:lang w:val="en-US" w:eastAsia="zh-CN"/>
        </w:rPr>
        <w:t>，</w:t>
      </w:r>
      <w:r>
        <w:rPr>
          <w:rFonts w:hint="eastAsia"/>
          <w:color w:val="auto"/>
          <w:sz w:val="24"/>
          <w:szCs w:val="24"/>
          <w:lang w:val="en-US"/>
        </w:rPr>
        <w:t>严格按照招标文件的要求编制投标文件</w:t>
      </w:r>
      <w:r>
        <w:rPr>
          <w:rFonts w:hint="eastAsia"/>
          <w:color w:val="auto"/>
          <w:sz w:val="24"/>
          <w:szCs w:val="24"/>
          <w:lang w:val="en-US" w:eastAsia="zh-CN"/>
        </w:rPr>
        <w:t>，</w:t>
      </w:r>
      <w:r>
        <w:rPr>
          <w:rFonts w:hint="eastAsia"/>
          <w:color w:val="auto"/>
          <w:sz w:val="24"/>
          <w:szCs w:val="24"/>
          <w:lang w:val="en-US"/>
        </w:rPr>
        <w:t>并保证所提供的全部资料的真实性</w:t>
      </w:r>
      <w:r>
        <w:rPr>
          <w:rFonts w:hint="eastAsia"/>
          <w:color w:val="auto"/>
          <w:sz w:val="24"/>
          <w:szCs w:val="24"/>
          <w:lang w:val="en-US" w:eastAsia="zh-CN"/>
        </w:rPr>
        <w:t>，</w:t>
      </w:r>
      <w:r>
        <w:rPr>
          <w:rFonts w:hint="eastAsia"/>
          <w:color w:val="auto"/>
          <w:sz w:val="24"/>
          <w:szCs w:val="24"/>
          <w:lang w:val="en-US"/>
        </w:rPr>
        <w:t>使投标文件做出实质性响应</w:t>
      </w:r>
      <w:r>
        <w:rPr>
          <w:rFonts w:hint="eastAsia"/>
          <w:color w:val="auto"/>
          <w:sz w:val="24"/>
          <w:szCs w:val="24"/>
          <w:lang w:val="en-US" w:eastAsia="zh-CN"/>
        </w:rPr>
        <w:t>，</w:t>
      </w:r>
      <w:r>
        <w:rPr>
          <w:rFonts w:hint="eastAsia"/>
          <w:color w:val="auto"/>
          <w:sz w:val="24"/>
          <w:szCs w:val="24"/>
          <w:lang w:val="en-US"/>
        </w:rPr>
        <w:t>如未能做出实质性响应</w:t>
      </w:r>
      <w:r>
        <w:rPr>
          <w:rFonts w:hint="eastAsia"/>
          <w:color w:val="auto"/>
          <w:sz w:val="24"/>
          <w:szCs w:val="24"/>
          <w:lang w:val="en-US" w:eastAsia="zh-CN"/>
        </w:rPr>
        <w:t>，</w:t>
      </w:r>
      <w:r>
        <w:rPr>
          <w:rFonts w:hint="eastAsia"/>
          <w:color w:val="auto"/>
          <w:sz w:val="24"/>
          <w:szCs w:val="24"/>
          <w:lang w:val="en-US"/>
        </w:rPr>
        <w:t>其投标将被拒绝；</w:t>
      </w:r>
    </w:p>
    <w:p w14:paraId="3FB96AED">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3.1编制电子投标文件时，应使用最新发布的电子招标文件及专用制作工具进行编制。并使用数字认证证书（CA）对电子投标文件进行签署、加密、递交及开标时解密等相关操作。投标文件中需要加盖法定代表人私章的地方，请使用“法人CA”进行签章；需要加盖</w:t>
      </w:r>
      <w:r>
        <w:rPr>
          <w:rFonts w:hint="eastAsia"/>
          <w:color w:val="auto"/>
          <w:sz w:val="24"/>
          <w:szCs w:val="24"/>
          <w:lang w:val="en-US" w:eastAsia="zh-CN"/>
        </w:rPr>
        <w:t>供应商</w:t>
      </w:r>
      <w:r>
        <w:rPr>
          <w:rFonts w:hint="eastAsia"/>
          <w:color w:val="auto"/>
          <w:sz w:val="24"/>
          <w:szCs w:val="24"/>
          <w:lang w:val="en-US"/>
        </w:rPr>
        <w:t>公章的地方，请使用“企业 CA”进行盖章。加密和解密应当使用同一 CA，否则将会导致解密失败。</w:t>
      </w:r>
    </w:p>
    <w:p w14:paraId="470B2051">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（1）电子招标文件下载</w:t>
      </w:r>
    </w:p>
    <w:p w14:paraId="2238D4F5">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eastAsia="zh-CN"/>
        </w:rPr>
        <w:t>供应商</w:t>
      </w:r>
      <w:r>
        <w:rPr>
          <w:rFonts w:hint="eastAsia"/>
          <w:color w:val="auto"/>
          <w:sz w:val="24"/>
          <w:szCs w:val="24"/>
          <w:lang w:val="en-US"/>
        </w:rPr>
        <w:t>登录全国公共资源交易平台（陕西省）网站[电子交易平台</w:t>
      </w:r>
      <w:r>
        <w:rPr>
          <w:rFonts w:hint="eastAsia"/>
          <w:color w:val="auto"/>
          <w:sz w:val="24"/>
          <w:szCs w:val="24"/>
          <w:lang w:val="en-US" w:eastAsia="zh-CN"/>
        </w:rPr>
        <w:t>－</w:t>
      </w:r>
      <w:r>
        <w:rPr>
          <w:rFonts w:hint="eastAsia"/>
          <w:color w:val="auto"/>
          <w:sz w:val="24"/>
          <w:szCs w:val="24"/>
          <w:lang w:val="en-US"/>
        </w:rPr>
        <w:t>企业端]后，在[我的项目]中点击“项目流程</w:t>
      </w:r>
      <w:r>
        <w:rPr>
          <w:rFonts w:hint="eastAsia"/>
          <w:color w:val="auto"/>
          <w:sz w:val="24"/>
          <w:szCs w:val="24"/>
          <w:lang w:val="en-US" w:eastAsia="zh-CN"/>
        </w:rPr>
        <w:t>－</w:t>
      </w:r>
      <w:r>
        <w:rPr>
          <w:rFonts w:hint="eastAsia"/>
          <w:color w:val="auto"/>
          <w:sz w:val="24"/>
          <w:szCs w:val="24"/>
          <w:lang w:val="en-US"/>
        </w:rPr>
        <w:t>交易文件下载”下载电子招标文件（*.SXSZF）；</w:t>
      </w:r>
    </w:p>
    <w:p w14:paraId="5D16EB84">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注意：该项目如有变更文件，则应点击“项目流程答疑文件下载”下载更新后的电子招标文件（*.SXSCF），使用旧版电子招标文件制作的电子投标文件，系统将拒绝接收。</w:t>
      </w:r>
    </w:p>
    <w:p w14:paraId="7501689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（2）电子招标文件需要使用专用软件打开、浏览</w:t>
      </w:r>
    </w:p>
    <w:p w14:paraId="1C6BC1F3">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eastAsia="zh-CN"/>
        </w:rPr>
        <w:t>供应商</w:t>
      </w:r>
      <w:r>
        <w:rPr>
          <w:rFonts w:hint="eastAsia"/>
          <w:color w:val="auto"/>
          <w:sz w:val="24"/>
          <w:szCs w:val="24"/>
          <w:lang w:val="en-US"/>
        </w:rPr>
        <w:t>登录全国公共资源交易平台（陕西省）网站[服务指南</w:t>
      </w:r>
      <w:r>
        <w:rPr>
          <w:rFonts w:hint="eastAsia"/>
          <w:color w:val="auto"/>
          <w:sz w:val="24"/>
          <w:szCs w:val="24"/>
          <w:lang w:val="en-US" w:eastAsia="zh-CN"/>
        </w:rPr>
        <w:t>－</w:t>
      </w:r>
      <w:r>
        <w:rPr>
          <w:rFonts w:hint="eastAsia"/>
          <w:color w:val="auto"/>
          <w:sz w:val="24"/>
          <w:szCs w:val="24"/>
          <w:lang w:val="en-US"/>
        </w:rPr>
        <w:t>下载专区]免费下载《陕西省公共资源交易平台政府采购电子标书制作工具</w:t>
      </w:r>
      <w:r>
        <w:rPr>
          <w:rFonts w:hint="eastAsia"/>
          <w:color w:val="auto"/>
          <w:sz w:val="24"/>
          <w:szCs w:val="24"/>
          <w:lang w:val="en-US" w:eastAsia="zh-CN"/>
        </w:rPr>
        <w:t>（</w:t>
      </w:r>
      <w:r>
        <w:rPr>
          <w:rFonts w:hint="eastAsia"/>
          <w:color w:val="auto"/>
          <w:sz w:val="24"/>
          <w:szCs w:val="24"/>
          <w:lang w:val="en-US"/>
        </w:rPr>
        <w:t>V8.0.0.2</w:t>
      </w:r>
      <w:r>
        <w:rPr>
          <w:rFonts w:hint="eastAsia"/>
          <w:color w:val="auto"/>
          <w:sz w:val="24"/>
          <w:szCs w:val="24"/>
          <w:lang w:val="en-US" w:eastAsia="zh-CN"/>
        </w:rPr>
        <w:t>）</w:t>
      </w:r>
      <w:r>
        <w:rPr>
          <w:rFonts w:hint="eastAsia"/>
          <w:color w:val="auto"/>
          <w:sz w:val="24"/>
          <w:szCs w:val="24"/>
          <w:lang w:val="en-US"/>
        </w:rPr>
        <w:t>》，下载网址：</w:t>
      </w:r>
      <w:r>
        <w:rPr>
          <w:rFonts w:hint="eastAsia"/>
          <w:color w:val="auto"/>
          <w:sz w:val="24"/>
          <w:szCs w:val="24"/>
          <w:lang w:val="en-US"/>
        </w:rPr>
        <w:fldChar w:fldCharType="begin"/>
      </w:r>
      <w:r>
        <w:rPr>
          <w:rFonts w:hint="eastAsia"/>
          <w:color w:val="auto"/>
          <w:sz w:val="24"/>
          <w:szCs w:val="24"/>
          <w:lang w:val="en-US"/>
        </w:rPr>
        <w:instrText xml:space="preserve"> HYPERLINK "https://download.bqpoint.com/download/downloaddetail.html?SourceFrom=Ztb&amp;ZtbSoftXiaQuCode=1805&amp;ZtbSoftType=tballinclusive" </w:instrText>
      </w:r>
      <w:r>
        <w:rPr>
          <w:rFonts w:hint="eastAsia"/>
          <w:color w:val="auto"/>
          <w:sz w:val="24"/>
          <w:szCs w:val="24"/>
          <w:lang w:val="en-US"/>
        </w:rPr>
        <w:fldChar w:fldCharType="separate"/>
      </w:r>
      <w:r>
        <w:rPr>
          <w:rFonts w:hint="eastAsia"/>
          <w:color w:val="auto"/>
          <w:sz w:val="24"/>
          <w:szCs w:val="24"/>
          <w:lang w:val="en-US"/>
        </w:rPr>
        <w:t>https://download.bqpoint.com/download/downloaddetail.html?SourceFrom=Ztb&amp;ZtbSoftXiaQuCode=1805&amp;ZtbSoftType=tballinclusive</w:t>
      </w:r>
      <w:r>
        <w:rPr>
          <w:rFonts w:hint="eastAsia"/>
          <w:color w:val="auto"/>
          <w:sz w:val="24"/>
          <w:szCs w:val="24"/>
          <w:lang w:val="en-US"/>
        </w:rPr>
        <w:fldChar w:fldCharType="end"/>
      </w:r>
      <w:r>
        <w:rPr>
          <w:rFonts w:hint="eastAsia"/>
          <w:color w:val="auto"/>
          <w:sz w:val="24"/>
          <w:szCs w:val="24"/>
          <w:lang w:val="en-US"/>
        </w:rPr>
        <w:t>，并升级至最新版本，使用该客户端可以打开电子招标文件。软件操作手册详见全国公共资源交易平台（陕西省）网站[服务指南</w:t>
      </w:r>
      <w:r>
        <w:rPr>
          <w:rFonts w:hint="eastAsia"/>
          <w:color w:val="auto"/>
          <w:sz w:val="24"/>
          <w:szCs w:val="24"/>
          <w:lang w:val="en-US" w:eastAsia="zh-CN"/>
        </w:rPr>
        <w:t>－</w:t>
      </w:r>
      <w:r>
        <w:rPr>
          <w:rFonts w:hint="eastAsia"/>
          <w:color w:val="auto"/>
          <w:sz w:val="24"/>
          <w:szCs w:val="24"/>
          <w:lang w:val="en-US"/>
        </w:rPr>
        <w:t>下载专区]中的《陕西省公共资源交易（政府采购类）投标文件制作软件操作手册》</w:t>
      </w:r>
      <w:r>
        <w:rPr>
          <w:rFonts w:hint="eastAsia"/>
          <w:color w:val="auto"/>
          <w:sz w:val="24"/>
          <w:szCs w:val="24"/>
          <w:lang w:val="en-US" w:eastAsia="zh-CN"/>
        </w:rPr>
        <w:t>，</w:t>
      </w:r>
      <w:r>
        <w:rPr>
          <w:rFonts w:hint="eastAsia"/>
          <w:color w:val="auto"/>
          <w:sz w:val="24"/>
          <w:szCs w:val="24"/>
          <w:lang w:val="en-US"/>
        </w:rPr>
        <w:t>下载网址：</w:t>
      </w:r>
    </w:p>
    <w:p w14:paraId="5F75191C">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https://www.sxggzyjy.cn/fwzn/004003/20170821/c3afa05b-f5e6-4e64-9fb0-e397ef73413d.html</w:t>
      </w:r>
    </w:p>
    <w:p w14:paraId="596460D2">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（3）制作电子投标文件</w:t>
      </w:r>
    </w:p>
    <w:p w14:paraId="4E662483">
      <w:pPr>
        <w:pageBreakBefore w:val="0"/>
        <w:topLinePunct w:val="0"/>
        <w:bidi w:val="0"/>
        <w:spacing w:line="500" w:lineRule="exact"/>
        <w:ind w:left="0" w:leftChars="0" w:right="0" w:rightChars="0" w:firstLine="720" w:firstLineChars="300"/>
        <w:rPr>
          <w:color w:val="auto"/>
          <w:sz w:val="24"/>
          <w:szCs w:val="24"/>
          <w:lang w:val="en-US"/>
        </w:rPr>
      </w:pPr>
      <w:r>
        <w:rPr>
          <w:rFonts w:hint="eastAsia"/>
          <w:color w:val="auto"/>
          <w:sz w:val="24"/>
          <w:szCs w:val="24"/>
          <w:lang w:val="en-US"/>
        </w:rPr>
        <w:t>电子投标文件同样需要使用上述专用软件进行编制。若投标文件签章后，导出的 PDF 文件里看不到签章，请尝试使用查看投标文件工具打开未加密的投标文件重新导出。在编制过程中，如有技术性问题，请先翻阅操作手册或致电软件开发商，技术支持热线：4009280095、4009980000。</w:t>
      </w:r>
    </w:p>
    <w:p w14:paraId="3ECB9F29">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3.2</w:t>
      </w:r>
      <w:r>
        <w:rPr>
          <w:rFonts w:hint="eastAsia"/>
          <w:color w:val="auto"/>
          <w:sz w:val="24"/>
          <w:szCs w:val="24"/>
          <w:lang w:val="en-US" w:eastAsia="zh-CN"/>
        </w:rPr>
        <w:t>供应商</w:t>
      </w:r>
      <w:r>
        <w:rPr>
          <w:rFonts w:hint="eastAsia"/>
          <w:color w:val="auto"/>
          <w:sz w:val="24"/>
          <w:szCs w:val="24"/>
          <w:lang w:val="en-US"/>
        </w:rPr>
        <w:t>应按照本须知第4项第三条投标文件的制作和签署的内容及第六部分提供的格式编写投标文件，不得缺少招标文件要求填写的表格或提交的资料。</w:t>
      </w:r>
    </w:p>
    <w:p w14:paraId="03C5932B">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w:t>
      </w:r>
      <w:r>
        <w:rPr>
          <w:rFonts w:hint="eastAsia"/>
          <w:color w:val="auto"/>
          <w:sz w:val="24"/>
          <w:szCs w:val="24"/>
          <w:lang w:val="en-US" w:eastAsia="zh-CN"/>
        </w:rPr>
        <w:t>3</w:t>
      </w:r>
      <w:r>
        <w:rPr>
          <w:rFonts w:hint="eastAsia"/>
          <w:color w:val="auto"/>
          <w:sz w:val="24"/>
          <w:szCs w:val="24"/>
          <w:lang w:val="en-US"/>
        </w:rPr>
        <w:t>投标文件应当使用招标文件规定的全部格式（表格可以按同样格式扩展）编写，除明确允许</w:t>
      </w:r>
      <w:r>
        <w:rPr>
          <w:rFonts w:hint="eastAsia"/>
          <w:color w:val="auto"/>
          <w:sz w:val="24"/>
          <w:szCs w:val="24"/>
          <w:lang w:val="en-US" w:eastAsia="zh-CN"/>
        </w:rPr>
        <w:t>供应商</w:t>
      </w:r>
      <w:r>
        <w:rPr>
          <w:rFonts w:hint="eastAsia"/>
          <w:color w:val="auto"/>
          <w:sz w:val="24"/>
          <w:szCs w:val="24"/>
          <w:lang w:val="en-US"/>
        </w:rPr>
        <w:t>可以自行编写的外，</w:t>
      </w:r>
      <w:r>
        <w:rPr>
          <w:rFonts w:hint="eastAsia"/>
          <w:color w:val="auto"/>
          <w:sz w:val="24"/>
          <w:szCs w:val="24"/>
          <w:lang w:val="en-US" w:eastAsia="zh-CN"/>
        </w:rPr>
        <w:t>供应商</w:t>
      </w:r>
      <w:r>
        <w:rPr>
          <w:rFonts w:hint="eastAsia"/>
          <w:color w:val="auto"/>
          <w:sz w:val="24"/>
          <w:szCs w:val="24"/>
          <w:lang w:val="en-US"/>
        </w:rPr>
        <w:t>不得以“投标文件格式”规定之外的方式填写相关内容。否则，将作为无效投标处理。</w:t>
      </w:r>
    </w:p>
    <w:p w14:paraId="3952F19E">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w:t>
      </w:r>
      <w:r>
        <w:rPr>
          <w:rFonts w:hint="eastAsia"/>
          <w:color w:val="auto"/>
          <w:sz w:val="24"/>
          <w:szCs w:val="24"/>
          <w:lang w:val="en-US" w:eastAsia="zh-CN"/>
        </w:rPr>
        <w:t>4供应商</w:t>
      </w:r>
      <w:r>
        <w:rPr>
          <w:rFonts w:hint="eastAsia"/>
          <w:color w:val="auto"/>
          <w:sz w:val="24"/>
          <w:szCs w:val="24"/>
          <w:lang w:val="en-US"/>
        </w:rPr>
        <w:t>必须按照招标文件的规定和要求由法定代表人或被授权人签字、盖章，并对投标文件逐页加盖</w:t>
      </w:r>
      <w:r>
        <w:rPr>
          <w:rFonts w:hint="eastAsia"/>
          <w:color w:val="auto"/>
          <w:sz w:val="24"/>
          <w:szCs w:val="24"/>
          <w:lang w:val="en-US" w:eastAsia="zh-CN"/>
        </w:rPr>
        <w:t>供应商</w:t>
      </w:r>
      <w:r>
        <w:rPr>
          <w:rFonts w:hint="eastAsia"/>
          <w:color w:val="auto"/>
          <w:sz w:val="24"/>
          <w:szCs w:val="24"/>
          <w:lang w:val="en-US"/>
        </w:rPr>
        <w:t>合法有效的电子签章（公章及法人章），如有遗漏，将作为无效投标处理。</w:t>
      </w:r>
    </w:p>
    <w:p w14:paraId="6A5A4A44">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w:t>
      </w:r>
      <w:r>
        <w:rPr>
          <w:rFonts w:hint="eastAsia"/>
          <w:color w:val="auto"/>
          <w:sz w:val="24"/>
          <w:szCs w:val="24"/>
          <w:lang w:val="en-US" w:eastAsia="zh-CN"/>
        </w:rPr>
        <w:t>5</w:t>
      </w:r>
      <w:r>
        <w:rPr>
          <w:rFonts w:hint="eastAsia"/>
          <w:color w:val="auto"/>
          <w:sz w:val="24"/>
          <w:szCs w:val="24"/>
          <w:lang w:val="en-US"/>
        </w:rPr>
        <w:t>除</w:t>
      </w:r>
      <w:r>
        <w:rPr>
          <w:rFonts w:hint="eastAsia"/>
          <w:color w:val="auto"/>
          <w:sz w:val="24"/>
          <w:szCs w:val="24"/>
          <w:lang w:val="en-US" w:eastAsia="zh-CN"/>
        </w:rPr>
        <w:t>供应商</w:t>
      </w:r>
      <w:r>
        <w:rPr>
          <w:rFonts w:hint="eastAsia"/>
          <w:color w:val="auto"/>
          <w:sz w:val="24"/>
          <w:szCs w:val="24"/>
          <w:lang w:val="en-US"/>
        </w:rPr>
        <w:t>对错误处需修改外，全套投标文件应无涂改或行间插字或增删。如有修改，修改处应加盖</w:t>
      </w:r>
      <w:r>
        <w:rPr>
          <w:rFonts w:hint="eastAsia"/>
          <w:color w:val="auto"/>
          <w:sz w:val="24"/>
          <w:szCs w:val="24"/>
          <w:lang w:val="en-US" w:eastAsia="zh-CN"/>
        </w:rPr>
        <w:t>供应商</w:t>
      </w:r>
      <w:r>
        <w:rPr>
          <w:rFonts w:hint="eastAsia"/>
          <w:color w:val="auto"/>
          <w:sz w:val="24"/>
          <w:szCs w:val="24"/>
          <w:lang w:val="en-US"/>
        </w:rPr>
        <w:t>公章及法定代表人或被授权人签字（或盖章）确认。</w:t>
      </w:r>
    </w:p>
    <w:p w14:paraId="61E2E42E">
      <w:pPr>
        <w:pStyle w:val="7"/>
        <w:pageBreakBefore w:val="0"/>
        <w:tabs>
          <w:tab w:val="left" w:pos="0"/>
        </w:tabs>
        <w:topLinePunct w:val="0"/>
        <w:bidi w:val="0"/>
        <w:spacing w:line="500" w:lineRule="exact"/>
        <w:ind w:left="0" w:leftChars="0" w:right="0" w:rightChars="0" w:firstLine="482" w:firstLineChars="200"/>
        <w:rPr>
          <w:color w:val="auto"/>
          <w:lang w:val="en-US"/>
        </w:rPr>
      </w:pPr>
      <w:r>
        <w:rPr>
          <w:color w:val="auto"/>
          <w:lang w:val="en-US"/>
        </w:rPr>
        <w:t>4.投标报价</w:t>
      </w:r>
    </w:p>
    <w:p w14:paraId="43D2487E">
      <w:pPr>
        <w:pageBreakBefore w:val="0"/>
        <w:topLinePunct w:val="0"/>
        <w:bidi w:val="0"/>
        <w:spacing w:line="500" w:lineRule="exact"/>
        <w:ind w:left="0" w:leftChars="0" w:right="0" w:rightChars="0" w:firstLine="484" w:firstLineChars="200"/>
        <w:rPr>
          <w:color w:val="auto"/>
          <w:spacing w:val="-2"/>
          <w:sz w:val="24"/>
          <w:szCs w:val="24"/>
        </w:rPr>
      </w:pPr>
      <w:r>
        <w:rPr>
          <w:rFonts w:hint="eastAsia"/>
          <w:color w:val="auto"/>
          <w:spacing w:val="1"/>
          <w:sz w:val="24"/>
          <w:szCs w:val="24"/>
          <w:lang w:val="en-US"/>
        </w:rPr>
        <w:t>4</w:t>
      </w:r>
      <w:r>
        <w:rPr>
          <w:color w:val="auto"/>
          <w:spacing w:val="1"/>
          <w:sz w:val="24"/>
          <w:szCs w:val="24"/>
        </w:rPr>
        <w:t xml:space="preserve">.1 </w:t>
      </w:r>
      <w:r>
        <w:rPr>
          <w:rFonts w:hint="eastAsia"/>
          <w:color w:val="auto"/>
          <w:spacing w:val="1"/>
          <w:sz w:val="24"/>
          <w:szCs w:val="24"/>
          <w:lang w:val="en-US" w:eastAsia="zh-CN"/>
        </w:rPr>
        <w:t>供应商</w:t>
      </w:r>
      <w:r>
        <w:rPr>
          <w:color w:val="auto"/>
          <w:spacing w:val="1"/>
          <w:sz w:val="24"/>
          <w:szCs w:val="24"/>
        </w:rPr>
        <w:t>必须对货物需求和服务要求进行完整报价，采购</w:t>
      </w:r>
      <w:r>
        <w:rPr>
          <w:rFonts w:hint="eastAsia"/>
          <w:color w:val="auto"/>
          <w:spacing w:val="1"/>
          <w:sz w:val="24"/>
          <w:szCs w:val="24"/>
          <w:lang w:eastAsia="zh-CN"/>
        </w:rPr>
        <w:t>人</w:t>
      </w:r>
      <w:r>
        <w:rPr>
          <w:color w:val="auto"/>
          <w:spacing w:val="1"/>
          <w:sz w:val="24"/>
          <w:szCs w:val="24"/>
        </w:rPr>
        <w:t>拒绝只对部分</w:t>
      </w:r>
      <w:r>
        <w:rPr>
          <w:color w:val="auto"/>
          <w:spacing w:val="-2"/>
          <w:sz w:val="24"/>
          <w:szCs w:val="24"/>
        </w:rPr>
        <w:t>货物或服务进行报价的投标。</w:t>
      </w:r>
      <w:r>
        <w:rPr>
          <w:rFonts w:hint="eastAsia"/>
          <w:color w:val="auto"/>
          <w:spacing w:val="-2"/>
          <w:sz w:val="24"/>
          <w:szCs w:val="24"/>
          <w:lang w:val="en-US" w:eastAsia="zh-CN"/>
        </w:rPr>
        <w:t>供应商</w:t>
      </w:r>
      <w:r>
        <w:rPr>
          <w:color w:val="auto"/>
          <w:spacing w:val="-2"/>
          <w:sz w:val="24"/>
          <w:szCs w:val="24"/>
        </w:rPr>
        <w:t>应在投标文件中的投标分项报价表上标明对本次招标拟提供货物和服务的总价</w:t>
      </w:r>
      <w:r>
        <w:rPr>
          <w:rFonts w:hint="eastAsia"/>
          <w:color w:val="auto"/>
          <w:spacing w:val="-2"/>
          <w:sz w:val="24"/>
          <w:szCs w:val="24"/>
          <w:lang w:val="en-US" w:eastAsia="zh-CN"/>
        </w:rPr>
        <w:t>和</w:t>
      </w:r>
      <w:r>
        <w:rPr>
          <w:color w:val="auto"/>
          <w:spacing w:val="-2"/>
          <w:sz w:val="24"/>
          <w:szCs w:val="24"/>
        </w:rPr>
        <w:t>单价</w:t>
      </w:r>
      <w:r>
        <w:rPr>
          <w:rFonts w:hint="eastAsia"/>
          <w:color w:val="auto"/>
          <w:spacing w:val="-2"/>
          <w:sz w:val="24"/>
          <w:szCs w:val="24"/>
          <w:lang w:eastAsia="zh-CN"/>
        </w:rPr>
        <w:t>（</w:t>
      </w:r>
      <w:r>
        <w:rPr>
          <w:rFonts w:hint="eastAsia"/>
          <w:color w:val="auto"/>
          <w:spacing w:val="-2"/>
          <w:sz w:val="24"/>
          <w:szCs w:val="24"/>
          <w:lang w:val="en-US" w:eastAsia="zh-CN"/>
        </w:rPr>
        <w:t>或优惠率</w:t>
      </w:r>
      <w:r>
        <w:rPr>
          <w:rFonts w:hint="eastAsia"/>
          <w:color w:val="auto"/>
          <w:spacing w:val="-2"/>
          <w:sz w:val="24"/>
          <w:szCs w:val="24"/>
          <w:lang w:eastAsia="zh-CN"/>
        </w:rPr>
        <w:t>）</w:t>
      </w:r>
      <w:r>
        <w:rPr>
          <w:color w:val="auto"/>
          <w:spacing w:val="-2"/>
          <w:sz w:val="24"/>
          <w:szCs w:val="24"/>
        </w:rPr>
        <w:t>。任何有选择的报价将不予接受，每种货物只允许有一个报价。</w:t>
      </w:r>
    </w:p>
    <w:p w14:paraId="63A5319A">
      <w:pPr>
        <w:pageBreakBefore w:val="0"/>
        <w:topLinePunct w:val="0"/>
        <w:bidi w:val="0"/>
        <w:spacing w:line="500" w:lineRule="exact"/>
        <w:ind w:left="0" w:leftChars="0" w:right="0" w:rightChars="0" w:firstLine="472" w:firstLineChars="200"/>
        <w:rPr>
          <w:rFonts w:hint="default" w:eastAsia="宋体"/>
          <w:color w:val="auto"/>
          <w:spacing w:val="-2"/>
          <w:sz w:val="24"/>
          <w:szCs w:val="24"/>
          <w:highlight w:val="none"/>
          <w:lang w:val="en-US" w:eastAsia="zh-CN"/>
        </w:rPr>
      </w:pPr>
      <w:r>
        <w:rPr>
          <w:rFonts w:hint="eastAsia"/>
          <w:color w:val="auto"/>
          <w:spacing w:val="-2"/>
          <w:sz w:val="24"/>
          <w:szCs w:val="24"/>
          <w:lang w:val="en-US" w:eastAsia="zh-CN"/>
        </w:rPr>
        <w:t>4.2</w:t>
      </w:r>
      <w:r>
        <w:rPr>
          <w:rFonts w:hint="eastAsia" w:ascii="宋体" w:hAnsi="宋体" w:eastAsia="宋体" w:cs="宋体"/>
          <w:b/>
          <w:bCs/>
          <w:color w:val="auto"/>
          <w:sz w:val="24"/>
          <w:szCs w:val="24"/>
          <w:lang w:val="en-US" w:eastAsia="zh-CN"/>
        </w:rPr>
        <w:t>本项目合同包1：大米单价最高限价为：4.78元/千克</w:t>
      </w:r>
      <w:r>
        <w:rPr>
          <w:rFonts w:hint="eastAsia" w:cs="宋体"/>
          <w:b/>
          <w:bCs/>
          <w:color w:val="auto"/>
          <w:sz w:val="24"/>
          <w:szCs w:val="24"/>
          <w:lang w:val="en-US" w:eastAsia="zh-CN"/>
        </w:rPr>
        <w:t>；</w:t>
      </w:r>
      <w:r>
        <w:rPr>
          <w:rFonts w:hint="eastAsia" w:ascii="宋体" w:hAnsi="宋体" w:eastAsia="宋体" w:cs="宋体"/>
          <w:b/>
          <w:bCs/>
          <w:color w:val="auto"/>
          <w:sz w:val="24"/>
          <w:szCs w:val="24"/>
          <w:lang w:val="en-US" w:eastAsia="zh-CN"/>
        </w:rPr>
        <w:t>面粉单价最高限价为：4.28元/千克</w:t>
      </w:r>
      <w:r>
        <w:rPr>
          <w:rFonts w:hint="eastAsia" w:cs="宋体"/>
          <w:b/>
          <w:bCs/>
          <w:color w:val="auto"/>
          <w:sz w:val="24"/>
          <w:szCs w:val="24"/>
          <w:lang w:val="en-US" w:eastAsia="zh-CN"/>
        </w:rPr>
        <w:t>；</w:t>
      </w:r>
      <w:r>
        <w:rPr>
          <w:rFonts w:hint="eastAsia" w:ascii="宋体" w:hAnsi="宋体" w:eastAsia="宋体" w:cs="宋体"/>
          <w:b/>
          <w:bCs/>
          <w:color w:val="auto"/>
          <w:sz w:val="24"/>
          <w:szCs w:val="24"/>
          <w:lang w:val="en-US" w:eastAsia="zh-CN"/>
        </w:rPr>
        <w:t>菜籽油单价最高限价为：14.31元/升</w:t>
      </w:r>
      <w:r>
        <w:rPr>
          <w:rFonts w:hint="eastAsia" w:cs="宋体"/>
          <w:b/>
          <w:bCs/>
          <w:color w:val="auto"/>
          <w:sz w:val="24"/>
          <w:szCs w:val="24"/>
          <w:lang w:val="en-US" w:eastAsia="zh-CN"/>
        </w:rPr>
        <w:t>；</w:t>
      </w:r>
      <w:r>
        <w:rPr>
          <w:rFonts w:hint="eastAsia" w:ascii="宋体" w:hAnsi="宋体" w:eastAsia="宋体" w:cs="宋体"/>
          <w:b/>
          <w:bCs/>
          <w:color w:val="auto"/>
          <w:sz w:val="24"/>
          <w:szCs w:val="24"/>
          <w:lang w:val="en-US" w:eastAsia="zh-CN"/>
        </w:rPr>
        <w:t>面制品</w:t>
      </w:r>
      <w:r>
        <w:rPr>
          <w:rFonts w:hint="eastAsia" w:cs="宋体"/>
          <w:b/>
          <w:bCs/>
          <w:color w:val="auto"/>
          <w:sz w:val="24"/>
          <w:szCs w:val="24"/>
          <w:lang w:val="en-US" w:eastAsia="zh-CN"/>
        </w:rPr>
        <w:t>按照优惠率报价计算作为实际结算单价，最终依据实际供货量据实结算；牛奶按照优惠率报价计算作为实际结算单价，最终依据实际供货量据实结算；</w:t>
      </w:r>
      <w:r>
        <w:rPr>
          <w:rFonts w:hint="eastAsia" w:ascii="宋体" w:hAnsi="宋体" w:eastAsia="宋体" w:cs="宋体"/>
          <w:b/>
          <w:bCs/>
          <w:color w:val="auto"/>
          <w:sz w:val="24"/>
          <w:szCs w:val="24"/>
          <w:lang w:val="en-US" w:eastAsia="zh-CN"/>
        </w:rPr>
        <w:t>杂粮按照优惠率报价计算作为实际结算单价，最终依据实际供货量据实结算</w:t>
      </w:r>
      <w:r>
        <w:rPr>
          <w:rFonts w:hint="eastAsia" w:cs="宋体"/>
          <w:b/>
          <w:bCs/>
          <w:color w:val="auto"/>
          <w:sz w:val="24"/>
          <w:szCs w:val="24"/>
          <w:lang w:val="en-US" w:eastAsia="zh-CN"/>
        </w:rPr>
        <w:t>。</w:t>
      </w:r>
      <w:r>
        <w:rPr>
          <w:rFonts w:hint="eastAsia" w:ascii="宋体" w:hAnsi="宋体" w:eastAsia="宋体" w:cs="宋体"/>
          <w:b/>
          <w:bCs/>
          <w:color w:val="auto"/>
          <w:sz w:val="24"/>
          <w:szCs w:val="24"/>
          <w:lang w:val="en-US" w:eastAsia="zh-CN"/>
        </w:rPr>
        <w:t>本项目合同包2和</w:t>
      </w:r>
      <w:r>
        <w:rPr>
          <w:rFonts w:hint="eastAsia" w:cs="宋体"/>
          <w:b/>
          <w:bCs/>
          <w:color w:val="auto"/>
          <w:sz w:val="24"/>
          <w:szCs w:val="24"/>
          <w:lang w:val="en-US" w:eastAsia="zh-CN"/>
        </w:rPr>
        <w:t>合同包3</w:t>
      </w:r>
      <w:r>
        <w:rPr>
          <w:rFonts w:hint="eastAsia" w:ascii="宋体" w:hAnsi="宋体" w:eastAsia="宋体" w:cs="宋体"/>
          <w:b/>
          <w:bCs/>
          <w:color w:val="auto"/>
          <w:sz w:val="24"/>
          <w:szCs w:val="24"/>
          <w:lang w:val="en-US" w:eastAsia="zh-CN"/>
        </w:rPr>
        <w:t>：肉蛋禽按照优惠率报价计算作为实际结算单价，依据实际供货量据实结算</w:t>
      </w:r>
      <w:r>
        <w:rPr>
          <w:rFonts w:hint="eastAsia" w:cs="宋体"/>
          <w:b/>
          <w:bCs/>
          <w:color w:val="auto"/>
          <w:sz w:val="24"/>
          <w:szCs w:val="24"/>
          <w:lang w:val="en-US" w:eastAsia="zh-CN"/>
        </w:rPr>
        <w:t>。</w:t>
      </w:r>
      <w:r>
        <w:rPr>
          <w:rFonts w:hint="eastAsia"/>
          <w:b w:val="0"/>
          <w:bCs w:val="0"/>
          <w:color w:val="auto"/>
          <w:sz w:val="24"/>
          <w:szCs w:val="24"/>
          <w:highlight w:val="none"/>
          <w:lang w:val="en-US" w:eastAsia="zh-CN"/>
        </w:rPr>
        <w:t>为便于评审，以投标总报价作为评审依据，结算时将以中标单价或中标优惠率按实际采购数量据实结算，</w:t>
      </w:r>
      <w:r>
        <w:rPr>
          <w:rFonts w:hint="eastAsia" w:ascii="宋体" w:hAnsi="宋体" w:eastAsia="宋体" w:cs="宋体"/>
          <w:b/>
          <w:bCs/>
          <w:color w:val="auto"/>
          <w:sz w:val="24"/>
          <w:szCs w:val="24"/>
          <w:highlight w:val="none"/>
          <w:lang w:val="en-US" w:eastAsia="zh-CN"/>
        </w:rPr>
        <w:t>报价不得高于最高限价和单价，否则按废标处理。</w:t>
      </w:r>
    </w:p>
    <w:p w14:paraId="4A2C15A3">
      <w:pPr>
        <w:pageBreakBefore w:val="0"/>
        <w:topLinePunct w:val="0"/>
        <w:bidi w:val="0"/>
        <w:spacing w:line="500" w:lineRule="exact"/>
        <w:ind w:left="0" w:leftChars="0" w:right="0" w:rightChars="0" w:firstLine="472" w:firstLineChars="200"/>
        <w:rPr>
          <w:color w:val="auto"/>
          <w:spacing w:val="-2"/>
          <w:sz w:val="24"/>
          <w:szCs w:val="24"/>
        </w:rPr>
      </w:pPr>
      <w:r>
        <w:rPr>
          <w:rFonts w:hint="eastAsia"/>
          <w:color w:val="auto"/>
          <w:spacing w:val="-2"/>
          <w:sz w:val="24"/>
          <w:szCs w:val="24"/>
          <w:lang w:val="en-US"/>
        </w:rPr>
        <w:t>4</w:t>
      </w:r>
      <w:r>
        <w:rPr>
          <w:color w:val="auto"/>
          <w:spacing w:val="-2"/>
          <w:sz w:val="24"/>
          <w:szCs w:val="24"/>
        </w:rPr>
        <w:t>.</w:t>
      </w:r>
      <w:r>
        <w:rPr>
          <w:rFonts w:hint="eastAsia"/>
          <w:color w:val="auto"/>
          <w:spacing w:val="-2"/>
          <w:sz w:val="24"/>
          <w:szCs w:val="24"/>
          <w:lang w:val="en-US" w:eastAsia="zh-CN"/>
        </w:rPr>
        <w:t>3</w:t>
      </w:r>
      <w:r>
        <w:rPr>
          <w:color w:val="auto"/>
          <w:spacing w:val="-2"/>
          <w:sz w:val="24"/>
          <w:szCs w:val="24"/>
        </w:rPr>
        <w:t>投标报价（最终结算价）=</w:t>
      </w:r>
      <w:r>
        <w:rPr>
          <w:rFonts w:hint="eastAsia"/>
          <w:color w:val="auto"/>
          <w:spacing w:val="-2"/>
          <w:sz w:val="24"/>
          <w:szCs w:val="24"/>
          <w:lang w:val="en-US" w:eastAsia="zh-CN"/>
        </w:rPr>
        <w:t>食品采购、包装、运输、装卸、加工、供货服务期限、配送（配送到指定学校地点）、售后服务及国家按现行税收政策征收的一切税费等</w:t>
      </w:r>
      <w:r>
        <w:rPr>
          <w:color w:val="auto"/>
          <w:spacing w:val="-2"/>
          <w:sz w:val="24"/>
          <w:szCs w:val="24"/>
        </w:rPr>
        <w:t>。</w:t>
      </w:r>
    </w:p>
    <w:p w14:paraId="5EE7EBA6">
      <w:pPr>
        <w:pageBreakBefore w:val="0"/>
        <w:topLinePunct w:val="0"/>
        <w:bidi w:val="0"/>
        <w:spacing w:line="500" w:lineRule="exact"/>
        <w:ind w:left="0" w:leftChars="0" w:right="0" w:rightChars="0" w:firstLine="468" w:firstLineChars="200"/>
        <w:rPr>
          <w:color w:val="auto"/>
          <w:sz w:val="24"/>
          <w:szCs w:val="24"/>
        </w:rPr>
      </w:pPr>
      <w:r>
        <w:rPr>
          <w:rFonts w:hint="eastAsia"/>
          <w:color w:val="auto"/>
          <w:spacing w:val="-3"/>
          <w:sz w:val="24"/>
          <w:szCs w:val="24"/>
          <w:lang w:val="en-US"/>
        </w:rPr>
        <w:t>4</w:t>
      </w:r>
      <w:r>
        <w:rPr>
          <w:color w:val="auto"/>
          <w:spacing w:val="-3"/>
          <w:sz w:val="24"/>
          <w:szCs w:val="24"/>
        </w:rPr>
        <w:t>.</w:t>
      </w:r>
      <w:r>
        <w:rPr>
          <w:rFonts w:hint="eastAsia"/>
          <w:color w:val="auto"/>
          <w:spacing w:val="-3"/>
          <w:sz w:val="24"/>
          <w:szCs w:val="24"/>
          <w:lang w:val="en-US" w:eastAsia="zh-CN"/>
        </w:rPr>
        <w:t>4</w:t>
      </w:r>
      <w:r>
        <w:rPr>
          <w:color w:val="auto"/>
          <w:spacing w:val="-3"/>
          <w:sz w:val="24"/>
          <w:szCs w:val="24"/>
        </w:rPr>
        <w:t xml:space="preserve"> </w:t>
      </w:r>
      <w:r>
        <w:rPr>
          <w:rFonts w:hint="eastAsia"/>
          <w:color w:val="auto"/>
          <w:spacing w:val="-3"/>
          <w:sz w:val="24"/>
          <w:szCs w:val="24"/>
          <w:lang w:val="en-US" w:eastAsia="zh-CN"/>
        </w:rPr>
        <w:t>供应商</w:t>
      </w:r>
      <w:r>
        <w:rPr>
          <w:color w:val="auto"/>
          <w:spacing w:val="-3"/>
          <w:sz w:val="24"/>
          <w:szCs w:val="24"/>
        </w:rPr>
        <w:t xml:space="preserve">根据本须知第 </w:t>
      </w:r>
      <w:r>
        <w:rPr>
          <w:rFonts w:hint="eastAsia"/>
          <w:color w:val="auto"/>
          <w:spacing w:val="-3"/>
          <w:sz w:val="24"/>
          <w:szCs w:val="24"/>
          <w:lang w:val="en-US"/>
        </w:rPr>
        <w:t>4.2</w:t>
      </w:r>
      <w:r>
        <w:rPr>
          <w:color w:val="auto"/>
          <w:spacing w:val="-3"/>
          <w:sz w:val="24"/>
          <w:szCs w:val="24"/>
        </w:rPr>
        <w:t xml:space="preserve"> 条的规定将投标价分成几部分，只是为了方便招</w:t>
      </w:r>
      <w:r>
        <w:rPr>
          <w:color w:val="auto"/>
          <w:spacing w:val="-2"/>
          <w:sz w:val="24"/>
          <w:szCs w:val="24"/>
        </w:rPr>
        <w:t>标采购</w:t>
      </w:r>
      <w:r>
        <w:rPr>
          <w:rFonts w:hint="eastAsia"/>
          <w:color w:val="auto"/>
          <w:spacing w:val="-2"/>
          <w:sz w:val="24"/>
          <w:szCs w:val="24"/>
          <w:lang w:eastAsia="zh-CN"/>
        </w:rPr>
        <w:t>人</w:t>
      </w:r>
      <w:r>
        <w:rPr>
          <w:color w:val="auto"/>
          <w:spacing w:val="-2"/>
          <w:sz w:val="24"/>
          <w:szCs w:val="24"/>
        </w:rPr>
        <w:t>对投标文件进行比较，但在任何情况下并不限制采购人以上述任何条件订立合同的权利。</w:t>
      </w:r>
    </w:p>
    <w:p w14:paraId="6253E3D7">
      <w:pPr>
        <w:pageBreakBefore w:val="0"/>
        <w:topLinePunct w:val="0"/>
        <w:bidi w:val="0"/>
        <w:spacing w:line="500" w:lineRule="exact"/>
        <w:ind w:left="0" w:leftChars="0" w:right="0" w:rightChars="0" w:firstLine="468" w:firstLineChars="200"/>
        <w:rPr>
          <w:color w:val="auto"/>
          <w:spacing w:val="-3"/>
          <w:sz w:val="24"/>
          <w:szCs w:val="24"/>
          <w:highlight w:val="yellow"/>
          <w:lang w:val="en-US"/>
        </w:rPr>
      </w:pPr>
      <w:r>
        <w:rPr>
          <w:rFonts w:hint="eastAsia"/>
          <w:color w:val="auto"/>
          <w:spacing w:val="-3"/>
          <w:sz w:val="24"/>
          <w:szCs w:val="24"/>
          <w:lang w:val="en-US"/>
        </w:rPr>
        <w:t>4.</w:t>
      </w:r>
      <w:r>
        <w:rPr>
          <w:rFonts w:hint="eastAsia"/>
          <w:color w:val="auto"/>
          <w:spacing w:val="-3"/>
          <w:sz w:val="24"/>
          <w:szCs w:val="24"/>
          <w:lang w:val="en-US" w:eastAsia="zh-CN"/>
        </w:rPr>
        <w:t>5供应商</w:t>
      </w:r>
      <w:r>
        <w:rPr>
          <w:rFonts w:hint="eastAsia"/>
          <w:color w:val="auto"/>
          <w:spacing w:val="-3"/>
          <w:sz w:val="24"/>
          <w:szCs w:val="24"/>
          <w:lang w:val="en-US"/>
        </w:rPr>
        <w:t>所报的投标价在合同执行过程中原则上是固定不变的，不得以任何理由予以变更。任何包含价格调整要求的投标，将被认为是非响应性投标而予以拒绝。</w:t>
      </w:r>
    </w:p>
    <w:p w14:paraId="0C6C8B02">
      <w:pPr>
        <w:pageBreakBefore w:val="0"/>
        <w:topLinePunct w:val="0"/>
        <w:bidi w:val="0"/>
        <w:spacing w:line="500" w:lineRule="exact"/>
        <w:ind w:left="0" w:leftChars="0" w:right="0" w:rightChars="0" w:firstLine="472" w:firstLineChars="200"/>
        <w:rPr>
          <w:color w:val="auto"/>
          <w:sz w:val="24"/>
          <w:szCs w:val="24"/>
        </w:rPr>
      </w:pPr>
      <w:r>
        <w:rPr>
          <w:rFonts w:hint="eastAsia"/>
          <w:color w:val="auto"/>
          <w:spacing w:val="-2"/>
          <w:sz w:val="24"/>
          <w:szCs w:val="24"/>
          <w:lang w:val="en-US"/>
        </w:rPr>
        <w:t>4</w:t>
      </w:r>
      <w:r>
        <w:rPr>
          <w:color w:val="auto"/>
          <w:spacing w:val="-2"/>
          <w:sz w:val="24"/>
          <w:szCs w:val="24"/>
        </w:rPr>
        <w:t>.</w:t>
      </w:r>
      <w:r>
        <w:rPr>
          <w:rFonts w:hint="eastAsia"/>
          <w:color w:val="auto"/>
          <w:spacing w:val="-2"/>
          <w:sz w:val="24"/>
          <w:szCs w:val="24"/>
          <w:lang w:val="en-US" w:eastAsia="zh-CN"/>
        </w:rPr>
        <w:t>6</w:t>
      </w:r>
      <w:r>
        <w:rPr>
          <w:color w:val="auto"/>
          <w:spacing w:val="-2"/>
          <w:sz w:val="24"/>
          <w:szCs w:val="24"/>
        </w:rPr>
        <w:t xml:space="preserve"> </w:t>
      </w:r>
      <w:r>
        <w:rPr>
          <w:b/>
          <w:bCs/>
          <w:color w:val="auto"/>
          <w:spacing w:val="-2"/>
          <w:sz w:val="24"/>
          <w:szCs w:val="24"/>
        </w:rPr>
        <w:t>最低报价不是中标的唯一依据。</w:t>
      </w:r>
    </w:p>
    <w:p w14:paraId="5862CF6A">
      <w:pPr>
        <w:adjustRightInd w:val="0"/>
        <w:snapToGrid w:val="0"/>
        <w:spacing w:line="520" w:lineRule="exact"/>
        <w:ind w:firstLine="474" w:firstLineChars="196"/>
        <w:rPr>
          <w:rFonts w:hint="eastAsia"/>
          <w:color w:val="auto"/>
          <w:spacing w:val="1"/>
          <w:sz w:val="24"/>
          <w:szCs w:val="24"/>
          <w:lang w:val="en-US"/>
        </w:rPr>
      </w:pPr>
    </w:p>
    <w:p w14:paraId="19ED8F0A">
      <w:pPr>
        <w:adjustRightInd w:val="0"/>
        <w:snapToGrid w:val="0"/>
        <w:spacing w:line="520" w:lineRule="exact"/>
        <w:ind w:firstLine="474" w:firstLineChars="196"/>
        <w:rPr>
          <w:rFonts w:hint="eastAsia"/>
          <w:color w:val="auto"/>
          <w:spacing w:val="1"/>
          <w:sz w:val="24"/>
          <w:szCs w:val="24"/>
          <w:lang w:val="en-US"/>
        </w:rPr>
      </w:pPr>
    </w:p>
    <w:p w14:paraId="68386EBE">
      <w:pPr>
        <w:adjustRightInd w:val="0"/>
        <w:snapToGrid w:val="0"/>
        <w:spacing w:line="520" w:lineRule="exact"/>
        <w:rPr>
          <w:rFonts w:hint="eastAsia"/>
          <w:color w:val="auto"/>
          <w:spacing w:val="1"/>
          <w:sz w:val="24"/>
          <w:szCs w:val="24"/>
          <w:lang w:val="en-US"/>
        </w:rPr>
      </w:pPr>
    </w:p>
    <w:p w14:paraId="3501646D">
      <w:pPr>
        <w:adjustRightInd w:val="0"/>
        <w:snapToGrid w:val="0"/>
        <w:spacing w:line="520" w:lineRule="exact"/>
        <w:ind w:firstLine="476" w:firstLineChars="196"/>
        <w:rPr>
          <w:rFonts w:hint="eastAsia" w:ascii="宋体" w:hAnsi="宋体" w:eastAsia="宋体" w:cs="宋体"/>
          <w:b/>
          <w:bCs/>
          <w:color w:val="auto"/>
          <w:sz w:val="24"/>
          <w:lang w:val="en-US" w:eastAsia="zh-CN"/>
        </w:rPr>
      </w:pPr>
      <w:r>
        <w:rPr>
          <w:rFonts w:hint="eastAsia"/>
          <w:b/>
          <w:bCs/>
          <w:color w:val="auto"/>
          <w:spacing w:val="1"/>
          <w:sz w:val="24"/>
          <w:szCs w:val="24"/>
          <w:lang w:val="en-US"/>
        </w:rPr>
        <w:t>4</w:t>
      </w:r>
      <w:r>
        <w:rPr>
          <w:b/>
          <w:bCs/>
          <w:color w:val="auto"/>
          <w:spacing w:val="1"/>
          <w:sz w:val="24"/>
          <w:szCs w:val="24"/>
        </w:rPr>
        <w:t>.</w:t>
      </w:r>
      <w:r>
        <w:rPr>
          <w:rFonts w:hint="eastAsia"/>
          <w:b/>
          <w:bCs/>
          <w:color w:val="auto"/>
          <w:spacing w:val="1"/>
          <w:sz w:val="24"/>
          <w:szCs w:val="24"/>
          <w:lang w:val="en-US" w:eastAsia="zh-CN"/>
        </w:rPr>
        <w:t>7</w:t>
      </w:r>
      <w:r>
        <w:rPr>
          <w:b/>
          <w:bCs/>
          <w:color w:val="auto"/>
          <w:spacing w:val="1"/>
          <w:sz w:val="24"/>
          <w:szCs w:val="24"/>
        </w:rPr>
        <w:t xml:space="preserve"> </w:t>
      </w:r>
      <w:r>
        <w:rPr>
          <w:rFonts w:hint="eastAsia" w:ascii="宋体" w:hAnsi="宋体" w:eastAsia="宋体" w:cs="宋体"/>
          <w:b/>
          <w:bCs/>
          <w:color w:val="auto"/>
          <w:sz w:val="24"/>
          <w:lang w:val="en-US" w:eastAsia="zh-CN"/>
        </w:rPr>
        <w:t>异常低价审查</w:t>
      </w:r>
    </w:p>
    <w:tbl>
      <w:tblPr>
        <w:tblStyle w:val="2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80"/>
        <w:gridCol w:w="2639"/>
        <w:gridCol w:w="5279"/>
      </w:tblGrid>
      <w:tr w14:paraId="13498E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40" w:hRule="atLeast"/>
        </w:trPr>
        <w:tc>
          <w:tcPr>
            <w:tcW w:w="880" w:type="dxa"/>
            <w:noWrap w:val="0"/>
            <w:vAlign w:val="top"/>
          </w:tcPr>
          <w:p w14:paraId="2736D444">
            <w:pPr>
              <w:pStyle w:val="52"/>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2639" w:type="dxa"/>
            <w:noWrap w:val="0"/>
            <w:vAlign w:val="top"/>
          </w:tcPr>
          <w:p w14:paraId="1CEC529F">
            <w:pPr>
              <w:pStyle w:val="52"/>
              <w:jc w:val="center"/>
              <w:rPr>
                <w:rFonts w:hint="eastAsia" w:ascii="宋体" w:hAnsi="宋体" w:eastAsia="宋体" w:cs="宋体"/>
                <w:b/>
                <w:bCs/>
                <w:sz w:val="24"/>
                <w:szCs w:val="24"/>
              </w:rPr>
            </w:pPr>
            <w:r>
              <w:rPr>
                <w:rFonts w:hint="eastAsia" w:ascii="宋体" w:hAnsi="宋体" w:eastAsia="宋体" w:cs="宋体"/>
                <w:b/>
                <w:bCs/>
                <w:sz w:val="24"/>
                <w:szCs w:val="24"/>
              </w:rPr>
              <w:t>评审点要求概况</w:t>
            </w:r>
          </w:p>
        </w:tc>
        <w:tc>
          <w:tcPr>
            <w:tcW w:w="5279" w:type="dxa"/>
            <w:noWrap w:val="0"/>
            <w:vAlign w:val="top"/>
          </w:tcPr>
          <w:p w14:paraId="61326DB7">
            <w:pPr>
              <w:pStyle w:val="52"/>
              <w:jc w:val="center"/>
              <w:rPr>
                <w:rFonts w:hint="eastAsia" w:ascii="宋体" w:hAnsi="宋体" w:eastAsia="宋体" w:cs="宋体"/>
                <w:b/>
                <w:bCs/>
                <w:sz w:val="24"/>
                <w:szCs w:val="24"/>
              </w:rPr>
            </w:pPr>
            <w:r>
              <w:rPr>
                <w:rFonts w:hint="eastAsia" w:ascii="宋体" w:hAnsi="宋体" w:eastAsia="宋体" w:cs="宋体"/>
                <w:b/>
                <w:bCs/>
                <w:sz w:val="24"/>
                <w:szCs w:val="24"/>
              </w:rPr>
              <w:t>异常低价的情形</w:t>
            </w:r>
          </w:p>
        </w:tc>
      </w:tr>
      <w:tr w14:paraId="3F1882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827" w:hRule="atLeast"/>
        </w:trPr>
        <w:tc>
          <w:tcPr>
            <w:tcW w:w="880" w:type="dxa"/>
            <w:noWrap w:val="0"/>
            <w:vAlign w:val="center"/>
          </w:tcPr>
          <w:p w14:paraId="51143769">
            <w:pPr>
              <w:pStyle w:val="52"/>
              <w:jc w:val="center"/>
              <w:rPr>
                <w:rFonts w:hint="eastAsia" w:ascii="宋体" w:hAnsi="宋体" w:eastAsia="宋体" w:cs="宋体"/>
                <w:b/>
                <w:bCs/>
                <w:sz w:val="24"/>
                <w:szCs w:val="24"/>
              </w:rPr>
            </w:pPr>
            <w:r>
              <w:rPr>
                <w:rFonts w:hint="eastAsia" w:ascii="宋体" w:hAnsi="宋体" w:eastAsia="宋体" w:cs="宋体"/>
                <w:b/>
                <w:bCs/>
                <w:sz w:val="24"/>
                <w:szCs w:val="24"/>
              </w:rPr>
              <w:t>1</w:t>
            </w:r>
          </w:p>
        </w:tc>
        <w:tc>
          <w:tcPr>
            <w:tcW w:w="2639" w:type="dxa"/>
            <w:noWrap w:val="0"/>
            <w:vAlign w:val="center"/>
          </w:tcPr>
          <w:p w14:paraId="6A4EC338">
            <w:pPr>
              <w:pStyle w:val="52"/>
              <w:jc w:val="center"/>
              <w:rPr>
                <w:rFonts w:hint="eastAsia" w:ascii="宋体" w:hAnsi="宋体" w:eastAsia="宋体" w:cs="宋体"/>
                <w:b/>
                <w:bCs/>
                <w:sz w:val="24"/>
                <w:szCs w:val="24"/>
              </w:rPr>
            </w:pPr>
            <w:r>
              <w:rPr>
                <w:rFonts w:hint="eastAsia" w:ascii="宋体" w:hAnsi="宋体" w:eastAsia="宋体" w:cs="宋体"/>
                <w:b/>
                <w:bCs/>
                <w:sz w:val="24"/>
                <w:szCs w:val="24"/>
              </w:rPr>
              <w:t>异常低价审查</w:t>
            </w:r>
          </w:p>
        </w:tc>
        <w:tc>
          <w:tcPr>
            <w:tcW w:w="5279" w:type="dxa"/>
            <w:noWrap w:val="0"/>
            <w:vAlign w:val="top"/>
          </w:tcPr>
          <w:p w14:paraId="22032A1E">
            <w:pPr>
              <w:pStyle w:val="52"/>
              <w:rPr>
                <w:rFonts w:hint="eastAsia" w:ascii="宋体" w:hAnsi="宋体" w:eastAsia="宋体" w:cs="宋体"/>
                <w:b/>
                <w:bCs/>
                <w:sz w:val="24"/>
                <w:szCs w:val="24"/>
              </w:rPr>
            </w:pPr>
            <w:r>
              <w:rPr>
                <w:rFonts w:hint="eastAsia" w:ascii="宋体" w:hAnsi="宋体" w:eastAsia="宋体" w:cs="宋体"/>
                <w:b/>
                <w:bCs/>
                <w:sz w:val="24"/>
                <w:szCs w:val="24"/>
              </w:rPr>
              <w:t>根据《关于推动解决政府采购异常低价问题的通知》（财库〔2026〕2号）等相关规定，政府采购评审中出现下列情形之一的，评审委员会应当启动异常低价投标（响应）审查程序：</w:t>
            </w:r>
            <w:r>
              <w:rPr>
                <w:rFonts w:hint="eastAsia" w:ascii="宋体" w:hAnsi="宋体" w:eastAsia="宋体" w:cs="宋体"/>
                <w:b/>
                <w:bCs/>
                <w:sz w:val="24"/>
                <w:szCs w:val="24"/>
              </w:rPr>
              <w:br w:type="textWrapping"/>
            </w:r>
            <w:r>
              <w:rPr>
                <w:rFonts w:hint="eastAsia" w:ascii="宋体" w:hAnsi="宋体" w:eastAsia="宋体" w:cs="宋体"/>
                <w:b/>
                <w:bCs/>
                <w:sz w:val="24"/>
                <w:szCs w:val="24"/>
              </w:rPr>
              <w:t>（1）投标（响应）报价低于全部通过符合性审查供应商投标（响应）报价平均值50%的，即投标（响应）报价&lt;全部通过符合性审查供应商投标（响应）报价平均值×50%。</w:t>
            </w:r>
            <w:r>
              <w:rPr>
                <w:rFonts w:hint="eastAsia" w:ascii="宋体" w:hAnsi="宋体" w:eastAsia="宋体" w:cs="宋体"/>
                <w:b/>
                <w:bCs/>
                <w:sz w:val="24"/>
                <w:szCs w:val="24"/>
              </w:rPr>
              <w:br w:type="textWrapping"/>
            </w:r>
            <w:r>
              <w:rPr>
                <w:rFonts w:hint="eastAsia" w:ascii="宋体" w:hAnsi="宋体" w:eastAsia="宋体" w:cs="宋体"/>
                <w:b/>
                <w:bCs/>
                <w:sz w:val="24"/>
                <w:szCs w:val="24"/>
              </w:rPr>
              <w:t>（2）投标（响应）报价低于通过符合性审查且报价次低供应商投标（响应）报价50%的，即投标（响应）报价&lt;通过符合性审查且报价次低供应商投标（响应）报价×50%。</w:t>
            </w:r>
            <w:r>
              <w:rPr>
                <w:rFonts w:hint="eastAsia" w:ascii="宋体" w:hAnsi="宋体" w:eastAsia="宋体" w:cs="宋体"/>
                <w:b/>
                <w:bCs/>
                <w:sz w:val="24"/>
                <w:szCs w:val="24"/>
              </w:rPr>
              <w:br w:type="textWrapping"/>
            </w:r>
            <w:r>
              <w:rPr>
                <w:rFonts w:hint="eastAsia" w:ascii="宋体" w:hAnsi="宋体" w:eastAsia="宋体" w:cs="宋体"/>
                <w:b/>
                <w:bCs/>
                <w:sz w:val="24"/>
                <w:szCs w:val="24"/>
              </w:rPr>
              <w:t>（3）投标（响应）报价低于最高限价45%的，即投标（响应）报价&lt;最高限价×45%。</w:t>
            </w:r>
            <w:r>
              <w:rPr>
                <w:rFonts w:hint="eastAsia" w:ascii="宋体" w:hAnsi="宋体" w:eastAsia="宋体" w:cs="宋体"/>
                <w:b/>
                <w:bCs/>
                <w:sz w:val="24"/>
                <w:szCs w:val="24"/>
              </w:rPr>
              <w:br w:type="textWrapping"/>
            </w:r>
            <w:r>
              <w:rPr>
                <w:rFonts w:hint="eastAsia" w:ascii="宋体" w:hAnsi="宋体" w:eastAsia="宋体" w:cs="宋体"/>
                <w:b/>
                <w:bCs/>
                <w:sz w:val="24"/>
                <w:szCs w:val="24"/>
              </w:rPr>
              <w:t>（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b/>
                <w:bCs/>
                <w:sz w:val="24"/>
                <w:szCs w:val="24"/>
              </w:rPr>
              <w:br w:type="textWrapping"/>
            </w:r>
            <w:r>
              <w:rPr>
                <w:rFonts w:hint="eastAsia" w:ascii="宋体" w:hAnsi="宋体" w:eastAsia="宋体" w:cs="宋体"/>
                <w:b/>
                <w:bCs/>
                <w:sz w:val="24"/>
                <w:szCs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tc>
      </w:tr>
    </w:tbl>
    <w:p w14:paraId="23E6E918">
      <w:pPr>
        <w:adjustRightInd w:val="0"/>
        <w:snapToGrid w:val="0"/>
        <w:spacing w:line="520" w:lineRule="exact"/>
        <w:ind w:firstLine="472" w:firstLineChars="196"/>
        <w:rPr>
          <w:rFonts w:ascii="宋体" w:hAnsi="宋体" w:eastAsia="宋体" w:cs="宋体"/>
          <w:color w:val="auto"/>
          <w:spacing w:val="-2"/>
          <w:sz w:val="24"/>
          <w:szCs w:val="24"/>
        </w:rPr>
      </w:pPr>
      <w:r>
        <w:rPr>
          <w:rFonts w:hint="default" w:ascii="宋体" w:hAnsi="宋体" w:eastAsia="宋体" w:cs="宋体"/>
          <w:b/>
          <w:bCs/>
          <w:color w:val="auto"/>
          <w:sz w:val="24"/>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B90F8F6">
      <w:pPr>
        <w:pageBreakBefore w:val="0"/>
        <w:topLinePunct w:val="0"/>
        <w:bidi w:val="0"/>
        <w:spacing w:line="500" w:lineRule="exact"/>
        <w:ind w:left="0" w:leftChars="0" w:right="0" w:rightChars="0" w:firstLine="472" w:firstLineChars="200"/>
        <w:rPr>
          <w:rFonts w:ascii="宋体" w:hAnsi="宋体" w:eastAsia="宋体" w:cs="宋体"/>
          <w:color w:val="auto"/>
          <w:spacing w:val="-2"/>
          <w:sz w:val="24"/>
          <w:szCs w:val="24"/>
        </w:rPr>
      </w:pPr>
      <w:r>
        <w:rPr>
          <w:rFonts w:hint="eastAsia" w:ascii="宋体" w:hAnsi="宋体" w:eastAsia="宋体" w:cs="宋体"/>
          <w:color w:val="auto"/>
          <w:spacing w:val="-2"/>
          <w:sz w:val="24"/>
          <w:szCs w:val="24"/>
          <w:lang w:val="en-US"/>
        </w:rPr>
        <w:t>4</w:t>
      </w:r>
      <w:r>
        <w:rPr>
          <w:rFonts w:ascii="宋体" w:hAnsi="宋体" w:eastAsia="宋体" w:cs="宋体"/>
          <w:color w:val="auto"/>
          <w:spacing w:val="-2"/>
          <w:sz w:val="24"/>
          <w:szCs w:val="24"/>
        </w:rPr>
        <w:t>.</w:t>
      </w:r>
      <w:r>
        <w:rPr>
          <w:rFonts w:hint="eastAsia" w:cs="宋体"/>
          <w:color w:val="auto"/>
          <w:spacing w:val="-2"/>
          <w:sz w:val="24"/>
          <w:szCs w:val="24"/>
          <w:lang w:val="en-US" w:eastAsia="zh-CN"/>
        </w:rPr>
        <w:t>8</w:t>
      </w:r>
      <w:r>
        <w:rPr>
          <w:rFonts w:ascii="宋体" w:hAnsi="宋体" w:eastAsia="宋体" w:cs="宋体"/>
          <w:color w:val="auto"/>
          <w:spacing w:val="-2"/>
          <w:sz w:val="24"/>
          <w:szCs w:val="24"/>
        </w:rPr>
        <w:t xml:space="preserve"> 凡因对招标文件阅读不深、理解不透、误解、疏漏或因对市场行情了解不清而造成的后果和风险均由投标单位自负。</w:t>
      </w:r>
    </w:p>
    <w:p w14:paraId="04A6E5F5">
      <w:pPr>
        <w:pageBreakBefore w:val="0"/>
        <w:topLinePunct w:val="0"/>
        <w:bidi w:val="0"/>
        <w:spacing w:line="500" w:lineRule="exact"/>
        <w:ind w:left="0" w:leftChars="0" w:right="0" w:rightChars="0" w:firstLine="472" w:firstLineChars="200"/>
        <w:rPr>
          <w:color w:val="auto"/>
          <w:sz w:val="24"/>
          <w:szCs w:val="24"/>
        </w:rPr>
      </w:pPr>
      <w:r>
        <w:rPr>
          <w:rFonts w:hint="eastAsia"/>
          <w:color w:val="auto"/>
          <w:spacing w:val="-2"/>
          <w:sz w:val="24"/>
          <w:szCs w:val="24"/>
          <w:lang w:val="en-US"/>
        </w:rPr>
        <w:t>4</w:t>
      </w:r>
      <w:r>
        <w:rPr>
          <w:color w:val="auto"/>
          <w:spacing w:val="-2"/>
          <w:sz w:val="24"/>
          <w:szCs w:val="24"/>
        </w:rPr>
        <w:t>.</w:t>
      </w:r>
      <w:r>
        <w:rPr>
          <w:rFonts w:hint="eastAsia"/>
          <w:color w:val="auto"/>
          <w:spacing w:val="-2"/>
          <w:sz w:val="24"/>
          <w:szCs w:val="24"/>
          <w:lang w:val="en-US" w:eastAsia="zh-CN"/>
        </w:rPr>
        <w:t>9</w:t>
      </w:r>
      <w:r>
        <w:rPr>
          <w:color w:val="auto"/>
          <w:spacing w:val="-2"/>
          <w:sz w:val="24"/>
          <w:szCs w:val="24"/>
        </w:rPr>
        <w:t xml:space="preserve"> 报价货币：人民币，单位：元（最多保留</w:t>
      </w:r>
      <w:r>
        <w:rPr>
          <w:color w:val="auto"/>
          <w:spacing w:val="-40"/>
          <w:sz w:val="24"/>
          <w:szCs w:val="24"/>
        </w:rPr>
        <w:t xml:space="preserve"> </w:t>
      </w:r>
      <w:r>
        <w:rPr>
          <w:color w:val="auto"/>
          <w:spacing w:val="-2"/>
          <w:sz w:val="24"/>
          <w:szCs w:val="24"/>
        </w:rPr>
        <w:t>2</w:t>
      </w:r>
      <w:r>
        <w:rPr>
          <w:color w:val="auto"/>
          <w:spacing w:val="-51"/>
          <w:sz w:val="24"/>
          <w:szCs w:val="24"/>
        </w:rPr>
        <w:t xml:space="preserve"> </w:t>
      </w:r>
      <w:r>
        <w:rPr>
          <w:color w:val="auto"/>
          <w:spacing w:val="-2"/>
          <w:sz w:val="24"/>
          <w:szCs w:val="24"/>
        </w:rPr>
        <w:t>位小数）。</w:t>
      </w:r>
    </w:p>
    <w:p w14:paraId="5DBC4B13">
      <w:pPr>
        <w:pStyle w:val="12"/>
        <w:pageBreakBefore w:val="0"/>
        <w:topLinePunct w:val="0"/>
        <w:bidi w:val="0"/>
        <w:spacing w:line="500" w:lineRule="exact"/>
        <w:ind w:left="0" w:leftChars="0" w:right="0" w:rightChars="0" w:firstLine="640" w:firstLineChars="200"/>
        <w:rPr>
          <w:color w:val="auto"/>
          <w:sz w:val="32"/>
        </w:rPr>
      </w:pPr>
    </w:p>
    <w:p w14:paraId="189EBAF0">
      <w:pPr>
        <w:pStyle w:val="5"/>
        <w:pageBreakBefore w:val="0"/>
        <w:numPr>
          <w:ilvl w:val="0"/>
          <w:numId w:val="4"/>
        </w:numPr>
        <w:topLinePunct w:val="0"/>
        <w:bidi w:val="0"/>
        <w:spacing w:line="500" w:lineRule="exact"/>
        <w:ind w:left="0" w:leftChars="0" w:right="0" w:rightChars="0" w:firstLine="562" w:firstLineChars="200"/>
        <w:rPr>
          <w:color w:val="auto"/>
        </w:rPr>
      </w:pPr>
      <w:bookmarkStart w:id="7" w:name="五、投标文件的递交"/>
      <w:bookmarkEnd w:id="7"/>
      <w:r>
        <w:rPr>
          <w:color w:val="auto"/>
        </w:rPr>
        <w:t>投标文件的</w:t>
      </w:r>
      <w:r>
        <w:rPr>
          <w:rFonts w:hint="eastAsia"/>
          <w:color w:val="auto"/>
          <w:lang w:val="en-US"/>
        </w:rPr>
        <w:t>递</w:t>
      </w:r>
      <w:r>
        <w:rPr>
          <w:color w:val="auto"/>
        </w:rPr>
        <w:t>交</w:t>
      </w:r>
    </w:p>
    <w:p w14:paraId="130B3F6F">
      <w:pPr>
        <w:pageBreakBefore w:val="0"/>
        <w:topLinePunct w:val="0"/>
        <w:bidi w:val="0"/>
        <w:spacing w:line="500" w:lineRule="exact"/>
        <w:ind w:left="0" w:leftChars="0" w:right="0" w:rightChars="0" w:firstLine="440" w:firstLineChars="200"/>
        <w:rPr>
          <w:color w:val="auto"/>
        </w:rPr>
      </w:pPr>
    </w:p>
    <w:p w14:paraId="01A63CC6">
      <w:pPr>
        <w:pStyle w:val="7"/>
        <w:pageBreakBefore w:val="0"/>
        <w:tabs>
          <w:tab w:val="left" w:pos="0"/>
        </w:tabs>
        <w:topLinePunct w:val="0"/>
        <w:bidi w:val="0"/>
        <w:spacing w:line="500" w:lineRule="exact"/>
        <w:ind w:left="0" w:leftChars="0" w:right="0" w:rightChars="0" w:firstLine="482" w:firstLineChars="200"/>
        <w:rPr>
          <w:color w:val="auto"/>
          <w:lang w:val="en-US"/>
        </w:rPr>
      </w:pPr>
      <w:r>
        <w:rPr>
          <w:rFonts w:hint="eastAsia"/>
          <w:color w:val="auto"/>
          <w:lang w:val="en-US"/>
        </w:rPr>
        <w:t>1．</w:t>
      </w:r>
      <w:r>
        <w:rPr>
          <w:rFonts w:hint="eastAsia"/>
          <w:color w:val="auto"/>
          <w:lang w:val="en-US" w:eastAsia="zh-CN"/>
        </w:rPr>
        <w:t>投标文件</w:t>
      </w:r>
      <w:r>
        <w:rPr>
          <w:color w:val="auto"/>
          <w:lang w:val="en-US"/>
        </w:rPr>
        <w:t>的</w:t>
      </w:r>
      <w:r>
        <w:rPr>
          <w:rFonts w:hint="eastAsia"/>
          <w:color w:val="auto"/>
          <w:lang w:val="en-US"/>
        </w:rPr>
        <w:t>加密、解密</w:t>
      </w:r>
    </w:p>
    <w:p w14:paraId="5D2FC279">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1.1 本项目采用电子化投标的方式。</w:t>
      </w:r>
      <w:r>
        <w:rPr>
          <w:rFonts w:hint="eastAsia"/>
          <w:color w:val="auto"/>
          <w:sz w:val="24"/>
          <w:szCs w:val="24"/>
          <w:lang w:val="en-US" w:eastAsia="zh-CN"/>
        </w:rPr>
        <w:t>供应商</w:t>
      </w:r>
      <w:r>
        <w:rPr>
          <w:rFonts w:hint="eastAsia"/>
          <w:color w:val="auto"/>
          <w:sz w:val="24"/>
          <w:szCs w:val="24"/>
          <w:lang w:val="en-US"/>
        </w:rPr>
        <w:t>须使用数字认证证书对电子投标进行签章、加密、递交及开标时解密等相关招投标事宜。采购代理机构将在招标公告规定的时间和地点组织开标大会。</w:t>
      </w:r>
    </w:p>
    <w:p w14:paraId="781F7E84">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1.2 本项目采用</w:t>
      </w:r>
      <w:r>
        <w:rPr>
          <w:rStyle w:val="26"/>
          <w:rFonts w:hint="eastAsia" w:ascii="宋体" w:hAnsi="宋体" w:eastAsia="宋体" w:cs="宋体"/>
          <w:b/>
          <w:bCs/>
          <w:i w:val="0"/>
          <w:iCs w:val="0"/>
          <w:caps w:val="0"/>
          <w:color w:val="auto"/>
          <w:spacing w:val="0"/>
          <w:sz w:val="24"/>
          <w:szCs w:val="24"/>
          <w:highlight w:val="none"/>
          <w:shd w:val="clear" w:fill="FFFFFF"/>
        </w:rPr>
        <w:t>不见面开标：电子化投标方式投标</w:t>
      </w:r>
      <w:r>
        <w:rPr>
          <w:rStyle w:val="26"/>
          <w:rFonts w:hint="eastAsia" w:cs="宋体"/>
          <w:b/>
          <w:bCs/>
          <w:i w:val="0"/>
          <w:iCs w:val="0"/>
          <w:caps w:val="0"/>
          <w:color w:val="auto"/>
          <w:spacing w:val="0"/>
          <w:sz w:val="24"/>
          <w:szCs w:val="24"/>
          <w:highlight w:val="none"/>
          <w:shd w:val="clear" w:fill="FFFFFF"/>
          <w:lang w:eastAsia="zh-CN"/>
        </w:rPr>
        <w:t>，</w:t>
      </w:r>
      <w:r>
        <w:rPr>
          <w:rFonts w:hint="eastAsia"/>
          <w:color w:val="auto"/>
          <w:sz w:val="24"/>
          <w:szCs w:val="24"/>
          <w:lang w:val="en-US" w:eastAsia="zh-CN"/>
        </w:rPr>
        <w:t>供应商</w:t>
      </w:r>
      <w:r>
        <w:rPr>
          <w:rFonts w:hint="eastAsia"/>
          <w:color w:val="auto"/>
          <w:sz w:val="24"/>
          <w:szCs w:val="24"/>
          <w:lang w:val="en-US"/>
        </w:rPr>
        <w:t>递交的投标文件中电子印章与纸质印章影印件，电子签名与手写签名影印件，证明材料的复印件与扫描件均具备同等法律效力。</w:t>
      </w:r>
    </w:p>
    <w:p w14:paraId="669D1357">
      <w:pPr>
        <w:pStyle w:val="7"/>
        <w:pageBreakBefore w:val="0"/>
        <w:tabs>
          <w:tab w:val="left" w:pos="0"/>
        </w:tabs>
        <w:topLinePunct w:val="0"/>
        <w:bidi w:val="0"/>
        <w:spacing w:line="500" w:lineRule="exact"/>
        <w:ind w:left="0" w:leftChars="0" w:right="0" w:rightChars="0" w:firstLine="482" w:firstLineChars="200"/>
        <w:rPr>
          <w:color w:val="auto"/>
          <w:lang w:val="en-US"/>
        </w:rPr>
      </w:pPr>
      <w:r>
        <w:rPr>
          <w:rFonts w:hint="eastAsia"/>
          <w:color w:val="auto"/>
          <w:lang w:val="en-US"/>
        </w:rPr>
        <w:t>2．</w:t>
      </w:r>
      <w:r>
        <w:rPr>
          <w:rFonts w:hint="eastAsia"/>
          <w:color w:val="auto"/>
          <w:lang w:val="en-US" w:eastAsia="zh-CN"/>
        </w:rPr>
        <w:t>投标文件</w:t>
      </w:r>
      <w:r>
        <w:rPr>
          <w:color w:val="auto"/>
          <w:lang w:val="en-US"/>
        </w:rPr>
        <w:t>的修改和撤回</w:t>
      </w:r>
    </w:p>
    <w:p w14:paraId="2563B27F">
      <w:pPr>
        <w:pageBreakBefore w:val="0"/>
        <w:topLinePunct w:val="0"/>
        <w:bidi w:val="0"/>
        <w:spacing w:line="500" w:lineRule="exact"/>
        <w:ind w:left="0" w:leftChars="0" w:right="0" w:rightChars="0" w:firstLine="480" w:firstLineChars="200"/>
        <w:rPr>
          <w:color w:val="auto"/>
          <w:sz w:val="24"/>
        </w:rPr>
      </w:pPr>
      <w:r>
        <w:rPr>
          <w:rFonts w:hint="eastAsia"/>
          <w:color w:val="auto"/>
          <w:sz w:val="24"/>
          <w:lang w:val="en-US"/>
        </w:rPr>
        <w:t>2</w:t>
      </w:r>
      <w:r>
        <w:rPr>
          <w:rFonts w:hint="eastAsia"/>
          <w:color w:val="auto"/>
          <w:sz w:val="24"/>
        </w:rPr>
        <w:t>.1</w:t>
      </w:r>
      <w:r>
        <w:rPr>
          <w:color w:val="auto"/>
          <w:sz w:val="24"/>
        </w:rPr>
        <w:t xml:space="preserve"> </w:t>
      </w:r>
      <w:r>
        <w:rPr>
          <w:rFonts w:hint="eastAsia"/>
          <w:color w:val="auto"/>
          <w:sz w:val="24"/>
          <w:lang w:eastAsia="zh-CN"/>
        </w:rPr>
        <w:t>供应商</w:t>
      </w:r>
      <w:r>
        <w:rPr>
          <w:color w:val="auto"/>
          <w:sz w:val="24"/>
        </w:rPr>
        <w:t>在递交</w:t>
      </w:r>
      <w:r>
        <w:rPr>
          <w:rFonts w:hint="eastAsia"/>
          <w:color w:val="auto"/>
          <w:sz w:val="24"/>
          <w:lang w:eastAsia="zh-CN"/>
        </w:rPr>
        <w:t>投标文件</w:t>
      </w:r>
      <w:r>
        <w:rPr>
          <w:color w:val="auto"/>
          <w:sz w:val="24"/>
        </w:rPr>
        <w:t>后，</w:t>
      </w:r>
      <w:r>
        <w:rPr>
          <w:rFonts w:hint="eastAsia"/>
          <w:color w:val="auto"/>
          <w:sz w:val="24"/>
          <w:lang w:val="en-US"/>
        </w:rPr>
        <w:t>在开标</w:t>
      </w:r>
      <w:r>
        <w:rPr>
          <w:rFonts w:hint="eastAsia"/>
          <w:color w:val="auto"/>
          <w:sz w:val="24"/>
        </w:rPr>
        <w:t>截止时</w:t>
      </w:r>
      <w:r>
        <w:rPr>
          <w:rFonts w:hint="eastAsia"/>
          <w:color w:val="auto"/>
          <w:sz w:val="24"/>
          <w:lang w:eastAsia="zh-CN"/>
        </w:rPr>
        <w:t>间之</w:t>
      </w:r>
      <w:r>
        <w:rPr>
          <w:rFonts w:hint="eastAsia"/>
          <w:color w:val="auto"/>
          <w:sz w:val="24"/>
        </w:rPr>
        <w:t>前，</w:t>
      </w:r>
      <w:r>
        <w:rPr>
          <w:color w:val="auto"/>
          <w:sz w:val="24"/>
        </w:rPr>
        <w:t>可以修改或撤回其</w:t>
      </w:r>
      <w:r>
        <w:rPr>
          <w:rFonts w:hint="eastAsia"/>
          <w:color w:val="auto"/>
          <w:sz w:val="24"/>
          <w:lang w:eastAsia="zh-CN"/>
        </w:rPr>
        <w:t>投标文件</w:t>
      </w:r>
      <w:r>
        <w:rPr>
          <w:rFonts w:hint="eastAsia"/>
          <w:color w:val="auto"/>
          <w:sz w:val="24"/>
        </w:rPr>
        <w:t>，并在规定的</w:t>
      </w:r>
      <w:r>
        <w:rPr>
          <w:rFonts w:hint="eastAsia"/>
          <w:color w:val="auto"/>
          <w:sz w:val="24"/>
          <w:lang w:val="en-US"/>
        </w:rPr>
        <w:t>开标</w:t>
      </w:r>
      <w:r>
        <w:rPr>
          <w:rFonts w:hint="eastAsia"/>
          <w:color w:val="auto"/>
          <w:sz w:val="24"/>
        </w:rPr>
        <w:t>截止期之前，将修改或撤回的</w:t>
      </w:r>
      <w:r>
        <w:rPr>
          <w:rFonts w:hint="eastAsia"/>
          <w:color w:val="auto"/>
          <w:sz w:val="24"/>
          <w:lang w:eastAsia="zh-CN"/>
        </w:rPr>
        <w:t>投标文件</w:t>
      </w:r>
      <w:r>
        <w:rPr>
          <w:rFonts w:hint="eastAsia"/>
          <w:color w:val="auto"/>
          <w:sz w:val="24"/>
        </w:rPr>
        <w:t>上传到交易平台，逾期递交的</w:t>
      </w:r>
      <w:r>
        <w:rPr>
          <w:rFonts w:hint="eastAsia"/>
          <w:color w:val="auto"/>
          <w:sz w:val="24"/>
          <w:lang w:eastAsia="zh-CN"/>
        </w:rPr>
        <w:t>投标文件</w:t>
      </w:r>
      <w:r>
        <w:rPr>
          <w:rFonts w:hint="eastAsia"/>
          <w:color w:val="auto"/>
          <w:sz w:val="24"/>
        </w:rPr>
        <w:t>将不予受理。</w:t>
      </w:r>
    </w:p>
    <w:p w14:paraId="2A7ECB72">
      <w:pPr>
        <w:pageBreakBefore w:val="0"/>
        <w:topLinePunct w:val="0"/>
        <w:bidi w:val="0"/>
        <w:spacing w:line="500" w:lineRule="exact"/>
        <w:ind w:left="0" w:leftChars="0" w:right="0" w:rightChars="0" w:firstLine="480" w:firstLineChars="200"/>
        <w:rPr>
          <w:color w:val="auto"/>
          <w:sz w:val="24"/>
        </w:rPr>
      </w:pPr>
      <w:r>
        <w:rPr>
          <w:rFonts w:hint="eastAsia"/>
          <w:color w:val="auto"/>
          <w:sz w:val="24"/>
          <w:lang w:val="en-US"/>
        </w:rPr>
        <w:t>2</w:t>
      </w:r>
      <w:r>
        <w:rPr>
          <w:rFonts w:hint="eastAsia"/>
          <w:color w:val="auto"/>
          <w:sz w:val="24"/>
        </w:rPr>
        <w:t>.2</w:t>
      </w:r>
      <w:r>
        <w:rPr>
          <w:color w:val="auto"/>
          <w:sz w:val="24"/>
        </w:rPr>
        <w:t xml:space="preserve"> 在</w:t>
      </w:r>
      <w:r>
        <w:rPr>
          <w:rFonts w:hint="eastAsia"/>
          <w:color w:val="auto"/>
          <w:sz w:val="24"/>
          <w:lang w:val="en-US"/>
        </w:rPr>
        <w:t>开标</w:t>
      </w:r>
      <w:r>
        <w:rPr>
          <w:color w:val="auto"/>
          <w:sz w:val="24"/>
        </w:rPr>
        <w:t>截</w:t>
      </w:r>
      <w:r>
        <w:rPr>
          <w:rFonts w:hint="eastAsia"/>
          <w:color w:val="auto"/>
          <w:sz w:val="24"/>
        </w:rPr>
        <w:t>止日</w:t>
      </w:r>
      <w:r>
        <w:rPr>
          <w:color w:val="auto"/>
          <w:sz w:val="24"/>
        </w:rPr>
        <w:t>期之后，</w:t>
      </w:r>
      <w:r>
        <w:rPr>
          <w:rFonts w:hint="eastAsia"/>
          <w:color w:val="auto"/>
          <w:sz w:val="24"/>
          <w:lang w:eastAsia="zh-CN"/>
        </w:rPr>
        <w:t>供应商</w:t>
      </w:r>
      <w:r>
        <w:rPr>
          <w:color w:val="auto"/>
          <w:sz w:val="24"/>
        </w:rPr>
        <w:t>不得对其</w:t>
      </w:r>
      <w:r>
        <w:rPr>
          <w:rFonts w:hint="eastAsia"/>
          <w:color w:val="auto"/>
          <w:sz w:val="24"/>
          <w:lang w:eastAsia="zh-CN"/>
        </w:rPr>
        <w:t>投标文件</w:t>
      </w:r>
      <w:r>
        <w:rPr>
          <w:color w:val="auto"/>
          <w:sz w:val="24"/>
        </w:rPr>
        <w:t>做任何修改。</w:t>
      </w:r>
    </w:p>
    <w:p w14:paraId="1005840A">
      <w:pPr>
        <w:pageBreakBefore w:val="0"/>
        <w:topLinePunct w:val="0"/>
        <w:bidi w:val="0"/>
        <w:spacing w:line="500" w:lineRule="exact"/>
        <w:ind w:left="0" w:leftChars="0" w:right="0" w:rightChars="0" w:firstLine="480" w:firstLineChars="200"/>
        <w:rPr>
          <w:color w:val="auto"/>
          <w:sz w:val="24"/>
        </w:rPr>
      </w:pPr>
      <w:r>
        <w:rPr>
          <w:rFonts w:hint="eastAsia"/>
          <w:color w:val="auto"/>
          <w:sz w:val="24"/>
          <w:lang w:val="en-US"/>
        </w:rPr>
        <w:t>2</w:t>
      </w:r>
      <w:r>
        <w:rPr>
          <w:rFonts w:hint="eastAsia"/>
          <w:color w:val="auto"/>
          <w:sz w:val="24"/>
        </w:rPr>
        <w:t>.3 从</w:t>
      </w:r>
      <w:r>
        <w:rPr>
          <w:rFonts w:hint="eastAsia"/>
          <w:color w:val="auto"/>
          <w:sz w:val="24"/>
          <w:lang w:val="en-US"/>
        </w:rPr>
        <w:t>开标</w:t>
      </w:r>
      <w:r>
        <w:rPr>
          <w:rFonts w:hint="eastAsia"/>
          <w:color w:val="auto"/>
          <w:sz w:val="24"/>
        </w:rPr>
        <w:t>截止期始至</w:t>
      </w:r>
      <w:r>
        <w:rPr>
          <w:rFonts w:hint="eastAsia"/>
          <w:color w:val="auto"/>
          <w:sz w:val="24"/>
          <w:lang w:val="en-US"/>
        </w:rPr>
        <w:t>招标</w:t>
      </w:r>
      <w:r>
        <w:rPr>
          <w:rFonts w:hint="eastAsia"/>
          <w:color w:val="auto"/>
          <w:sz w:val="24"/>
        </w:rPr>
        <w:t>文件确定的</w:t>
      </w:r>
      <w:r>
        <w:rPr>
          <w:rFonts w:hint="eastAsia"/>
          <w:color w:val="auto"/>
          <w:sz w:val="24"/>
          <w:lang w:eastAsia="zh-CN"/>
        </w:rPr>
        <w:t>投标文件</w:t>
      </w:r>
      <w:r>
        <w:rPr>
          <w:rFonts w:hint="eastAsia"/>
          <w:color w:val="auto"/>
          <w:sz w:val="24"/>
        </w:rPr>
        <w:t>有效期期满这段时间内，</w:t>
      </w:r>
      <w:r>
        <w:rPr>
          <w:rFonts w:hint="eastAsia"/>
          <w:color w:val="auto"/>
          <w:sz w:val="24"/>
          <w:lang w:eastAsia="zh-CN"/>
        </w:rPr>
        <w:t>供应商</w:t>
      </w:r>
      <w:r>
        <w:rPr>
          <w:rFonts w:hint="eastAsia"/>
          <w:color w:val="auto"/>
          <w:sz w:val="24"/>
        </w:rPr>
        <w:t>不得撤回其</w:t>
      </w:r>
      <w:r>
        <w:rPr>
          <w:rFonts w:hint="eastAsia"/>
          <w:color w:val="auto"/>
          <w:sz w:val="24"/>
          <w:lang w:eastAsia="zh-CN"/>
        </w:rPr>
        <w:t>投标文件</w:t>
      </w:r>
      <w:r>
        <w:rPr>
          <w:rFonts w:hint="eastAsia"/>
          <w:color w:val="auto"/>
          <w:sz w:val="24"/>
        </w:rPr>
        <w:t>，否则后果自负。</w:t>
      </w:r>
    </w:p>
    <w:p w14:paraId="15277F4D">
      <w:pPr>
        <w:pStyle w:val="7"/>
        <w:pageBreakBefore w:val="0"/>
        <w:tabs>
          <w:tab w:val="left" w:pos="0"/>
        </w:tabs>
        <w:topLinePunct w:val="0"/>
        <w:bidi w:val="0"/>
        <w:spacing w:line="500" w:lineRule="exact"/>
        <w:ind w:left="0" w:leftChars="0" w:right="0" w:rightChars="0" w:firstLine="482" w:firstLineChars="200"/>
        <w:rPr>
          <w:color w:val="auto"/>
          <w:lang w:val="en-US"/>
        </w:rPr>
      </w:pPr>
      <w:r>
        <w:rPr>
          <w:color w:val="auto"/>
          <w:lang w:val="en-US"/>
        </w:rPr>
        <w:t>3</w:t>
      </w:r>
      <w:r>
        <w:rPr>
          <w:rFonts w:hint="eastAsia"/>
          <w:color w:val="auto"/>
          <w:lang w:val="en-US" w:eastAsia="zh-CN"/>
        </w:rPr>
        <w:t>.</w:t>
      </w:r>
      <w:r>
        <w:rPr>
          <w:color w:val="auto"/>
          <w:lang w:val="en-US"/>
        </w:rPr>
        <w:t>投标有效期</w:t>
      </w:r>
    </w:p>
    <w:p w14:paraId="30B72BE5">
      <w:pPr>
        <w:pageBreakBefore w:val="0"/>
        <w:topLinePunct w:val="0"/>
        <w:bidi w:val="0"/>
        <w:spacing w:line="500" w:lineRule="exact"/>
        <w:ind w:left="0" w:leftChars="0" w:right="0" w:rightChars="0" w:firstLine="480" w:firstLineChars="200"/>
        <w:rPr>
          <w:color w:val="auto"/>
          <w:sz w:val="24"/>
          <w:lang w:val="en-US"/>
        </w:rPr>
      </w:pPr>
      <w:r>
        <w:rPr>
          <w:color w:val="auto"/>
          <w:sz w:val="24"/>
          <w:lang w:val="en-US"/>
        </w:rPr>
        <w:t>3</w:t>
      </w:r>
      <w:r>
        <w:rPr>
          <w:rFonts w:hint="eastAsia"/>
          <w:color w:val="auto"/>
          <w:sz w:val="24"/>
          <w:lang w:val="en-US"/>
        </w:rPr>
        <w:t>.1</w:t>
      </w:r>
      <w:r>
        <w:rPr>
          <w:rFonts w:hint="eastAsia"/>
          <w:color w:val="auto"/>
          <w:sz w:val="24"/>
          <w:lang w:val="en-US" w:eastAsia="zh-CN"/>
        </w:rPr>
        <w:t>投标文件</w:t>
      </w:r>
      <w:r>
        <w:rPr>
          <w:rFonts w:hint="eastAsia"/>
          <w:color w:val="auto"/>
          <w:sz w:val="24"/>
          <w:lang w:val="en-US"/>
        </w:rPr>
        <w:t>有效期为开标之日起九十（90）天。</w:t>
      </w:r>
      <w:r>
        <w:rPr>
          <w:rFonts w:hint="eastAsia"/>
          <w:color w:val="auto"/>
          <w:sz w:val="24"/>
          <w:lang w:val="en-US" w:eastAsia="zh-CN"/>
        </w:rPr>
        <w:t>供应商</w:t>
      </w:r>
      <w:r>
        <w:rPr>
          <w:rFonts w:hint="eastAsia"/>
          <w:color w:val="auto"/>
          <w:sz w:val="24"/>
          <w:lang w:val="en-US"/>
        </w:rPr>
        <w:t>的</w:t>
      </w:r>
      <w:r>
        <w:rPr>
          <w:rFonts w:hint="eastAsia"/>
          <w:color w:val="auto"/>
          <w:sz w:val="24"/>
          <w:lang w:val="en-US" w:eastAsia="zh-CN"/>
        </w:rPr>
        <w:t>投标文件</w:t>
      </w:r>
      <w:r>
        <w:rPr>
          <w:rFonts w:hint="eastAsia"/>
          <w:color w:val="auto"/>
          <w:sz w:val="24"/>
          <w:lang w:val="en-US"/>
        </w:rPr>
        <w:t>有效期比招标文件规定短的将被视为非响应性投标，按无效投标处理。</w:t>
      </w:r>
    </w:p>
    <w:p w14:paraId="7257B77C">
      <w:pPr>
        <w:pageBreakBefore w:val="0"/>
        <w:topLinePunct w:val="0"/>
        <w:bidi w:val="0"/>
        <w:spacing w:line="500" w:lineRule="exact"/>
        <w:ind w:left="0" w:leftChars="0" w:right="0" w:rightChars="0" w:firstLine="480" w:firstLineChars="200"/>
        <w:rPr>
          <w:color w:val="auto"/>
          <w:sz w:val="24"/>
          <w:lang w:val="en-US"/>
        </w:rPr>
      </w:pPr>
      <w:r>
        <w:rPr>
          <w:color w:val="auto"/>
          <w:sz w:val="24"/>
          <w:lang w:val="en-US"/>
        </w:rPr>
        <w:t>3</w:t>
      </w:r>
      <w:r>
        <w:rPr>
          <w:rFonts w:hint="eastAsia"/>
          <w:color w:val="auto"/>
          <w:sz w:val="24"/>
          <w:lang w:val="en-US"/>
        </w:rPr>
        <w:t>.2在特殊情况下，在原</w:t>
      </w:r>
      <w:r>
        <w:rPr>
          <w:rFonts w:hint="eastAsia"/>
          <w:color w:val="auto"/>
          <w:sz w:val="24"/>
          <w:lang w:val="en-US" w:eastAsia="zh-CN"/>
        </w:rPr>
        <w:t>投标文件</w:t>
      </w:r>
      <w:r>
        <w:rPr>
          <w:rFonts w:hint="eastAsia"/>
          <w:color w:val="auto"/>
          <w:sz w:val="24"/>
          <w:lang w:val="en-US"/>
        </w:rPr>
        <w:t>有效期期满之前，</w:t>
      </w:r>
      <w:r>
        <w:rPr>
          <w:rFonts w:hint="eastAsia"/>
          <w:color w:val="auto"/>
          <w:sz w:val="24"/>
          <w:lang w:val="en-US" w:eastAsia="zh-CN"/>
        </w:rPr>
        <w:t>采购人</w:t>
      </w:r>
      <w:r>
        <w:rPr>
          <w:rFonts w:hint="eastAsia"/>
          <w:color w:val="auto"/>
          <w:sz w:val="24"/>
          <w:lang w:val="en-US"/>
        </w:rPr>
        <w:t>可征得</w:t>
      </w:r>
      <w:r>
        <w:rPr>
          <w:rFonts w:hint="eastAsia"/>
          <w:color w:val="auto"/>
          <w:sz w:val="24"/>
          <w:lang w:val="en-US" w:eastAsia="zh-CN"/>
        </w:rPr>
        <w:t>供应商</w:t>
      </w:r>
      <w:r>
        <w:rPr>
          <w:rFonts w:hint="eastAsia"/>
          <w:color w:val="auto"/>
          <w:sz w:val="24"/>
          <w:lang w:val="en-US"/>
        </w:rPr>
        <w:t>同意延长</w:t>
      </w:r>
      <w:r>
        <w:rPr>
          <w:rFonts w:hint="eastAsia"/>
          <w:color w:val="auto"/>
          <w:sz w:val="24"/>
          <w:lang w:val="en-US" w:eastAsia="zh-CN"/>
        </w:rPr>
        <w:t>投标</w:t>
      </w:r>
      <w:r>
        <w:rPr>
          <w:rFonts w:hint="eastAsia"/>
          <w:color w:val="auto"/>
          <w:sz w:val="24"/>
          <w:lang w:val="en-US"/>
        </w:rPr>
        <w:t>文件有效期。这种要求与答复均应为书面形式提交。</w:t>
      </w:r>
    </w:p>
    <w:p w14:paraId="346B48BB">
      <w:pPr>
        <w:pStyle w:val="7"/>
        <w:pageBreakBefore w:val="0"/>
        <w:topLinePunct w:val="0"/>
        <w:bidi w:val="0"/>
        <w:spacing w:line="500" w:lineRule="exact"/>
        <w:ind w:left="0" w:leftChars="0" w:right="0" w:rightChars="0" w:firstLine="482" w:firstLineChars="200"/>
        <w:rPr>
          <w:color w:val="auto"/>
          <w:lang w:val="en-US"/>
        </w:rPr>
      </w:pPr>
      <w:r>
        <w:rPr>
          <w:color w:val="auto"/>
          <w:lang w:val="en-US"/>
        </w:rPr>
        <w:t>4</w:t>
      </w:r>
      <w:r>
        <w:rPr>
          <w:rFonts w:hint="eastAsia"/>
          <w:color w:val="auto"/>
          <w:lang w:val="en-US" w:eastAsia="zh-CN"/>
        </w:rPr>
        <w:t>.供应商</w:t>
      </w:r>
      <w:r>
        <w:rPr>
          <w:rFonts w:hint="eastAsia"/>
          <w:color w:val="auto"/>
          <w:lang w:val="en-US"/>
        </w:rPr>
        <w:t>有下列情形之一的，属于恶意串通，对其依照</w:t>
      </w:r>
      <w:r>
        <w:rPr>
          <w:rFonts w:hint="eastAsia"/>
          <w:color w:val="auto"/>
          <w:lang w:val="en-US" w:eastAsia="zh-CN"/>
        </w:rPr>
        <w:t>《中华人民共和国政府采购法》及其实施条例、《政府采购货物和服务招标投标管理办法》（财政部令第87号）</w:t>
      </w:r>
      <w:r>
        <w:rPr>
          <w:rFonts w:hint="eastAsia"/>
          <w:color w:val="auto"/>
          <w:lang w:val="en-US"/>
        </w:rPr>
        <w:t>第七十七条第一款的规定追究法律责任，投标无效</w:t>
      </w:r>
      <w:r>
        <w:rPr>
          <w:rFonts w:hint="eastAsia"/>
          <w:b w:val="0"/>
          <w:bCs w:val="0"/>
          <w:color w:val="auto"/>
          <w:lang w:val="en-US"/>
        </w:rPr>
        <w:t>。</w:t>
      </w:r>
    </w:p>
    <w:p w14:paraId="3206ABAB">
      <w:pPr>
        <w:pageBreakBefore w:val="0"/>
        <w:topLinePunct w:val="0"/>
        <w:bidi w:val="0"/>
        <w:spacing w:line="500" w:lineRule="exact"/>
        <w:ind w:left="0" w:leftChars="0" w:right="0" w:rightChars="0" w:firstLine="480" w:firstLineChars="200"/>
        <w:rPr>
          <w:color w:val="auto"/>
          <w:sz w:val="24"/>
          <w:szCs w:val="24"/>
          <w:lang w:val="en-US"/>
        </w:rPr>
      </w:pPr>
      <w:r>
        <w:rPr>
          <w:color w:val="auto"/>
          <w:sz w:val="24"/>
          <w:szCs w:val="24"/>
          <w:lang w:val="en-US"/>
        </w:rPr>
        <w:t>4</w:t>
      </w:r>
      <w:r>
        <w:rPr>
          <w:rFonts w:hint="eastAsia"/>
          <w:color w:val="auto"/>
          <w:sz w:val="24"/>
          <w:szCs w:val="24"/>
          <w:lang w:val="en-US"/>
        </w:rPr>
        <w:t>.1</w:t>
      </w:r>
      <w:r>
        <w:rPr>
          <w:rFonts w:hint="eastAsia"/>
          <w:color w:val="auto"/>
          <w:sz w:val="24"/>
          <w:szCs w:val="24"/>
          <w:lang w:val="en-US" w:eastAsia="zh-CN"/>
        </w:rPr>
        <w:t>供应商</w:t>
      </w:r>
      <w:r>
        <w:rPr>
          <w:rFonts w:hint="eastAsia"/>
          <w:color w:val="auto"/>
          <w:sz w:val="24"/>
          <w:szCs w:val="24"/>
          <w:lang w:val="en-US"/>
        </w:rPr>
        <w:t>直接或者间接从采购人或采购代理机构处获得其他</w:t>
      </w:r>
      <w:r>
        <w:rPr>
          <w:rFonts w:hint="eastAsia"/>
          <w:color w:val="auto"/>
          <w:sz w:val="24"/>
          <w:szCs w:val="24"/>
          <w:lang w:val="en-US" w:eastAsia="zh-CN"/>
        </w:rPr>
        <w:t>供应商</w:t>
      </w:r>
      <w:r>
        <w:rPr>
          <w:rFonts w:hint="eastAsia"/>
          <w:color w:val="auto"/>
          <w:sz w:val="24"/>
          <w:szCs w:val="24"/>
          <w:lang w:val="en-US"/>
        </w:rPr>
        <w:t>的相关情况并修改其投标文件；</w:t>
      </w:r>
    </w:p>
    <w:p w14:paraId="3B262801">
      <w:pPr>
        <w:pageBreakBefore w:val="0"/>
        <w:topLinePunct w:val="0"/>
        <w:bidi w:val="0"/>
        <w:spacing w:line="500" w:lineRule="exact"/>
        <w:ind w:left="0" w:leftChars="0" w:right="0" w:rightChars="0" w:firstLine="480" w:firstLineChars="200"/>
        <w:rPr>
          <w:color w:val="auto"/>
          <w:sz w:val="24"/>
          <w:szCs w:val="24"/>
          <w:lang w:val="en-US"/>
        </w:rPr>
      </w:pPr>
      <w:r>
        <w:rPr>
          <w:color w:val="auto"/>
          <w:sz w:val="24"/>
          <w:szCs w:val="24"/>
          <w:lang w:val="en-US"/>
        </w:rPr>
        <w:t>4</w:t>
      </w:r>
      <w:r>
        <w:rPr>
          <w:rFonts w:hint="eastAsia"/>
          <w:color w:val="auto"/>
          <w:sz w:val="24"/>
          <w:szCs w:val="24"/>
          <w:lang w:val="en-US"/>
        </w:rPr>
        <w:t>.2</w:t>
      </w:r>
      <w:r>
        <w:rPr>
          <w:rFonts w:hint="eastAsia"/>
          <w:color w:val="auto"/>
          <w:sz w:val="24"/>
          <w:szCs w:val="24"/>
          <w:lang w:val="en-US" w:eastAsia="zh-CN"/>
        </w:rPr>
        <w:t>供应商</w:t>
      </w:r>
      <w:r>
        <w:rPr>
          <w:rFonts w:hint="eastAsia"/>
          <w:color w:val="auto"/>
          <w:sz w:val="24"/>
          <w:szCs w:val="24"/>
          <w:lang w:val="en-US"/>
        </w:rPr>
        <w:t>按照采购人或采购代理机构的授意撤换、修改投标文件；</w:t>
      </w:r>
    </w:p>
    <w:p w14:paraId="66EC97BD">
      <w:pPr>
        <w:pageBreakBefore w:val="0"/>
        <w:topLinePunct w:val="0"/>
        <w:bidi w:val="0"/>
        <w:spacing w:line="500" w:lineRule="exact"/>
        <w:ind w:left="0" w:leftChars="0" w:right="0" w:rightChars="0" w:firstLine="480" w:firstLineChars="200"/>
        <w:rPr>
          <w:color w:val="auto"/>
          <w:sz w:val="24"/>
          <w:szCs w:val="24"/>
          <w:lang w:val="en-US"/>
        </w:rPr>
      </w:pPr>
      <w:r>
        <w:rPr>
          <w:color w:val="auto"/>
          <w:sz w:val="24"/>
          <w:szCs w:val="24"/>
          <w:lang w:val="en-US"/>
        </w:rPr>
        <w:t>4</w:t>
      </w:r>
      <w:r>
        <w:rPr>
          <w:rFonts w:hint="eastAsia"/>
          <w:color w:val="auto"/>
          <w:sz w:val="24"/>
          <w:szCs w:val="24"/>
          <w:lang w:val="en-US"/>
        </w:rPr>
        <w:t>.3</w:t>
      </w:r>
      <w:r>
        <w:rPr>
          <w:rFonts w:hint="eastAsia"/>
          <w:color w:val="auto"/>
          <w:sz w:val="24"/>
          <w:szCs w:val="24"/>
          <w:lang w:val="en-US" w:eastAsia="zh-CN"/>
        </w:rPr>
        <w:t>供应商</w:t>
      </w:r>
      <w:r>
        <w:rPr>
          <w:rFonts w:hint="eastAsia"/>
          <w:color w:val="auto"/>
          <w:sz w:val="24"/>
          <w:szCs w:val="24"/>
          <w:lang w:val="en-US"/>
        </w:rPr>
        <w:t>之间协商报价、技术方案等投标文件的实质性内容；</w:t>
      </w:r>
    </w:p>
    <w:p w14:paraId="087839B9">
      <w:pPr>
        <w:pageBreakBefore w:val="0"/>
        <w:topLinePunct w:val="0"/>
        <w:bidi w:val="0"/>
        <w:spacing w:line="500" w:lineRule="exact"/>
        <w:ind w:left="0" w:leftChars="0" w:right="0" w:rightChars="0" w:firstLine="480" w:firstLineChars="200"/>
        <w:rPr>
          <w:color w:val="auto"/>
          <w:sz w:val="24"/>
          <w:szCs w:val="24"/>
          <w:lang w:val="en-US"/>
        </w:rPr>
      </w:pPr>
      <w:r>
        <w:rPr>
          <w:color w:val="auto"/>
          <w:sz w:val="24"/>
          <w:szCs w:val="24"/>
          <w:lang w:val="en-US"/>
        </w:rPr>
        <w:t>4</w:t>
      </w:r>
      <w:r>
        <w:rPr>
          <w:rFonts w:hint="eastAsia"/>
          <w:color w:val="auto"/>
          <w:sz w:val="24"/>
          <w:szCs w:val="24"/>
          <w:lang w:val="en-US"/>
        </w:rPr>
        <w:t>.4属于同一集团、协会、商会等组织成员的</w:t>
      </w:r>
      <w:r>
        <w:rPr>
          <w:rFonts w:hint="eastAsia"/>
          <w:color w:val="auto"/>
          <w:sz w:val="24"/>
          <w:szCs w:val="24"/>
          <w:lang w:val="en-US" w:eastAsia="zh-CN"/>
        </w:rPr>
        <w:t>供应商</w:t>
      </w:r>
      <w:r>
        <w:rPr>
          <w:rFonts w:hint="eastAsia"/>
          <w:color w:val="auto"/>
          <w:sz w:val="24"/>
          <w:szCs w:val="24"/>
          <w:lang w:val="en-US"/>
        </w:rPr>
        <w:t>按照该组织要求协同参加政府采购活动；</w:t>
      </w:r>
    </w:p>
    <w:p w14:paraId="0F96E673">
      <w:pPr>
        <w:pageBreakBefore w:val="0"/>
        <w:topLinePunct w:val="0"/>
        <w:bidi w:val="0"/>
        <w:spacing w:line="500" w:lineRule="exact"/>
        <w:ind w:left="0" w:leftChars="0" w:right="0" w:rightChars="0" w:firstLine="480" w:firstLineChars="200"/>
        <w:rPr>
          <w:color w:val="auto"/>
          <w:sz w:val="24"/>
          <w:szCs w:val="24"/>
          <w:lang w:val="en-US"/>
        </w:rPr>
      </w:pPr>
      <w:r>
        <w:rPr>
          <w:color w:val="auto"/>
          <w:sz w:val="24"/>
          <w:szCs w:val="24"/>
          <w:lang w:val="en-US"/>
        </w:rPr>
        <w:t>4</w:t>
      </w:r>
      <w:r>
        <w:rPr>
          <w:rFonts w:hint="eastAsia"/>
          <w:color w:val="auto"/>
          <w:sz w:val="24"/>
          <w:szCs w:val="24"/>
          <w:lang w:val="en-US"/>
        </w:rPr>
        <w:t>.5</w:t>
      </w:r>
      <w:r>
        <w:rPr>
          <w:rFonts w:hint="eastAsia"/>
          <w:color w:val="auto"/>
          <w:sz w:val="24"/>
          <w:szCs w:val="24"/>
          <w:lang w:val="en-US" w:eastAsia="zh-CN"/>
        </w:rPr>
        <w:t>供应商</w:t>
      </w:r>
      <w:r>
        <w:rPr>
          <w:rFonts w:hint="eastAsia"/>
          <w:color w:val="auto"/>
          <w:sz w:val="24"/>
          <w:szCs w:val="24"/>
          <w:lang w:val="en-US"/>
        </w:rPr>
        <w:t>之间事先约定由某一特定</w:t>
      </w:r>
      <w:r>
        <w:rPr>
          <w:rFonts w:hint="eastAsia"/>
          <w:color w:val="auto"/>
          <w:sz w:val="24"/>
          <w:szCs w:val="24"/>
          <w:lang w:val="en-US" w:eastAsia="zh-CN"/>
        </w:rPr>
        <w:t>供应商</w:t>
      </w:r>
      <w:r>
        <w:rPr>
          <w:rFonts w:hint="eastAsia"/>
          <w:color w:val="auto"/>
          <w:sz w:val="24"/>
          <w:szCs w:val="24"/>
          <w:lang w:val="en-US"/>
        </w:rPr>
        <w:t>中标；</w:t>
      </w:r>
    </w:p>
    <w:p w14:paraId="3068F5A6">
      <w:pPr>
        <w:pageBreakBefore w:val="0"/>
        <w:topLinePunct w:val="0"/>
        <w:bidi w:val="0"/>
        <w:spacing w:line="500" w:lineRule="exact"/>
        <w:ind w:left="0" w:leftChars="0" w:right="0" w:rightChars="0" w:firstLine="480" w:firstLineChars="200"/>
        <w:rPr>
          <w:color w:val="auto"/>
          <w:sz w:val="24"/>
          <w:szCs w:val="24"/>
          <w:lang w:val="en-US"/>
        </w:rPr>
      </w:pPr>
      <w:r>
        <w:rPr>
          <w:color w:val="auto"/>
          <w:sz w:val="24"/>
          <w:szCs w:val="24"/>
          <w:lang w:val="en-US"/>
        </w:rPr>
        <w:t>4</w:t>
      </w:r>
      <w:r>
        <w:rPr>
          <w:rFonts w:hint="eastAsia"/>
          <w:color w:val="auto"/>
          <w:sz w:val="24"/>
          <w:szCs w:val="24"/>
          <w:lang w:val="en-US"/>
        </w:rPr>
        <w:t>.6</w:t>
      </w:r>
      <w:r>
        <w:rPr>
          <w:rFonts w:hint="eastAsia"/>
          <w:color w:val="auto"/>
          <w:sz w:val="24"/>
          <w:szCs w:val="24"/>
          <w:lang w:val="en-US" w:eastAsia="zh-CN"/>
        </w:rPr>
        <w:t>供应商</w:t>
      </w:r>
      <w:r>
        <w:rPr>
          <w:rFonts w:hint="eastAsia"/>
          <w:color w:val="auto"/>
          <w:sz w:val="24"/>
          <w:szCs w:val="24"/>
          <w:lang w:val="en-US"/>
        </w:rPr>
        <w:t>之间商定部分</w:t>
      </w:r>
      <w:r>
        <w:rPr>
          <w:rFonts w:hint="eastAsia"/>
          <w:color w:val="auto"/>
          <w:sz w:val="24"/>
          <w:szCs w:val="24"/>
          <w:lang w:val="en-US" w:eastAsia="zh-CN"/>
        </w:rPr>
        <w:t>供应商</w:t>
      </w:r>
      <w:r>
        <w:rPr>
          <w:rFonts w:hint="eastAsia"/>
          <w:color w:val="auto"/>
          <w:sz w:val="24"/>
          <w:szCs w:val="24"/>
          <w:lang w:val="en-US"/>
        </w:rPr>
        <w:t>放弃参加政府采购活动或放弃中标；</w:t>
      </w:r>
    </w:p>
    <w:p w14:paraId="111646BD">
      <w:pPr>
        <w:pageBreakBefore w:val="0"/>
        <w:topLinePunct w:val="0"/>
        <w:bidi w:val="0"/>
        <w:spacing w:line="500" w:lineRule="exact"/>
        <w:ind w:left="0" w:leftChars="0" w:right="0" w:rightChars="0" w:firstLine="480" w:firstLineChars="200"/>
        <w:rPr>
          <w:color w:val="auto"/>
          <w:sz w:val="24"/>
          <w:szCs w:val="24"/>
          <w:lang w:val="en-US"/>
        </w:rPr>
      </w:pPr>
      <w:r>
        <w:rPr>
          <w:color w:val="auto"/>
          <w:sz w:val="24"/>
          <w:szCs w:val="24"/>
          <w:lang w:val="en-US"/>
        </w:rPr>
        <w:t>4</w:t>
      </w:r>
      <w:r>
        <w:rPr>
          <w:rFonts w:hint="eastAsia"/>
          <w:color w:val="auto"/>
          <w:sz w:val="24"/>
          <w:szCs w:val="24"/>
          <w:lang w:val="en-US"/>
        </w:rPr>
        <w:t>.7</w:t>
      </w:r>
      <w:r>
        <w:rPr>
          <w:rFonts w:hint="eastAsia"/>
          <w:color w:val="auto"/>
          <w:sz w:val="24"/>
          <w:szCs w:val="24"/>
          <w:lang w:val="en-US" w:eastAsia="zh-CN"/>
        </w:rPr>
        <w:t>供应商</w:t>
      </w:r>
      <w:r>
        <w:rPr>
          <w:rFonts w:hint="eastAsia"/>
          <w:color w:val="auto"/>
          <w:sz w:val="24"/>
          <w:szCs w:val="24"/>
          <w:lang w:val="en-US"/>
        </w:rPr>
        <w:t>相互之间，为谋求特定</w:t>
      </w:r>
      <w:r>
        <w:rPr>
          <w:rFonts w:hint="eastAsia"/>
          <w:color w:val="auto"/>
          <w:sz w:val="24"/>
          <w:szCs w:val="24"/>
          <w:lang w:val="en-US" w:eastAsia="zh-CN"/>
        </w:rPr>
        <w:t>供应商</w:t>
      </w:r>
      <w:r>
        <w:rPr>
          <w:rFonts w:hint="eastAsia"/>
          <w:color w:val="auto"/>
          <w:sz w:val="24"/>
          <w:szCs w:val="24"/>
          <w:lang w:val="en-US"/>
        </w:rPr>
        <w:t>中标或排斥其他</w:t>
      </w:r>
      <w:r>
        <w:rPr>
          <w:rFonts w:hint="eastAsia"/>
          <w:color w:val="auto"/>
          <w:sz w:val="24"/>
          <w:szCs w:val="24"/>
          <w:lang w:val="en-US" w:eastAsia="zh-CN"/>
        </w:rPr>
        <w:t>供应商</w:t>
      </w:r>
      <w:r>
        <w:rPr>
          <w:rFonts w:hint="eastAsia"/>
          <w:color w:val="auto"/>
          <w:sz w:val="24"/>
          <w:szCs w:val="24"/>
          <w:lang w:val="en-US"/>
        </w:rPr>
        <w:t>的其他串通行为。</w:t>
      </w:r>
    </w:p>
    <w:p w14:paraId="29A3672D">
      <w:pPr>
        <w:pStyle w:val="7"/>
        <w:pageBreakBefore w:val="0"/>
        <w:topLinePunct w:val="0"/>
        <w:bidi w:val="0"/>
        <w:spacing w:line="500" w:lineRule="exact"/>
        <w:ind w:left="0" w:leftChars="0" w:right="0" w:rightChars="0" w:firstLine="482" w:firstLineChars="200"/>
        <w:rPr>
          <w:color w:val="auto"/>
        </w:rPr>
      </w:pPr>
      <w:r>
        <w:rPr>
          <w:color w:val="auto"/>
        </w:rPr>
        <w:t>5</w:t>
      </w:r>
      <w:r>
        <w:rPr>
          <w:rFonts w:hint="eastAsia"/>
          <w:color w:val="auto"/>
          <w:lang w:val="en-US" w:eastAsia="zh-CN"/>
        </w:rPr>
        <w:t>.</w:t>
      </w:r>
      <w:r>
        <w:rPr>
          <w:color w:val="auto"/>
        </w:rPr>
        <w:t>有下列情形之一的，视为</w:t>
      </w:r>
      <w:r>
        <w:rPr>
          <w:rFonts w:hint="eastAsia"/>
          <w:color w:val="auto"/>
          <w:lang w:eastAsia="zh-CN"/>
        </w:rPr>
        <w:t>供应商</w:t>
      </w:r>
      <w:r>
        <w:rPr>
          <w:color w:val="auto"/>
        </w:rPr>
        <w:t>串通投标，其投标无效：</w:t>
      </w:r>
    </w:p>
    <w:p w14:paraId="7F8102F7">
      <w:pPr>
        <w:pageBreakBefore w:val="0"/>
        <w:topLinePunct w:val="0"/>
        <w:bidi w:val="0"/>
        <w:spacing w:line="500" w:lineRule="exact"/>
        <w:ind w:left="0" w:leftChars="0" w:right="0" w:rightChars="0" w:firstLine="480" w:firstLineChars="200"/>
        <w:rPr>
          <w:color w:val="auto"/>
          <w:sz w:val="24"/>
          <w:szCs w:val="24"/>
          <w:lang w:val="en-US"/>
        </w:rPr>
      </w:pPr>
      <w:r>
        <w:rPr>
          <w:color w:val="auto"/>
          <w:sz w:val="24"/>
          <w:szCs w:val="24"/>
          <w:lang w:val="en-US"/>
        </w:rPr>
        <w:t>5</w:t>
      </w:r>
      <w:r>
        <w:rPr>
          <w:rFonts w:hint="eastAsia"/>
          <w:color w:val="auto"/>
          <w:sz w:val="24"/>
          <w:szCs w:val="24"/>
          <w:lang w:val="en-US"/>
        </w:rPr>
        <w:t>.1不同</w:t>
      </w:r>
      <w:r>
        <w:rPr>
          <w:rFonts w:hint="eastAsia"/>
          <w:color w:val="auto"/>
          <w:sz w:val="24"/>
          <w:szCs w:val="24"/>
          <w:lang w:val="en-US" w:eastAsia="zh-CN"/>
        </w:rPr>
        <w:t>供应商</w:t>
      </w:r>
      <w:r>
        <w:rPr>
          <w:rFonts w:hint="eastAsia"/>
          <w:color w:val="auto"/>
          <w:sz w:val="24"/>
          <w:szCs w:val="24"/>
          <w:lang w:val="en-US"/>
        </w:rPr>
        <w:t>的投标文件由同一单位或者个人编制；</w:t>
      </w:r>
    </w:p>
    <w:p w14:paraId="5F88A3A0">
      <w:pPr>
        <w:pageBreakBefore w:val="0"/>
        <w:topLinePunct w:val="0"/>
        <w:bidi w:val="0"/>
        <w:spacing w:line="500" w:lineRule="exact"/>
        <w:ind w:left="0" w:leftChars="0" w:right="0" w:rightChars="0" w:firstLine="480" w:firstLineChars="200"/>
        <w:rPr>
          <w:color w:val="auto"/>
          <w:sz w:val="24"/>
          <w:szCs w:val="24"/>
          <w:lang w:val="en-US"/>
        </w:rPr>
      </w:pPr>
      <w:r>
        <w:rPr>
          <w:color w:val="auto"/>
          <w:sz w:val="24"/>
          <w:szCs w:val="24"/>
          <w:lang w:val="en-US"/>
        </w:rPr>
        <w:t>5</w:t>
      </w:r>
      <w:r>
        <w:rPr>
          <w:rFonts w:hint="eastAsia"/>
          <w:color w:val="auto"/>
          <w:sz w:val="24"/>
          <w:szCs w:val="24"/>
          <w:lang w:val="en-US"/>
        </w:rPr>
        <w:t>.2不同</w:t>
      </w:r>
      <w:r>
        <w:rPr>
          <w:rFonts w:hint="eastAsia"/>
          <w:color w:val="auto"/>
          <w:sz w:val="24"/>
          <w:szCs w:val="24"/>
          <w:lang w:val="en-US" w:eastAsia="zh-CN"/>
        </w:rPr>
        <w:t>供应商</w:t>
      </w:r>
      <w:r>
        <w:rPr>
          <w:rFonts w:hint="eastAsia"/>
          <w:color w:val="auto"/>
          <w:sz w:val="24"/>
          <w:szCs w:val="24"/>
          <w:lang w:val="en-US"/>
        </w:rPr>
        <w:t>委托同一单位或者个人办理投标事宜；</w:t>
      </w:r>
    </w:p>
    <w:p w14:paraId="2BDB87F5">
      <w:pPr>
        <w:pageBreakBefore w:val="0"/>
        <w:topLinePunct w:val="0"/>
        <w:bidi w:val="0"/>
        <w:spacing w:line="500" w:lineRule="exact"/>
        <w:ind w:left="0" w:leftChars="0" w:right="0" w:rightChars="0" w:firstLine="480" w:firstLineChars="200"/>
        <w:rPr>
          <w:color w:val="auto"/>
          <w:sz w:val="24"/>
          <w:szCs w:val="24"/>
          <w:lang w:val="en-US"/>
        </w:rPr>
      </w:pPr>
      <w:r>
        <w:rPr>
          <w:color w:val="auto"/>
          <w:sz w:val="24"/>
          <w:szCs w:val="24"/>
          <w:lang w:val="en-US"/>
        </w:rPr>
        <w:t>5</w:t>
      </w:r>
      <w:r>
        <w:rPr>
          <w:rFonts w:hint="eastAsia"/>
          <w:color w:val="auto"/>
          <w:sz w:val="24"/>
          <w:szCs w:val="24"/>
          <w:lang w:val="en-US"/>
        </w:rPr>
        <w:t>.3不同</w:t>
      </w:r>
      <w:r>
        <w:rPr>
          <w:rFonts w:hint="eastAsia"/>
          <w:color w:val="auto"/>
          <w:sz w:val="24"/>
          <w:szCs w:val="24"/>
          <w:lang w:val="en-US" w:eastAsia="zh-CN"/>
        </w:rPr>
        <w:t>供应商</w:t>
      </w:r>
      <w:r>
        <w:rPr>
          <w:rFonts w:hint="eastAsia"/>
          <w:color w:val="auto"/>
          <w:sz w:val="24"/>
          <w:szCs w:val="24"/>
          <w:lang w:val="en-US"/>
        </w:rPr>
        <w:t>的投标文件载明的项目管理成员或者联系人为同一人；</w:t>
      </w:r>
    </w:p>
    <w:p w14:paraId="70DB346A">
      <w:pPr>
        <w:pageBreakBefore w:val="0"/>
        <w:topLinePunct w:val="0"/>
        <w:bidi w:val="0"/>
        <w:spacing w:line="500" w:lineRule="exact"/>
        <w:ind w:left="0" w:leftChars="0" w:right="0" w:rightChars="0" w:firstLine="480" w:firstLineChars="200"/>
        <w:rPr>
          <w:color w:val="auto"/>
          <w:sz w:val="24"/>
          <w:szCs w:val="24"/>
          <w:lang w:val="en-US"/>
        </w:rPr>
      </w:pPr>
      <w:r>
        <w:rPr>
          <w:color w:val="auto"/>
          <w:sz w:val="24"/>
          <w:szCs w:val="24"/>
          <w:lang w:val="en-US"/>
        </w:rPr>
        <w:t>5</w:t>
      </w:r>
      <w:r>
        <w:rPr>
          <w:rFonts w:hint="eastAsia"/>
          <w:color w:val="auto"/>
          <w:sz w:val="24"/>
          <w:szCs w:val="24"/>
          <w:lang w:val="en-US"/>
        </w:rPr>
        <w:t>.4不同</w:t>
      </w:r>
      <w:r>
        <w:rPr>
          <w:rFonts w:hint="eastAsia"/>
          <w:color w:val="auto"/>
          <w:sz w:val="24"/>
          <w:szCs w:val="24"/>
          <w:lang w:val="en-US" w:eastAsia="zh-CN"/>
        </w:rPr>
        <w:t>供应商</w:t>
      </w:r>
      <w:r>
        <w:rPr>
          <w:rFonts w:hint="eastAsia"/>
          <w:color w:val="auto"/>
          <w:sz w:val="24"/>
          <w:szCs w:val="24"/>
          <w:lang w:val="en-US"/>
        </w:rPr>
        <w:t>的投标文件异常一致或者投标报价呈现规律性差异；</w:t>
      </w:r>
    </w:p>
    <w:p w14:paraId="438C75E3">
      <w:pPr>
        <w:pageBreakBefore w:val="0"/>
        <w:topLinePunct w:val="0"/>
        <w:bidi w:val="0"/>
        <w:spacing w:line="500" w:lineRule="exact"/>
        <w:ind w:left="0" w:leftChars="0" w:right="0" w:rightChars="0" w:firstLine="480" w:firstLineChars="200"/>
        <w:rPr>
          <w:color w:val="auto"/>
          <w:sz w:val="24"/>
          <w:szCs w:val="24"/>
          <w:lang w:val="en-US"/>
        </w:rPr>
      </w:pPr>
      <w:r>
        <w:rPr>
          <w:color w:val="auto"/>
          <w:sz w:val="24"/>
          <w:szCs w:val="24"/>
          <w:lang w:val="en-US"/>
        </w:rPr>
        <w:t>5</w:t>
      </w:r>
      <w:r>
        <w:rPr>
          <w:rFonts w:hint="eastAsia"/>
          <w:color w:val="auto"/>
          <w:sz w:val="24"/>
          <w:szCs w:val="24"/>
          <w:lang w:val="en-US"/>
        </w:rPr>
        <w:t>.5不同</w:t>
      </w:r>
      <w:r>
        <w:rPr>
          <w:rFonts w:hint="eastAsia"/>
          <w:color w:val="auto"/>
          <w:sz w:val="24"/>
          <w:szCs w:val="24"/>
          <w:lang w:val="en-US" w:eastAsia="zh-CN"/>
        </w:rPr>
        <w:t>供应商</w:t>
      </w:r>
      <w:r>
        <w:rPr>
          <w:rFonts w:hint="eastAsia"/>
          <w:color w:val="auto"/>
          <w:sz w:val="24"/>
          <w:szCs w:val="24"/>
          <w:lang w:val="en-US"/>
        </w:rPr>
        <w:t>的投标文件相互混装；</w:t>
      </w:r>
    </w:p>
    <w:p w14:paraId="136A10A2">
      <w:pPr>
        <w:pageBreakBefore w:val="0"/>
        <w:topLinePunct w:val="0"/>
        <w:bidi w:val="0"/>
        <w:spacing w:line="500" w:lineRule="exact"/>
        <w:ind w:left="0" w:leftChars="0" w:right="0" w:rightChars="0" w:firstLine="480" w:firstLineChars="200"/>
        <w:rPr>
          <w:color w:val="auto"/>
          <w:sz w:val="9"/>
        </w:rPr>
      </w:pPr>
      <w:r>
        <w:rPr>
          <w:color w:val="auto"/>
          <w:sz w:val="24"/>
          <w:szCs w:val="24"/>
          <w:lang w:val="en-US"/>
        </w:rPr>
        <w:t>5</w:t>
      </w:r>
      <w:r>
        <w:rPr>
          <w:rFonts w:hint="eastAsia"/>
          <w:color w:val="auto"/>
          <w:sz w:val="24"/>
          <w:szCs w:val="24"/>
          <w:lang w:val="en-US"/>
        </w:rPr>
        <w:t>.6不同</w:t>
      </w:r>
      <w:r>
        <w:rPr>
          <w:rFonts w:hint="eastAsia"/>
          <w:color w:val="auto"/>
          <w:sz w:val="24"/>
          <w:szCs w:val="24"/>
          <w:lang w:val="en-US" w:eastAsia="zh-CN"/>
        </w:rPr>
        <w:t>供应商</w:t>
      </w:r>
      <w:r>
        <w:rPr>
          <w:rFonts w:hint="eastAsia"/>
          <w:color w:val="auto"/>
          <w:sz w:val="24"/>
          <w:szCs w:val="24"/>
          <w:lang w:val="en-US"/>
        </w:rPr>
        <w:t>的投标保证金从同一单位或者个人的账户转出。</w:t>
      </w:r>
    </w:p>
    <w:p w14:paraId="03B3C8F9">
      <w:pPr>
        <w:pStyle w:val="5"/>
        <w:pageBreakBefore w:val="0"/>
        <w:topLinePunct w:val="0"/>
        <w:bidi w:val="0"/>
        <w:spacing w:line="500" w:lineRule="exact"/>
        <w:ind w:left="0" w:leftChars="0" w:right="0" w:rightChars="0" w:firstLine="562" w:firstLineChars="200"/>
        <w:rPr>
          <w:color w:val="auto"/>
        </w:rPr>
      </w:pPr>
      <w:bookmarkStart w:id="8" w:name="六、开标、评标及资格审查"/>
      <w:bookmarkEnd w:id="8"/>
    </w:p>
    <w:p w14:paraId="75CCF8E0">
      <w:pPr>
        <w:pStyle w:val="5"/>
        <w:pageBreakBefore w:val="0"/>
        <w:topLinePunct w:val="0"/>
        <w:bidi w:val="0"/>
        <w:spacing w:line="500" w:lineRule="exact"/>
        <w:ind w:left="0" w:leftChars="0" w:right="0" w:rightChars="0" w:firstLine="562" w:firstLineChars="200"/>
        <w:rPr>
          <w:color w:val="auto"/>
          <w:sz w:val="40"/>
        </w:rPr>
      </w:pPr>
      <w:r>
        <w:rPr>
          <w:color w:val="auto"/>
        </w:rPr>
        <w:t>六、开标、评标及资格审查</w:t>
      </w:r>
    </w:p>
    <w:p w14:paraId="6BCC8886">
      <w:pPr>
        <w:pStyle w:val="7"/>
        <w:pageBreakBefore w:val="0"/>
        <w:topLinePunct w:val="0"/>
        <w:bidi w:val="0"/>
        <w:spacing w:line="500" w:lineRule="exact"/>
        <w:ind w:left="0" w:leftChars="0" w:right="0" w:rightChars="0" w:firstLine="482" w:firstLineChars="200"/>
        <w:rPr>
          <w:color w:val="auto"/>
        </w:rPr>
      </w:pPr>
      <w:r>
        <w:rPr>
          <w:rFonts w:hint="eastAsia"/>
          <w:color w:val="auto"/>
        </w:rPr>
        <w:t>1．</w:t>
      </w:r>
      <w:r>
        <w:rPr>
          <w:rFonts w:hint="eastAsia"/>
          <w:color w:val="auto"/>
          <w:lang w:eastAsia="zh-CN"/>
        </w:rPr>
        <w:t>投标文件</w:t>
      </w:r>
      <w:r>
        <w:rPr>
          <w:rFonts w:hint="eastAsia"/>
          <w:color w:val="auto"/>
        </w:rPr>
        <w:t>开启和评审</w:t>
      </w:r>
    </w:p>
    <w:p w14:paraId="3DADC541">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1.1 采购代理机构组织开标、文件</w:t>
      </w:r>
      <w:r>
        <w:rPr>
          <w:rFonts w:hint="eastAsia"/>
          <w:color w:val="auto"/>
          <w:sz w:val="24"/>
          <w:szCs w:val="24"/>
          <w:lang w:val="en-US" w:eastAsia="zh-CN"/>
        </w:rPr>
        <w:t>解密</w:t>
      </w:r>
      <w:r>
        <w:rPr>
          <w:rFonts w:hint="eastAsia"/>
          <w:color w:val="auto"/>
          <w:sz w:val="24"/>
          <w:szCs w:val="24"/>
          <w:lang w:val="en-US"/>
        </w:rPr>
        <w:t>、评审工作，开标的整个过程接受监督部门的监督。</w:t>
      </w:r>
    </w:p>
    <w:p w14:paraId="7379FD31">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eastAsia="zh-CN"/>
        </w:rPr>
        <w:t>1</w:t>
      </w:r>
      <w:r>
        <w:rPr>
          <w:rFonts w:hint="eastAsia"/>
          <w:color w:val="auto"/>
          <w:sz w:val="24"/>
          <w:szCs w:val="24"/>
          <w:lang w:val="en-US"/>
        </w:rPr>
        <w:t>.2 采购代理机构将在招标公告规定的时间和地点组织开标。所有</w:t>
      </w:r>
      <w:r>
        <w:rPr>
          <w:rFonts w:hint="eastAsia"/>
          <w:color w:val="auto"/>
          <w:sz w:val="24"/>
          <w:szCs w:val="24"/>
          <w:lang w:val="en-US" w:eastAsia="zh-CN"/>
        </w:rPr>
        <w:t>供应商</w:t>
      </w:r>
      <w:r>
        <w:rPr>
          <w:rFonts w:hint="eastAsia"/>
          <w:color w:val="auto"/>
          <w:sz w:val="24"/>
          <w:szCs w:val="24"/>
          <w:lang w:val="en-US"/>
        </w:rPr>
        <w:t>应按时参加开标会议，必须由法定代表人或其授权委托代理人出席开标会议，授权委托代理人出席的需和法</w:t>
      </w:r>
      <w:r>
        <w:rPr>
          <w:rFonts w:hint="eastAsia"/>
          <w:color w:val="auto"/>
          <w:sz w:val="24"/>
          <w:szCs w:val="24"/>
          <w:lang w:val="en-US" w:eastAsia="zh-CN"/>
        </w:rPr>
        <w:t>定代表</w:t>
      </w:r>
      <w:r>
        <w:rPr>
          <w:rFonts w:hint="eastAsia"/>
          <w:color w:val="auto"/>
          <w:sz w:val="24"/>
          <w:szCs w:val="24"/>
          <w:lang w:val="en-US"/>
        </w:rPr>
        <w:t>人授权委托书所述人员一致。</w:t>
      </w:r>
    </w:p>
    <w:p w14:paraId="49B07A89">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eastAsia="zh-CN"/>
        </w:rPr>
        <w:t>1</w:t>
      </w:r>
      <w:r>
        <w:rPr>
          <w:rFonts w:hint="eastAsia"/>
          <w:color w:val="auto"/>
          <w:sz w:val="24"/>
          <w:szCs w:val="24"/>
          <w:lang w:val="en-US"/>
        </w:rPr>
        <w:t>.3 开标时，按照工作人员要求进行解密，如因</w:t>
      </w:r>
      <w:r>
        <w:rPr>
          <w:rFonts w:hint="eastAsia"/>
          <w:color w:val="auto"/>
          <w:sz w:val="24"/>
          <w:szCs w:val="24"/>
          <w:lang w:val="en-US" w:eastAsia="zh-CN"/>
        </w:rPr>
        <w:t>供应商</w:t>
      </w:r>
      <w:r>
        <w:rPr>
          <w:rFonts w:hint="eastAsia"/>
          <w:color w:val="auto"/>
          <w:sz w:val="24"/>
          <w:szCs w:val="24"/>
          <w:lang w:val="en-US"/>
        </w:rPr>
        <w:t>自身原因造成无法解密投标文件，按无效投标对待。</w:t>
      </w:r>
    </w:p>
    <w:p w14:paraId="75578F38">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eastAsia="zh-CN"/>
        </w:rPr>
        <w:t>1</w:t>
      </w:r>
      <w:r>
        <w:rPr>
          <w:rFonts w:hint="eastAsia"/>
          <w:color w:val="auto"/>
          <w:sz w:val="24"/>
          <w:szCs w:val="24"/>
          <w:lang w:val="en-US"/>
        </w:rPr>
        <w:t>.4 解密成功后，依次导入</w:t>
      </w:r>
      <w:r>
        <w:rPr>
          <w:rFonts w:hint="eastAsia"/>
          <w:color w:val="auto"/>
          <w:sz w:val="24"/>
          <w:szCs w:val="24"/>
          <w:lang w:val="en-US" w:eastAsia="zh-CN"/>
        </w:rPr>
        <w:t>供应商</w:t>
      </w:r>
      <w:r>
        <w:rPr>
          <w:rFonts w:hint="eastAsia"/>
          <w:color w:val="auto"/>
          <w:sz w:val="24"/>
          <w:szCs w:val="24"/>
          <w:lang w:val="en-US"/>
        </w:rPr>
        <w:t>电子投标文件。</w:t>
      </w:r>
    </w:p>
    <w:p w14:paraId="3F8D8071">
      <w:pPr>
        <w:pageBreakBefore w:val="0"/>
        <w:topLinePunct w:val="0"/>
        <w:bidi w:val="0"/>
        <w:spacing w:line="500" w:lineRule="exact"/>
        <w:ind w:left="0" w:leftChars="0" w:right="0" w:rightChars="0" w:firstLine="480" w:firstLineChars="200"/>
        <w:rPr>
          <w:color w:val="auto"/>
          <w:sz w:val="24"/>
        </w:rPr>
      </w:pPr>
      <w:r>
        <w:rPr>
          <w:rFonts w:hint="eastAsia"/>
          <w:color w:val="auto"/>
          <w:sz w:val="24"/>
          <w:szCs w:val="24"/>
          <w:lang w:val="en-US" w:eastAsia="zh-CN"/>
        </w:rPr>
        <w:t>1</w:t>
      </w:r>
      <w:r>
        <w:rPr>
          <w:rFonts w:hint="eastAsia"/>
          <w:color w:val="auto"/>
          <w:sz w:val="24"/>
          <w:szCs w:val="24"/>
          <w:lang w:val="en-US"/>
        </w:rPr>
        <w:t>.5</w:t>
      </w:r>
      <w:r>
        <w:rPr>
          <w:rFonts w:hint="eastAsia"/>
          <w:color w:val="auto"/>
          <w:sz w:val="24"/>
          <w:szCs w:val="24"/>
          <w:lang w:val="en-US" w:eastAsia="zh-CN"/>
        </w:rPr>
        <w:t xml:space="preserve"> </w:t>
      </w:r>
      <w:r>
        <w:rPr>
          <w:rFonts w:hint="eastAsia"/>
          <w:color w:val="auto"/>
          <w:sz w:val="24"/>
          <w:szCs w:val="24"/>
          <w:lang w:val="en-US"/>
        </w:rPr>
        <w:t>采购代理机构将在开标会议现场做会议记录，会议记录</w:t>
      </w:r>
      <w:r>
        <w:rPr>
          <w:rFonts w:hint="eastAsia"/>
          <w:color w:val="auto"/>
          <w:sz w:val="24"/>
          <w:szCs w:val="24"/>
          <w:lang w:val="en-US" w:eastAsia="zh-CN"/>
        </w:rPr>
        <w:t>包括</w:t>
      </w:r>
      <w:r>
        <w:rPr>
          <w:rFonts w:hint="eastAsia"/>
          <w:color w:val="auto"/>
          <w:sz w:val="24"/>
          <w:szCs w:val="24"/>
          <w:lang w:val="en-US"/>
        </w:rPr>
        <w:t>本项目开标会议的全部内容</w:t>
      </w:r>
      <w:r>
        <w:rPr>
          <w:rFonts w:hint="eastAsia"/>
          <w:color w:val="auto"/>
          <w:sz w:val="24"/>
        </w:rPr>
        <w:t>。</w:t>
      </w:r>
    </w:p>
    <w:p w14:paraId="641C242B">
      <w:pPr>
        <w:pStyle w:val="7"/>
        <w:pageBreakBefore w:val="0"/>
        <w:topLinePunct w:val="0"/>
        <w:bidi w:val="0"/>
        <w:spacing w:line="500" w:lineRule="exact"/>
        <w:ind w:left="0" w:leftChars="0" w:right="0" w:rightChars="0" w:firstLine="482" w:firstLineChars="200"/>
        <w:rPr>
          <w:color w:val="auto"/>
        </w:rPr>
      </w:pPr>
      <w:r>
        <w:rPr>
          <w:rFonts w:hint="eastAsia"/>
          <w:color w:val="auto"/>
        </w:rPr>
        <w:t>2</w:t>
      </w:r>
      <w:r>
        <w:rPr>
          <w:rFonts w:hint="eastAsia"/>
          <w:color w:val="auto"/>
          <w:lang w:val="en-US" w:eastAsia="zh-CN"/>
        </w:rPr>
        <w:t>.</w:t>
      </w:r>
      <w:r>
        <w:rPr>
          <w:rFonts w:hint="eastAsia"/>
          <w:color w:val="auto"/>
        </w:rPr>
        <w:t>评标委员会</w:t>
      </w:r>
    </w:p>
    <w:p w14:paraId="3401E1A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2.1评标委员会</w:t>
      </w:r>
    </w:p>
    <w:p w14:paraId="64677A9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2.2采购代理机构根据</w:t>
      </w:r>
      <w:r>
        <w:rPr>
          <w:rFonts w:hint="eastAsia"/>
          <w:color w:val="auto"/>
          <w:sz w:val="24"/>
          <w:szCs w:val="24"/>
          <w:lang w:val="en-US" w:eastAsia="zh-CN"/>
        </w:rPr>
        <w:t>《中华人民共和国政府采购法》及其实施条例、《政府采购货物和服务招标投标管理办法》（财政部令第87号）</w:t>
      </w:r>
      <w:r>
        <w:rPr>
          <w:rFonts w:hint="eastAsia"/>
          <w:color w:val="auto"/>
          <w:sz w:val="24"/>
          <w:szCs w:val="24"/>
          <w:lang w:val="en-US"/>
        </w:rPr>
        <w:t>等规定，依法组建评标委员会。</w:t>
      </w:r>
    </w:p>
    <w:p w14:paraId="07030214">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2.3评标委员会由采购人代表和评审专家组成，成员人数应当为</w:t>
      </w:r>
      <w:r>
        <w:rPr>
          <w:rFonts w:hint="eastAsia"/>
          <w:color w:val="auto"/>
          <w:sz w:val="24"/>
          <w:szCs w:val="24"/>
          <w:highlight w:val="none"/>
          <w:lang w:val="en-US" w:eastAsia="zh-CN"/>
        </w:rPr>
        <w:t>7</w:t>
      </w:r>
      <w:r>
        <w:rPr>
          <w:rFonts w:hint="eastAsia"/>
          <w:color w:val="auto"/>
          <w:sz w:val="24"/>
          <w:szCs w:val="24"/>
          <w:highlight w:val="none"/>
          <w:lang w:val="en-US"/>
        </w:rPr>
        <w:t>人</w:t>
      </w:r>
      <w:r>
        <w:rPr>
          <w:rFonts w:hint="eastAsia"/>
          <w:color w:val="auto"/>
          <w:sz w:val="24"/>
          <w:szCs w:val="24"/>
          <w:lang w:val="en-US" w:eastAsia="zh-CN"/>
        </w:rPr>
        <w:t>及</w:t>
      </w:r>
      <w:r>
        <w:rPr>
          <w:rFonts w:hint="eastAsia"/>
          <w:color w:val="auto"/>
          <w:sz w:val="24"/>
          <w:szCs w:val="24"/>
          <w:lang w:val="en-US"/>
        </w:rPr>
        <w:t>以上单数，其中评审专家不得少于成员总数的三分之二</w:t>
      </w:r>
      <w:r>
        <w:rPr>
          <w:rFonts w:hint="eastAsia"/>
          <w:color w:val="auto"/>
          <w:sz w:val="24"/>
          <w:szCs w:val="24"/>
          <w:lang w:val="en-US" w:eastAsia="zh-CN"/>
        </w:rPr>
        <w:t>，</w:t>
      </w:r>
      <w:r>
        <w:rPr>
          <w:rFonts w:hint="eastAsia"/>
          <w:color w:val="auto"/>
          <w:sz w:val="24"/>
          <w:szCs w:val="24"/>
          <w:lang w:val="en-US"/>
        </w:rPr>
        <w:t>评标专家从政府采购评审专家库内相关专业的专家名单中随机抽取。</w:t>
      </w:r>
    </w:p>
    <w:p w14:paraId="56931A3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2.4评标委员会应推荐一名评审专家担任评审组长，并由评审组长牵头组织该项目评审工作，采购人授权的评审专家，不得担任评审组长。</w:t>
      </w:r>
    </w:p>
    <w:p w14:paraId="75348076">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2.5评标委员会成员不得参加开标活动。</w:t>
      </w:r>
    </w:p>
    <w:p w14:paraId="279D99CA">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2.6评标委员会成员应当遵守并履行下列职责义务：</w:t>
      </w:r>
    </w:p>
    <w:p w14:paraId="5DF45813">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a</w:t>
      </w:r>
      <w:r>
        <w:rPr>
          <w:rFonts w:hint="eastAsia"/>
          <w:color w:val="auto"/>
          <w:sz w:val="24"/>
          <w:szCs w:val="24"/>
          <w:lang w:val="en-US" w:eastAsia="zh-CN"/>
        </w:rPr>
        <w:t>.</w:t>
      </w:r>
      <w:r>
        <w:rPr>
          <w:rFonts w:hint="eastAsia"/>
          <w:color w:val="auto"/>
          <w:sz w:val="24"/>
          <w:szCs w:val="24"/>
          <w:lang w:val="en-US"/>
        </w:rPr>
        <w:t>遵纪守法，客观、公正、认真负责地履行职责，根据招标文件规定的评标程序、评标方法和评标标准审查投标文件；</w:t>
      </w:r>
    </w:p>
    <w:p w14:paraId="767B73C5">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b</w:t>
      </w:r>
      <w:r>
        <w:rPr>
          <w:rFonts w:hint="eastAsia"/>
          <w:color w:val="auto"/>
          <w:sz w:val="24"/>
          <w:szCs w:val="24"/>
          <w:lang w:val="en-US" w:eastAsia="zh-CN"/>
        </w:rPr>
        <w:t>.</w:t>
      </w:r>
      <w:r>
        <w:rPr>
          <w:rFonts w:hint="eastAsia"/>
          <w:color w:val="auto"/>
          <w:sz w:val="24"/>
          <w:szCs w:val="24"/>
          <w:lang w:val="en-US"/>
        </w:rPr>
        <w:t>审查、评价投标文件是否符合招标文件的商务、技术等实质性要求；</w:t>
      </w:r>
    </w:p>
    <w:p w14:paraId="23210953">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c</w:t>
      </w:r>
      <w:r>
        <w:rPr>
          <w:rFonts w:hint="eastAsia"/>
          <w:color w:val="auto"/>
          <w:sz w:val="24"/>
          <w:szCs w:val="24"/>
          <w:lang w:val="en-US" w:eastAsia="zh-CN"/>
        </w:rPr>
        <w:t>.</w:t>
      </w:r>
      <w:r>
        <w:rPr>
          <w:rFonts w:hint="eastAsia"/>
          <w:color w:val="auto"/>
          <w:sz w:val="24"/>
          <w:szCs w:val="24"/>
          <w:lang w:val="en-US"/>
        </w:rPr>
        <w:t>要求</w:t>
      </w:r>
      <w:r>
        <w:rPr>
          <w:rFonts w:hint="eastAsia"/>
          <w:color w:val="auto"/>
          <w:sz w:val="24"/>
          <w:szCs w:val="24"/>
          <w:lang w:val="en-US" w:eastAsia="zh-CN"/>
        </w:rPr>
        <w:t>供应商</w:t>
      </w:r>
      <w:r>
        <w:rPr>
          <w:rFonts w:hint="eastAsia"/>
          <w:color w:val="auto"/>
          <w:sz w:val="24"/>
          <w:szCs w:val="24"/>
          <w:lang w:val="en-US"/>
        </w:rPr>
        <w:t>对投标文件有关事项作出澄清或者说明；</w:t>
      </w:r>
    </w:p>
    <w:p w14:paraId="134F6D6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d</w:t>
      </w:r>
      <w:r>
        <w:rPr>
          <w:rFonts w:hint="eastAsia"/>
          <w:color w:val="auto"/>
          <w:sz w:val="24"/>
          <w:szCs w:val="24"/>
          <w:lang w:val="en-US" w:eastAsia="zh-CN"/>
        </w:rPr>
        <w:t>.</w:t>
      </w:r>
      <w:r>
        <w:rPr>
          <w:rFonts w:hint="eastAsia"/>
          <w:color w:val="auto"/>
          <w:sz w:val="24"/>
          <w:szCs w:val="24"/>
          <w:lang w:val="en-US"/>
        </w:rPr>
        <w:t>对投标文件进行比较和评价；</w:t>
      </w:r>
    </w:p>
    <w:p w14:paraId="1D481E0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e</w:t>
      </w:r>
      <w:r>
        <w:rPr>
          <w:rFonts w:hint="eastAsia"/>
          <w:color w:val="auto"/>
          <w:sz w:val="24"/>
          <w:szCs w:val="24"/>
          <w:lang w:val="en-US" w:eastAsia="zh-CN"/>
        </w:rPr>
        <w:t>.</w:t>
      </w:r>
      <w:r>
        <w:rPr>
          <w:rFonts w:hint="eastAsia"/>
          <w:color w:val="auto"/>
          <w:sz w:val="24"/>
          <w:szCs w:val="24"/>
          <w:lang w:val="en-US"/>
        </w:rPr>
        <w:t>确定中标候选人名单，以及根据采购人委托直接确定中标人；</w:t>
      </w:r>
    </w:p>
    <w:p w14:paraId="1061FDD9">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f</w:t>
      </w:r>
      <w:r>
        <w:rPr>
          <w:rFonts w:hint="eastAsia"/>
          <w:color w:val="auto"/>
          <w:sz w:val="24"/>
          <w:szCs w:val="24"/>
          <w:lang w:val="en-US" w:eastAsia="zh-CN"/>
        </w:rPr>
        <w:t>.</w:t>
      </w:r>
      <w:r>
        <w:rPr>
          <w:rFonts w:hint="eastAsia"/>
          <w:color w:val="auto"/>
          <w:sz w:val="24"/>
          <w:szCs w:val="24"/>
          <w:lang w:val="en-US"/>
        </w:rPr>
        <w:t>向采购人、采购代理机构或者有关部门报告评标中发现的违法行为；</w:t>
      </w:r>
    </w:p>
    <w:p w14:paraId="4D3D89B1">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g</w:t>
      </w:r>
      <w:r>
        <w:rPr>
          <w:rFonts w:hint="eastAsia"/>
          <w:color w:val="auto"/>
          <w:sz w:val="24"/>
          <w:szCs w:val="24"/>
          <w:lang w:val="en-US" w:eastAsia="zh-CN"/>
        </w:rPr>
        <w:t>.</w:t>
      </w:r>
      <w:r>
        <w:rPr>
          <w:rFonts w:hint="eastAsia"/>
          <w:color w:val="auto"/>
          <w:sz w:val="24"/>
          <w:szCs w:val="24"/>
          <w:lang w:val="en-US"/>
        </w:rPr>
        <w:t>对评标过程及各</w:t>
      </w:r>
      <w:r>
        <w:rPr>
          <w:rFonts w:hint="eastAsia"/>
          <w:color w:val="auto"/>
          <w:sz w:val="24"/>
          <w:szCs w:val="24"/>
          <w:lang w:val="en-US" w:eastAsia="zh-CN"/>
        </w:rPr>
        <w:t>供应商</w:t>
      </w:r>
      <w:r>
        <w:rPr>
          <w:rFonts w:hint="eastAsia"/>
          <w:color w:val="auto"/>
          <w:sz w:val="24"/>
          <w:szCs w:val="24"/>
          <w:lang w:val="en-US"/>
        </w:rPr>
        <w:t>的商业机密予以保密；</w:t>
      </w:r>
    </w:p>
    <w:p w14:paraId="038B62DF">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h</w:t>
      </w:r>
      <w:r>
        <w:rPr>
          <w:rFonts w:hint="eastAsia"/>
          <w:color w:val="auto"/>
          <w:sz w:val="24"/>
          <w:szCs w:val="24"/>
          <w:lang w:val="en-US" w:eastAsia="zh-CN"/>
        </w:rPr>
        <w:t>.</w:t>
      </w:r>
      <w:r>
        <w:rPr>
          <w:rFonts w:hint="eastAsia"/>
          <w:color w:val="auto"/>
          <w:sz w:val="24"/>
          <w:szCs w:val="24"/>
          <w:lang w:val="en-US"/>
        </w:rPr>
        <w:t>配合采购人、采购代理机构答复各</w:t>
      </w:r>
      <w:r>
        <w:rPr>
          <w:rFonts w:hint="eastAsia"/>
          <w:color w:val="auto"/>
          <w:sz w:val="24"/>
          <w:szCs w:val="24"/>
          <w:lang w:val="en-US" w:eastAsia="zh-CN"/>
        </w:rPr>
        <w:t>供应商</w:t>
      </w:r>
      <w:r>
        <w:rPr>
          <w:rFonts w:hint="eastAsia"/>
          <w:color w:val="auto"/>
          <w:sz w:val="24"/>
          <w:szCs w:val="24"/>
          <w:lang w:val="en-US"/>
        </w:rPr>
        <w:t>提出的质疑；</w:t>
      </w:r>
    </w:p>
    <w:p w14:paraId="50E6D89E">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i</w:t>
      </w:r>
      <w:r>
        <w:rPr>
          <w:rFonts w:hint="eastAsia"/>
          <w:color w:val="auto"/>
          <w:sz w:val="24"/>
          <w:szCs w:val="24"/>
          <w:lang w:val="en-US" w:eastAsia="zh-CN"/>
        </w:rPr>
        <w:t>.</w:t>
      </w:r>
      <w:r>
        <w:rPr>
          <w:rFonts w:hint="eastAsia"/>
          <w:color w:val="auto"/>
          <w:sz w:val="24"/>
          <w:szCs w:val="24"/>
          <w:lang w:val="en-US"/>
        </w:rPr>
        <w:t>配合各部门的投诉处理和监督检查工作。</w:t>
      </w:r>
    </w:p>
    <w:p w14:paraId="5ACD8DED">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2.7评标原则：坚持公平、公正、科学、择优原则，禁止不正当竞争。</w:t>
      </w:r>
    </w:p>
    <w:p w14:paraId="47ACE889">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2.8评标办法及内容：</w:t>
      </w:r>
    </w:p>
    <w:p w14:paraId="7F66CCD2">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2.8.1评审内容为投标文件是否符合招标文件的要求，内容是否完整，价格构成有无计算错误，文件签署是否符合要求、技术方案是否齐全等。</w:t>
      </w:r>
    </w:p>
    <w:p w14:paraId="0B22994B">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2.8.2评审中，对价格的计算错误按下述原则修正：</w:t>
      </w:r>
    </w:p>
    <w:p w14:paraId="10EE79DA">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（1）单价乘数量不等于总价，以单价为准修正总价。</w:t>
      </w:r>
    </w:p>
    <w:p w14:paraId="65E3F088">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（2）文字表示的数据与相应阿拉伯数字不符，以文字所示为准，修正数字。</w:t>
      </w:r>
    </w:p>
    <w:p w14:paraId="4368654E">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w:t>
      </w:r>
      <w:r>
        <w:rPr>
          <w:rFonts w:hint="eastAsia"/>
          <w:color w:val="auto"/>
          <w:sz w:val="24"/>
          <w:szCs w:val="24"/>
          <w:lang w:val="en-US" w:eastAsia="zh-CN"/>
        </w:rPr>
        <w:t>供应商</w:t>
      </w:r>
      <w:r>
        <w:rPr>
          <w:rFonts w:hint="eastAsia"/>
          <w:color w:val="auto"/>
          <w:sz w:val="24"/>
          <w:szCs w:val="24"/>
          <w:lang w:val="en-US"/>
        </w:rPr>
        <w:t>不同意以上修正，则其投标将被拒绝。</w:t>
      </w:r>
    </w:p>
    <w:p w14:paraId="0433C64A">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4）与招标文件有重大偏离的投标文件将被拒绝。重大偏离系指投标所报货物的质量、数量性能指标及资格证明文件中明显不能满足招标文件的要求。这些偏离不允许在开标后修正。但允许修改不构成重大偏离的、微小的、非正规的不一致或不规则的地方。</w:t>
      </w:r>
    </w:p>
    <w:p w14:paraId="4AE3F65B">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（5）对投标文件的判定，只依据投标文件所具内容，不依靠开标后的任何外来证明。</w:t>
      </w:r>
    </w:p>
    <w:p w14:paraId="37332284">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2.8.3资格性审查</w:t>
      </w:r>
    </w:p>
    <w:p w14:paraId="75AF2B60">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由</w:t>
      </w:r>
      <w:r>
        <w:rPr>
          <w:rFonts w:hint="eastAsia"/>
          <w:color w:val="auto"/>
          <w:sz w:val="24"/>
          <w:szCs w:val="24"/>
          <w:lang w:val="en-US" w:eastAsia="zh-CN"/>
        </w:rPr>
        <w:t>采购人或代理机构</w:t>
      </w:r>
      <w:r>
        <w:rPr>
          <w:rFonts w:hint="eastAsia"/>
          <w:color w:val="auto"/>
          <w:sz w:val="24"/>
          <w:szCs w:val="24"/>
          <w:lang w:val="en-US"/>
        </w:rPr>
        <w:t>依法对</w:t>
      </w:r>
      <w:r>
        <w:rPr>
          <w:rFonts w:hint="eastAsia"/>
          <w:color w:val="auto"/>
          <w:sz w:val="24"/>
          <w:szCs w:val="24"/>
          <w:lang w:val="en-US" w:eastAsia="zh-CN"/>
        </w:rPr>
        <w:t>供应商</w:t>
      </w:r>
      <w:r>
        <w:rPr>
          <w:rFonts w:hint="eastAsia"/>
          <w:color w:val="auto"/>
          <w:sz w:val="24"/>
          <w:szCs w:val="24"/>
          <w:lang w:val="en-US"/>
        </w:rPr>
        <w:t>的资格进行审查，审查合格的</w:t>
      </w:r>
      <w:r>
        <w:rPr>
          <w:rFonts w:hint="eastAsia"/>
          <w:color w:val="auto"/>
          <w:sz w:val="24"/>
          <w:szCs w:val="24"/>
          <w:lang w:val="en-US" w:eastAsia="zh-CN"/>
        </w:rPr>
        <w:t>供应商</w:t>
      </w:r>
      <w:r>
        <w:rPr>
          <w:rFonts w:hint="eastAsia"/>
          <w:color w:val="auto"/>
          <w:sz w:val="24"/>
          <w:szCs w:val="24"/>
          <w:lang w:val="en-US"/>
        </w:rPr>
        <w:t>方可进入评标阶段，不合格的</w:t>
      </w:r>
      <w:r>
        <w:rPr>
          <w:rFonts w:hint="eastAsia"/>
          <w:color w:val="auto"/>
          <w:sz w:val="24"/>
          <w:szCs w:val="24"/>
          <w:lang w:val="en-US" w:eastAsia="zh-CN"/>
        </w:rPr>
        <w:t>供应商</w:t>
      </w:r>
      <w:r>
        <w:rPr>
          <w:rFonts w:hint="eastAsia"/>
          <w:color w:val="auto"/>
          <w:sz w:val="24"/>
          <w:szCs w:val="24"/>
          <w:lang w:val="en-US"/>
        </w:rPr>
        <w:t>其投标无效。</w:t>
      </w:r>
    </w:p>
    <w:p w14:paraId="321A341B">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2.8.4</w:t>
      </w:r>
      <w:r>
        <w:rPr>
          <w:rFonts w:hint="eastAsia"/>
          <w:color w:val="auto"/>
          <w:sz w:val="24"/>
          <w:szCs w:val="24"/>
          <w:lang w:val="en-US" w:eastAsia="zh-CN"/>
        </w:rPr>
        <w:t>供应商</w:t>
      </w:r>
      <w:r>
        <w:rPr>
          <w:rFonts w:hint="eastAsia"/>
          <w:color w:val="auto"/>
          <w:sz w:val="24"/>
          <w:szCs w:val="24"/>
          <w:lang w:val="en-US"/>
        </w:rPr>
        <w:t>及投标文件有效性和符合性审查，出现下列情况之一者（但不限于），按无效标处理。</w:t>
      </w:r>
    </w:p>
    <w:p w14:paraId="4793B976">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（1）本次投标所要求的必备资格证明文件，缺其中一项或某项达不到要求，均按无效文件处理。</w:t>
      </w:r>
    </w:p>
    <w:p w14:paraId="5462307D">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（2）各</w:t>
      </w:r>
      <w:r>
        <w:rPr>
          <w:rFonts w:hint="eastAsia"/>
          <w:color w:val="auto"/>
          <w:sz w:val="24"/>
          <w:szCs w:val="24"/>
          <w:lang w:val="en-US" w:eastAsia="zh-CN"/>
        </w:rPr>
        <w:t>供应商</w:t>
      </w:r>
      <w:r>
        <w:rPr>
          <w:rFonts w:hint="eastAsia"/>
          <w:color w:val="auto"/>
          <w:sz w:val="24"/>
          <w:szCs w:val="24"/>
          <w:lang w:val="en-US"/>
        </w:rPr>
        <w:t xml:space="preserve">未经过正常渠道获取招标文件。 </w:t>
      </w:r>
    </w:p>
    <w:p w14:paraId="40FD33E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w:t>
      </w:r>
      <w:r>
        <w:rPr>
          <w:rFonts w:hint="eastAsia"/>
          <w:color w:val="auto"/>
          <w:sz w:val="24"/>
          <w:szCs w:val="24"/>
          <w:lang w:val="en-US" w:eastAsia="zh-CN"/>
        </w:rPr>
        <w:t>供应商</w:t>
      </w:r>
      <w:r>
        <w:rPr>
          <w:rFonts w:hint="eastAsia"/>
          <w:color w:val="auto"/>
          <w:sz w:val="24"/>
          <w:szCs w:val="24"/>
          <w:lang w:val="en-US"/>
        </w:rPr>
        <w:t>未提供法定代表人授权书（法定代表人直接参加投标的除外）或授权书不符合招标文件要求的。</w:t>
      </w:r>
    </w:p>
    <w:p w14:paraId="2A114A5D">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 xml:space="preserve">（4）提供虚假证明（包括第三方提供的虚假证明、证件），开具虚假业绩，除按无效文件处理外，按有关规定进行相应的处罚。 </w:t>
      </w:r>
    </w:p>
    <w:p w14:paraId="69331AB9">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 xml:space="preserve">（5）投标方案出现严重漏项，造成系统缺陷，已影响到该项目的实施。 </w:t>
      </w:r>
    </w:p>
    <w:p w14:paraId="3D5D8166">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（6）在重大项目履约过程中有不良记录，不能按期履约的。</w:t>
      </w:r>
    </w:p>
    <w:p w14:paraId="4D8E399D">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（7）对招标文件商务要求是否</w:t>
      </w:r>
      <w:r>
        <w:rPr>
          <w:rFonts w:hint="eastAsia"/>
          <w:color w:val="auto"/>
          <w:sz w:val="24"/>
          <w:szCs w:val="24"/>
          <w:lang w:val="en-US" w:eastAsia="zh-CN"/>
        </w:rPr>
        <w:t>做</w:t>
      </w:r>
      <w:r>
        <w:rPr>
          <w:rFonts w:hint="eastAsia"/>
          <w:color w:val="auto"/>
          <w:sz w:val="24"/>
          <w:szCs w:val="24"/>
          <w:lang w:val="en-US"/>
        </w:rPr>
        <w:t>了明确且实质性响应；</w:t>
      </w:r>
    </w:p>
    <w:p w14:paraId="324399C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（8）投标文件是否含有采购人不能接受的附件条件；</w:t>
      </w:r>
    </w:p>
    <w:p w14:paraId="2DE6E762">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（9）是否符合法律、法规和招标文件规定的其他无效投标情形。</w:t>
      </w:r>
    </w:p>
    <w:p w14:paraId="679DC9FD">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（10）投标项目出现产品数量与要求不符，出现负偏差。</w:t>
      </w:r>
    </w:p>
    <w:p w14:paraId="6137FCFD">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（11）投标内容的技术要求</w:t>
      </w:r>
      <w:r>
        <w:rPr>
          <w:rFonts w:hint="eastAsia"/>
          <w:color w:val="auto"/>
          <w:sz w:val="24"/>
          <w:szCs w:val="24"/>
          <w:lang w:val="en-US" w:eastAsia="zh-CN"/>
        </w:rPr>
        <w:t>达</w:t>
      </w:r>
      <w:r>
        <w:rPr>
          <w:rFonts w:hint="eastAsia"/>
          <w:color w:val="auto"/>
          <w:sz w:val="24"/>
          <w:szCs w:val="24"/>
          <w:lang w:val="en-US"/>
        </w:rPr>
        <w:t>不到招标文件要求，降低了产品档次或影响了性能、功能。</w:t>
      </w:r>
    </w:p>
    <w:p w14:paraId="5092B112">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2.8.5在政府采购活动中，采购人员及相关人员（包括评标委员会）与</w:t>
      </w:r>
      <w:r>
        <w:rPr>
          <w:rFonts w:hint="eastAsia"/>
          <w:color w:val="auto"/>
          <w:sz w:val="24"/>
          <w:szCs w:val="24"/>
          <w:lang w:val="en-US" w:eastAsia="zh-CN"/>
        </w:rPr>
        <w:t>供应商</w:t>
      </w:r>
      <w:r>
        <w:rPr>
          <w:rFonts w:hint="eastAsia"/>
          <w:color w:val="auto"/>
          <w:sz w:val="24"/>
          <w:szCs w:val="24"/>
          <w:lang w:val="en-US"/>
        </w:rPr>
        <w:t>有下列利害关系之一的，应当回避：</w:t>
      </w:r>
    </w:p>
    <w:p w14:paraId="1695B5FB">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（1）参加采购活动前 3 年内与</w:t>
      </w:r>
      <w:r>
        <w:rPr>
          <w:rFonts w:hint="eastAsia"/>
          <w:color w:val="auto"/>
          <w:sz w:val="24"/>
          <w:szCs w:val="24"/>
          <w:lang w:val="en-US" w:eastAsia="zh-CN"/>
        </w:rPr>
        <w:t>供应商</w:t>
      </w:r>
      <w:r>
        <w:rPr>
          <w:rFonts w:hint="eastAsia"/>
          <w:color w:val="auto"/>
          <w:sz w:val="24"/>
          <w:szCs w:val="24"/>
          <w:lang w:val="en-US"/>
        </w:rPr>
        <w:t>存在劳动关系；</w:t>
      </w:r>
    </w:p>
    <w:p w14:paraId="0D10FEF3">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（2）参加采购活动前 3 年内担任</w:t>
      </w:r>
      <w:r>
        <w:rPr>
          <w:rFonts w:hint="eastAsia"/>
          <w:color w:val="auto"/>
          <w:sz w:val="24"/>
          <w:szCs w:val="24"/>
          <w:lang w:val="en-US" w:eastAsia="zh-CN"/>
        </w:rPr>
        <w:t>供应商</w:t>
      </w:r>
      <w:r>
        <w:rPr>
          <w:rFonts w:hint="eastAsia"/>
          <w:color w:val="auto"/>
          <w:sz w:val="24"/>
          <w:szCs w:val="24"/>
          <w:lang w:val="en-US"/>
        </w:rPr>
        <w:t>的董事、监事；</w:t>
      </w:r>
    </w:p>
    <w:p w14:paraId="02FFD6A1">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（3）参加采购活动前 3 年内是</w:t>
      </w:r>
      <w:r>
        <w:rPr>
          <w:rFonts w:hint="eastAsia"/>
          <w:color w:val="auto"/>
          <w:sz w:val="24"/>
          <w:szCs w:val="24"/>
          <w:lang w:val="en-US" w:eastAsia="zh-CN"/>
        </w:rPr>
        <w:t>供应商</w:t>
      </w:r>
      <w:r>
        <w:rPr>
          <w:rFonts w:hint="eastAsia"/>
          <w:color w:val="auto"/>
          <w:sz w:val="24"/>
          <w:szCs w:val="24"/>
          <w:lang w:val="en-US"/>
        </w:rPr>
        <w:t>的控股股东或者实际控制人；</w:t>
      </w:r>
    </w:p>
    <w:p w14:paraId="3A10099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（4）与</w:t>
      </w:r>
      <w:r>
        <w:rPr>
          <w:rFonts w:hint="eastAsia"/>
          <w:color w:val="auto"/>
          <w:sz w:val="24"/>
          <w:szCs w:val="24"/>
          <w:lang w:val="en-US" w:eastAsia="zh-CN"/>
        </w:rPr>
        <w:t>供应商</w:t>
      </w:r>
      <w:r>
        <w:rPr>
          <w:rFonts w:hint="eastAsia"/>
          <w:color w:val="auto"/>
          <w:sz w:val="24"/>
          <w:szCs w:val="24"/>
          <w:lang w:val="en-US"/>
        </w:rPr>
        <w:t>的法定代表人或者负责人有夫妻、直系血亲、三代以内旁系血亲或者近姻亲关系；</w:t>
      </w:r>
    </w:p>
    <w:p w14:paraId="3F238AB8">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（5）与</w:t>
      </w:r>
      <w:r>
        <w:rPr>
          <w:rFonts w:hint="eastAsia"/>
          <w:color w:val="auto"/>
          <w:sz w:val="24"/>
          <w:szCs w:val="24"/>
          <w:lang w:val="en-US" w:eastAsia="zh-CN"/>
        </w:rPr>
        <w:t>供应商</w:t>
      </w:r>
      <w:r>
        <w:rPr>
          <w:rFonts w:hint="eastAsia"/>
          <w:color w:val="auto"/>
          <w:sz w:val="24"/>
          <w:szCs w:val="24"/>
          <w:lang w:val="en-US"/>
        </w:rPr>
        <w:t>有其他可能影响政府采购活动公平、公正进行的关系。</w:t>
      </w:r>
    </w:p>
    <w:p w14:paraId="49B2E8D4">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2.8.6投标的澄清</w:t>
      </w:r>
    </w:p>
    <w:p w14:paraId="29A0A483">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2.8.6.1在评标期间</w:t>
      </w:r>
      <w:r>
        <w:rPr>
          <w:rFonts w:hint="eastAsia"/>
          <w:color w:val="auto"/>
          <w:sz w:val="24"/>
          <w:szCs w:val="24"/>
          <w:lang w:val="en-US" w:eastAsia="zh-CN"/>
        </w:rPr>
        <w:t>，</w:t>
      </w:r>
      <w:r>
        <w:rPr>
          <w:rFonts w:hint="eastAsia"/>
          <w:color w:val="auto"/>
          <w:sz w:val="24"/>
          <w:szCs w:val="24"/>
          <w:lang w:val="en-US"/>
        </w:rPr>
        <w:t>对于投标文件中含义不明确、同类问题表述不一致或者有明显文字和计算错误的内容，评标委员会应当以书面形式要求</w:t>
      </w:r>
      <w:r>
        <w:rPr>
          <w:rFonts w:hint="eastAsia"/>
          <w:color w:val="auto"/>
          <w:sz w:val="24"/>
          <w:szCs w:val="24"/>
          <w:lang w:val="en-US" w:eastAsia="zh-CN"/>
        </w:rPr>
        <w:t>供应商</w:t>
      </w:r>
      <w:r>
        <w:rPr>
          <w:rFonts w:hint="eastAsia"/>
          <w:color w:val="auto"/>
          <w:sz w:val="24"/>
          <w:szCs w:val="24"/>
          <w:lang w:val="en-US"/>
        </w:rPr>
        <w:t>作出必要的澄清、说明或者补正。</w:t>
      </w:r>
      <w:r>
        <w:rPr>
          <w:rFonts w:hint="eastAsia"/>
          <w:color w:val="auto"/>
          <w:sz w:val="24"/>
          <w:szCs w:val="24"/>
          <w:lang w:val="en-US" w:eastAsia="zh-CN"/>
        </w:rPr>
        <w:t>供应商</w:t>
      </w:r>
      <w:r>
        <w:rPr>
          <w:rFonts w:hint="eastAsia"/>
          <w:color w:val="auto"/>
          <w:sz w:val="24"/>
          <w:szCs w:val="24"/>
          <w:lang w:val="en-US"/>
        </w:rPr>
        <w:t>的澄清、说明或者补正应当采用书面形式，并加盖公章，或者由法定代表人或被授权人签字。</w:t>
      </w:r>
      <w:r>
        <w:rPr>
          <w:rFonts w:hint="eastAsia"/>
          <w:color w:val="auto"/>
          <w:sz w:val="24"/>
          <w:szCs w:val="24"/>
          <w:lang w:val="en-US" w:eastAsia="zh-CN"/>
        </w:rPr>
        <w:t>供应商</w:t>
      </w:r>
      <w:r>
        <w:rPr>
          <w:rFonts w:hint="eastAsia"/>
          <w:color w:val="auto"/>
          <w:sz w:val="24"/>
          <w:szCs w:val="24"/>
          <w:lang w:val="en-US"/>
        </w:rPr>
        <w:t>的澄清、说明或者补正不得超出投标文件的范围或者改变投标文件的实质性内容。</w:t>
      </w:r>
    </w:p>
    <w:p w14:paraId="1213EFC5">
      <w:pPr>
        <w:pStyle w:val="7"/>
        <w:pageBreakBefore w:val="0"/>
        <w:topLinePunct w:val="0"/>
        <w:bidi w:val="0"/>
        <w:spacing w:line="500" w:lineRule="exact"/>
        <w:ind w:left="0" w:leftChars="0" w:right="0" w:rightChars="0" w:firstLine="482" w:firstLineChars="200"/>
        <w:rPr>
          <w:color w:val="auto"/>
        </w:rPr>
      </w:pPr>
      <w:r>
        <w:rPr>
          <w:rFonts w:hint="eastAsia"/>
          <w:color w:val="auto"/>
        </w:rPr>
        <w:t>3</w:t>
      </w:r>
      <w:r>
        <w:rPr>
          <w:rFonts w:hint="eastAsia"/>
          <w:color w:val="auto"/>
          <w:lang w:val="en-US" w:eastAsia="zh-CN"/>
        </w:rPr>
        <w:t>.</w:t>
      </w:r>
      <w:r>
        <w:rPr>
          <w:color w:val="auto"/>
        </w:rPr>
        <w:t>评标</w:t>
      </w:r>
    </w:p>
    <w:p w14:paraId="48C433B0">
      <w:pPr>
        <w:pStyle w:val="39"/>
        <w:pageBreakBefore w:val="0"/>
        <w:tabs>
          <w:tab w:val="left" w:pos="1640"/>
        </w:tabs>
        <w:topLinePunct w:val="0"/>
        <w:bidi w:val="0"/>
        <w:spacing w:line="500" w:lineRule="exact"/>
        <w:ind w:left="0" w:leftChars="0" w:right="0" w:rightChars="0" w:firstLine="480" w:firstLineChars="200"/>
        <w:jc w:val="both"/>
        <w:rPr>
          <w:color w:val="auto"/>
          <w:sz w:val="24"/>
        </w:rPr>
      </w:pPr>
      <w:r>
        <w:rPr>
          <w:rFonts w:hint="eastAsia"/>
          <w:color w:val="auto"/>
          <w:sz w:val="24"/>
          <w:lang w:val="en-US"/>
        </w:rPr>
        <w:t xml:space="preserve">3.1 </w:t>
      </w:r>
      <w:r>
        <w:rPr>
          <w:color w:val="auto"/>
          <w:sz w:val="24"/>
        </w:rPr>
        <w:t>采购人根据招标参数和技术要求等特点组建评标委员会，评标委员会由采购人、技术和其他有关方面专家组成。评标委员会负责对具备实质性响应的投标文件进行评</w:t>
      </w:r>
      <w:r>
        <w:rPr>
          <w:rFonts w:hint="eastAsia"/>
          <w:color w:val="auto"/>
          <w:sz w:val="24"/>
          <w:lang w:val="en-US" w:eastAsia="zh-CN"/>
        </w:rPr>
        <w:t>审</w:t>
      </w:r>
      <w:r>
        <w:rPr>
          <w:color w:val="auto"/>
          <w:sz w:val="24"/>
        </w:rPr>
        <w:t>和比较。</w:t>
      </w:r>
    </w:p>
    <w:p w14:paraId="48D82E41">
      <w:pPr>
        <w:pStyle w:val="39"/>
        <w:pageBreakBefore w:val="0"/>
        <w:tabs>
          <w:tab w:val="left" w:pos="1640"/>
        </w:tabs>
        <w:topLinePunct w:val="0"/>
        <w:bidi w:val="0"/>
        <w:spacing w:line="500" w:lineRule="exact"/>
        <w:ind w:left="0" w:leftChars="0" w:right="0" w:rightChars="0" w:firstLine="480" w:firstLineChars="200"/>
        <w:jc w:val="both"/>
        <w:rPr>
          <w:color w:val="auto"/>
          <w:sz w:val="24"/>
        </w:rPr>
      </w:pPr>
      <w:r>
        <w:rPr>
          <w:rFonts w:hint="eastAsia"/>
          <w:color w:val="auto"/>
          <w:sz w:val="24"/>
          <w:lang w:val="en-US"/>
        </w:rPr>
        <w:t xml:space="preserve">3.2 </w:t>
      </w:r>
      <w:r>
        <w:rPr>
          <w:color w:val="auto"/>
          <w:sz w:val="24"/>
        </w:rPr>
        <w:t>评标委员会采用“以能够最大限度满足招标文件中规定的各项综合评价标准进行综合打分”的方法，依次对各个</w:t>
      </w:r>
      <w:r>
        <w:rPr>
          <w:rFonts w:hint="eastAsia"/>
          <w:color w:val="auto"/>
          <w:sz w:val="24"/>
          <w:lang w:eastAsia="zh-CN"/>
        </w:rPr>
        <w:t>供应商</w:t>
      </w:r>
      <w:r>
        <w:rPr>
          <w:color w:val="auto"/>
          <w:sz w:val="24"/>
        </w:rPr>
        <w:t>进行评审。</w:t>
      </w:r>
    </w:p>
    <w:p w14:paraId="08139A1E">
      <w:pPr>
        <w:pStyle w:val="39"/>
        <w:pageBreakBefore w:val="0"/>
        <w:tabs>
          <w:tab w:val="left" w:pos="1640"/>
        </w:tabs>
        <w:topLinePunct w:val="0"/>
        <w:bidi w:val="0"/>
        <w:spacing w:line="500" w:lineRule="exact"/>
        <w:ind w:left="0" w:leftChars="0" w:right="0" w:rightChars="0" w:firstLine="480" w:firstLineChars="200"/>
        <w:jc w:val="both"/>
        <w:rPr>
          <w:color w:val="auto"/>
          <w:sz w:val="24"/>
        </w:rPr>
      </w:pPr>
      <w:r>
        <w:rPr>
          <w:rFonts w:hint="eastAsia"/>
          <w:color w:val="auto"/>
          <w:sz w:val="24"/>
          <w:lang w:val="en-US"/>
        </w:rPr>
        <w:t xml:space="preserve">3.3 </w:t>
      </w:r>
      <w:r>
        <w:rPr>
          <w:color w:val="auto"/>
          <w:sz w:val="24"/>
        </w:rPr>
        <w:t>评标原则</w:t>
      </w:r>
    </w:p>
    <w:p w14:paraId="2A952A92">
      <w:pPr>
        <w:pStyle w:val="12"/>
        <w:pageBreakBefore w:val="0"/>
        <w:topLinePunct w:val="0"/>
        <w:bidi w:val="0"/>
        <w:spacing w:line="500" w:lineRule="exact"/>
        <w:ind w:left="0" w:leftChars="0" w:right="0" w:rightChars="0" w:firstLine="480" w:firstLineChars="200"/>
        <w:rPr>
          <w:color w:val="auto"/>
        </w:rPr>
      </w:pPr>
      <w:r>
        <w:rPr>
          <w:color w:val="auto"/>
        </w:rPr>
        <w:t>严格按照招标文件的要求和内容进行评标，同时考虑以下因素：</w:t>
      </w:r>
    </w:p>
    <w:p w14:paraId="594EE8CB">
      <w:pPr>
        <w:pStyle w:val="39"/>
        <w:pageBreakBefore w:val="0"/>
        <w:tabs>
          <w:tab w:val="left" w:pos="1979"/>
        </w:tabs>
        <w:topLinePunct w:val="0"/>
        <w:bidi w:val="0"/>
        <w:spacing w:line="500" w:lineRule="exact"/>
        <w:ind w:left="0" w:leftChars="0" w:right="0" w:rightChars="0" w:firstLine="480" w:firstLineChars="200"/>
        <w:rPr>
          <w:color w:val="auto"/>
          <w:sz w:val="24"/>
        </w:rPr>
      </w:pPr>
      <w:r>
        <w:rPr>
          <w:rFonts w:hint="eastAsia"/>
          <w:color w:val="auto"/>
          <w:sz w:val="24"/>
          <w:lang w:val="en-US"/>
        </w:rPr>
        <w:t xml:space="preserve">3.3.1 </w:t>
      </w:r>
      <w:r>
        <w:rPr>
          <w:color w:val="auto"/>
          <w:sz w:val="24"/>
        </w:rPr>
        <w:t>投标产品质量；</w:t>
      </w:r>
    </w:p>
    <w:p w14:paraId="63E41B33">
      <w:pPr>
        <w:pStyle w:val="39"/>
        <w:pageBreakBefore w:val="0"/>
        <w:tabs>
          <w:tab w:val="left" w:pos="1979"/>
        </w:tabs>
        <w:topLinePunct w:val="0"/>
        <w:bidi w:val="0"/>
        <w:spacing w:line="500" w:lineRule="exact"/>
        <w:ind w:left="0" w:leftChars="0" w:right="0" w:rightChars="0" w:firstLine="480" w:firstLineChars="200"/>
        <w:rPr>
          <w:color w:val="auto"/>
          <w:sz w:val="24"/>
        </w:rPr>
      </w:pPr>
      <w:r>
        <w:rPr>
          <w:rFonts w:hint="eastAsia"/>
          <w:color w:val="auto"/>
          <w:sz w:val="24"/>
          <w:lang w:val="en-US"/>
        </w:rPr>
        <w:t xml:space="preserve">3.3.2 </w:t>
      </w:r>
      <w:r>
        <w:rPr>
          <w:color w:val="auto"/>
          <w:sz w:val="24"/>
        </w:rPr>
        <w:t>价格；</w:t>
      </w:r>
    </w:p>
    <w:p w14:paraId="7C73B10C">
      <w:pPr>
        <w:pStyle w:val="39"/>
        <w:pageBreakBefore w:val="0"/>
        <w:tabs>
          <w:tab w:val="left" w:pos="1979"/>
        </w:tabs>
        <w:topLinePunct w:val="0"/>
        <w:bidi w:val="0"/>
        <w:spacing w:line="500" w:lineRule="exact"/>
        <w:ind w:left="0" w:leftChars="0" w:right="0" w:rightChars="0" w:firstLine="480" w:firstLineChars="200"/>
        <w:rPr>
          <w:color w:val="auto"/>
          <w:sz w:val="24"/>
        </w:rPr>
      </w:pPr>
      <w:r>
        <w:rPr>
          <w:rFonts w:hint="eastAsia"/>
          <w:color w:val="auto"/>
          <w:sz w:val="24"/>
          <w:lang w:val="en-US"/>
        </w:rPr>
        <w:t xml:space="preserve">3.3.3 </w:t>
      </w:r>
      <w:r>
        <w:rPr>
          <w:color w:val="auto"/>
          <w:sz w:val="24"/>
        </w:rPr>
        <w:t>企业的资信及资质情况；</w:t>
      </w:r>
    </w:p>
    <w:p w14:paraId="3503A0F1">
      <w:pPr>
        <w:pStyle w:val="39"/>
        <w:pageBreakBefore w:val="0"/>
        <w:tabs>
          <w:tab w:val="left" w:pos="1979"/>
        </w:tabs>
        <w:topLinePunct w:val="0"/>
        <w:bidi w:val="0"/>
        <w:spacing w:line="500" w:lineRule="exact"/>
        <w:ind w:left="0" w:leftChars="0" w:right="0" w:rightChars="0" w:firstLine="480" w:firstLineChars="200"/>
        <w:rPr>
          <w:color w:val="auto"/>
          <w:sz w:val="24"/>
        </w:rPr>
      </w:pPr>
      <w:r>
        <w:rPr>
          <w:rFonts w:hint="eastAsia"/>
          <w:color w:val="auto"/>
          <w:sz w:val="24"/>
          <w:lang w:val="en-US"/>
        </w:rPr>
        <w:t xml:space="preserve">3.3.4 </w:t>
      </w:r>
      <w:r>
        <w:rPr>
          <w:color w:val="auto"/>
          <w:sz w:val="24"/>
        </w:rPr>
        <w:t>技术服务措施、质量保证措施，售后服务措施等；</w:t>
      </w:r>
    </w:p>
    <w:p w14:paraId="4FC15B77">
      <w:pPr>
        <w:pStyle w:val="39"/>
        <w:pageBreakBefore w:val="0"/>
        <w:tabs>
          <w:tab w:val="left" w:pos="1979"/>
        </w:tabs>
        <w:topLinePunct w:val="0"/>
        <w:bidi w:val="0"/>
        <w:spacing w:line="500" w:lineRule="exact"/>
        <w:ind w:left="0" w:leftChars="0" w:right="0" w:rightChars="0" w:firstLine="480" w:firstLineChars="200"/>
        <w:rPr>
          <w:color w:val="auto"/>
          <w:sz w:val="24"/>
        </w:rPr>
      </w:pPr>
      <w:r>
        <w:rPr>
          <w:rFonts w:hint="eastAsia"/>
          <w:color w:val="auto"/>
          <w:sz w:val="24"/>
          <w:lang w:val="en-US"/>
        </w:rPr>
        <w:t>3.3.5</w:t>
      </w:r>
      <w:r>
        <w:rPr>
          <w:rFonts w:hint="eastAsia"/>
          <w:color w:val="auto"/>
          <w:sz w:val="24"/>
          <w:lang w:val="en-US" w:eastAsia="zh-CN"/>
        </w:rPr>
        <w:t xml:space="preserve"> </w:t>
      </w:r>
      <w:r>
        <w:rPr>
          <w:color w:val="auto"/>
          <w:sz w:val="24"/>
        </w:rPr>
        <w:t>投标方案说明；</w:t>
      </w:r>
    </w:p>
    <w:p w14:paraId="1F44ABBD">
      <w:pPr>
        <w:pStyle w:val="39"/>
        <w:pageBreakBefore w:val="0"/>
        <w:tabs>
          <w:tab w:val="left" w:pos="1979"/>
        </w:tabs>
        <w:topLinePunct w:val="0"/>
        <w:bidi w:val="0"/>
        <w:spacing w:line="500" w:lineRule="exact"/>
        <w:ind w:left="0" w:leftChars="0" w:right="0" w:rightChars="0" w:firstLine="480" w:firstLineChars="200"/>
        <w:rPr>
          <w:color w:val="auto"/>
          <w:sz w:val="24"/>
        </w:rPr>
      </w:pPr>
      <w:r>
        <w:rPr>
          <w:rFonts w:hint="eastAsia"/>
          <w:color w:val="auto"/>
          <w:sz w:val="24"/>
          <w:lang w:val="en-US"/>
        </w:rPr>
        <w:t>3.3.6</w:t>
      </w:r>
      <w:r>
        <w:rPr>
          <w:rFonts w:hint="eastAsia"/>
          <w:color w:val="auto"/>
          <w:sz w:val="24"/>
          <w:lang w:val="en-US" w:eastAsia="zh-CN"/>
        </w:rPr>
        <w:t xml:space="preserve"> </w:t>
      </w:r>
      <w:r>
        <w:rPr>
          <w:color w:val="auto"/>
          <w:sz w:val="24"/>
        </w:rPr>
        <w:t>供货期及交货方式；</w:t>
      </w:r>
    </w:p>
    <w:p w14:paraId="452C0750">
      <w:pPr>
        <w:pStyle w:val="39"/>
        <w:pageBreakBefore w:val="0"/>
        <w:tabs>
          <w:tab w:val="left" w:pos="1640"/>
        </w:tabs>
        <w:topLinePunct w:val="0"/>
        <w:bidi w:val="0"/>
        <w:spacing w:line="500" w:lineRule="exact"/>
        <w:ind w:left="0" w:leftChars="0" w:right="0" w:rightChars="0" w:firstLine="480" w:firstLineChars="200"/>
        <w:rPr>
          <w:color w:val="auto"/>
          <w:sz w:val="24"/>
        </w:rPr>
      </w:pPr>
      <w:r>
        <w:rPr>
          <w:rFonts w:hint="eastAsia"/>
          <w:color w:val="auto"/>
          <w:sz w:val="24"/>
          <w:lang w:val="en-US"/>
        </w:rPr>
        <w:t xml:space="preserve">3.4 </w:t>
      </w:r>
      <w:r>
        <w:rPr>
          <w:color w:val="auto"/>
          <w:sz w:val="24"/>
        </w:rPr>
        <w:t>评标办法</w:t>
      </w:r>
    </w:p>
    <w:p w14:paraId="49340339">
      <w:pPr>
        <w:pStyle w:val="39"/>
        <w:pageBreakBefore w:val="0"/>
        <w:tabs>
          <w:tab w:val="left" w:pos="1880"/>
        </w:tabs>
        <w:topLinePunct w:val="0"/>
        <w:bidi w:val="0"/>
        <w:spacing w:line="500" w:lineRule="exact"/>
        <w:ind w:left="0" w:leftChars="0" w:right="0" w:rightChars="0" w:firstLine="480" w:firstLineChars="200"/>
        <w:rPr>
          <w:color w:val="auto"/>
          <w:sz w:val="24"/>
        </w:rPr>
      </w:pPr>
      <w:r>
        <w:rPr>
          <w:rFonts w:hint="eastAsia"/>
          <w:color w:val="auto"/>
          <w:sz w:val="24"/>
          <w:lang w:val="en-US"/>
        </w:rPr>
        <w:t xml:space="preserve">3.4.1 </w:t>
      </w:r>
      <w:r>
        <w:rPr>
          <w:color w:val="auto"/>
          <w:sz w:val="24"/>
        </w:rPr>
        <w:t>评标委员会评审投标文件符合性只根据投标文件本身的内容，而不寻求其他外部证据。</w:t>
      </w:r>
    </w:p>
    <w:p w14:paraId="17EB8570">
      <w:pPr>
        <w:pStyle w:val="39"/>
        <w:pageBreakBefore w:val="0"/>
        <w:tabs>
          <w:tab w:val="left" w:pos="1880"/>
        </w:tabs>
        <w:topLinePunct w:val="0"/>
        <w:bidi w:val="0"/>
        <w:spacing w:line="500" w:lineRule="exact"/>
        <w:ind w:left="0" w:leftChars="0" w:right="0" w:rightChars="0" w:firstLine="480" w:firstLineChars="200"/>
        <w:rPr>
          <w:color w:val="auto"/>
          <w:sz w:val="24"/>
        </w:rPr>
      </w:pPr>
      <w:r>
        <w:rPr>
          <w:rFonts w:hint="eastAsia"/>
          <w:color w:val="auto"/>
          <w:sz w:val="24"/>
          <w:lang w:val="en-US"/>
        </w:rPr>
        <w:t xml:space="preserve">3.4.2 </w:t>
      </w:r>
      <w:r>
        <w:rPr>
          <w:color w:val="auto"/>
          <w:sz w:val="24"/>
        </w:rPr>
        <w:t>评标采取逐项分步评审方式，每一步评审不符合者，不进入下一步评审，全部评审合格的</w:t>
      </w:r>
      <w:r>
        <w:rPr>
          <w:rFonts w:hint="eastAsia"/>
          <w:color w:val="auto"/>
          <w:sz w:val="24"/>
          <w:lang w:eastAsia="zh-CN"/>
        </w:rPr>
        <w:t>供应商</w:t>
      </w:r>
      <w:r>
        <w:rPr>
          <w:color w:val="auto"/>
          <w:sz w:val="24"/>
        </w:rPr>
        <w:t>进行最后的综合评审和打分，按最后得分由高向低排序，推荐中标候选人。</w:t>
      </w:r>
    </w:p>
    <w:p w14:paraId="263E0DA8">
      <w:pPr>
        <w:pStyle w:val="39"/>
        <w:pageBreakBefore w:val="0"/>
        <w:tabs>
          <w:tab w:val="left" w:pos="1880"/>
        </w:tabs>
        <w:topLinePunct w:val="0"/>
        <w:bidi w:val="0"/>
        <w:spacing w:line="500" w:lineRule="exact"/>
        <w:ind w:left="0" w:leftChars="0" w:right="0" w:rightChars="0" w:firstLine="480" w:firstLineChars="200"/>
        <w:rPr>
          <w:color w:val="auto"/>
          <w:sz w:val="24"/>
        </w:rPr>
      </w:pPr>
      <w:r>
        <w:rPr>
          <w:rFonts w:hint="eastAsia"/>
          <w:color w:val="auto"/>
          <w:sz w:val="24"/>
          <w:lang w:val="en-US"/>
        </w:rPr>
        <w:t xml:space="preserve">3.4.3 </w:t>
      </w:r>
      <w:r>
        <w:rPr>
          <w:color w:val="auto"/>
          <w:sz w:val="24"/>
        </w:rPr>
        <w:t>其他需说明的情况：</w:t>
      </w:r>
    </w:p>
    <w:p w14:paraId="0AEBF2A5">
      <w:pPr>
        <w:pStyle w:val="12"/>
        <w:pageBreakBefore w:val="0"/>
        <w:topLinePunct w:val="0"/>
        <w:bidi w:val="0"/>
        <w:spacing w:line="500" w:lineRule="exact"/>
        <w:ind w:left="0" w:leftChars="0" w:right="0" w:rightChars="0" w:firstLine="480" w:firstLineChars="200"/>
        <w:rPr>
          <w:color w:val="auto"/>
        </w:rPr>
      </w:pPr>
      <w:r>
        <w:rPr>
          <w:color w:val="auto"/>
        </w:rPr>
        <w:t>a</w:t>
      </w:r>
      <w:r>
        <w:rPr>
          <w:rFonts w:hint="eastAsia"/>
          <w:color w:val="auto"/>
          <w:lang w:eastAsia="zh-CN"/>
        </w:rPr>
        <w:t>.</w:t>
      </w:r>
      <w:r>
        <w:rPr>
          <w:color w:val="auto"/>
        </w:rPr>
        <w:t>对于投标文件中不构成实质性偏差的，采购人可以接受，但这种接受不能损害或影响任何</w:t>
      </w:r>
      <w:r>
        <w:rPr>
          <w:rFonts w:hint="eastAsia"/>
          <w:color w:val="auto"/>
          <w:lang w:eastAsia="zh-CN"/>
        </w:rPr>
        <w:t>供应商</w:t>
      </w:r>
      <w:r>
        <w:rPr>
          <w:color w:val="auto"/>
        </w:rPr>
        <w:t>的相对排序；</w:t>
      </w:r>
    </w:p>
    <w:p w14:paraId="186580AA">
      <w:pPr>
        <w:pStyle w:val="12"/>
        <w:pageBreakBefore w:val="0"/>
        <w:topLinePunct w:val="0"/>
        <w:bidi w:val="0"/>
        <w:spacing w:line="500" w:lineRule="exact"/>
        <w:ind w:left="0" w:leftChars="0" w:right="0" w:rightChars="0" w:firstLine="480" w:firstLineChars="200"/>
        <w:rPr>
          <w:color w:val="auto"/>
        </w:rPr>
      </w:pPr>
      <w:r>
        <w:rPr>
          <w:color w:val="auto"/>
        </w:rPr>
        <w:t>b</w:t>
      </w:r>
      <w:r>
        <w:rPr>
          <w:rFonts w:hint="eastAsia"/>
          <w:color w:val="auto"/>
          <w:lang w:eastAsia="zh-CN"/>
        </w:rPr>
        <w:t>.</w:t>
      </w:r>
      <w:r>
        <w:rPr>
          <w:color w:val="auto"/>
        </w:rPr>
        <w:t>最低报价不是中标的唯一条件；</w:t>
      </w:r>
    </w:p>
    <w:p w14:paraId="41A8DE49">
      <w:pPr>
        <w:pStyle w:val="12"/>
        <w:pageBreakBefore w:val="0"/>
        <w:topLinePunct w:val="0"/>
        <w:bidi w:val="0"/>
        <w:spacing w:line="500" w:lineRule="exact"/>
        <w:ind w:left="0" w:leftChars="0" w:right="0" w:rightChars="0" w:firstLine="480" w:firstLineChars="200"/>
        <w:rPr>
          <w:color w:val="auto"/>
        </w:rPr>
      </w:pPr>
      <w:r>
        <w:rPr>
          <w:color w:val="auto"/>
        </w:rPr>
        <w:t>c</w:t>
      </w:r>
      <w:r>
        <w:rPr>
          <w:rFonts w:hint="eastAsia"/>
          <w:color w:val="auto"/>
          <w:lang w:eastAsia="zh-CN"/>
        </w:rPr>
        <w:t>.</w:t>
      </w:r>
      <w:r>
        <w:rPr>
          <w:color w:val="auto"/>
        </w:rPr>
        <w:t>如果投标实质上没有响应招标文件的要求，其投标将被拒绝，</w:t>
      </w:r>
      <w:r>
        <w:rPr>
          <w:rFonts w:hint="eastAsia"/>
          <w:color w:val="auto"/>
          <w:lang w:eastAsia="zh-CN"/>
        </w:rPr>
        <w:t>供应商</w:t>
      </w:r>
      <w:r>
        <w:rPr>
          <w:color w:val="auto"/>
        </w:rPr>
        <w:t>不得通过修正或撤消</w:t>
      </w:r>
      <w:r>
        <w:rPr>
          <w:rFonts w:hint="eastAsia"/>
          <w:color w:val="auto"/>
          <w:lang w:eastAsia="zh-CN"/>
        </w:rPr>
        <w:t>不符</w:t>
      </w:r>
      <w:r>
        <w:rPr>
          <w:color w:val="auto"/>
        </w:rPr>
        <w:t>合要求的偏离或保留从而使其投标成为实质上响应的投标。</w:t>
      </w:r>
    </w:p>
    <w:p w14:paraId="3689E0EC">
      <w:pPr>
        <w:pStyle w:val="12"/>
        <w:pageBreakBefore w:val="0"/>
        <w:topLinePunct w:val="0"/>
        <w:bidi w:val="0"/>
        <w:spacing w:line="500" w:lineRule="exact"/>
        <w:ind w:left="0" w:leftChars="0" w:right="0" w:rightChars="0" w:firstLine="480" w:firstLineChars="200"/>
        <w:rPr>
          <w:color w:val="auto"/>
        </w:rPr>
      </w:pPr>
      <w:r>
        <w:rPr>
          <w:color w:val="auto"/>
        </w:rPr>
        <w:t>d</w:t>
      </w:r>
      <w:r>
        <w:rPr>
          <w:rFonts w:hint="eastAsia"/>
          <w:color w:val="auto"/>
          <w:lang w:eastAsia="zh-CN"/>
        </w:rPr>
        <w:t>.</w:t>
      </w:r>
      <w:r>
        <w:rPr>
          <w:color w:val="auto"/>
        </w:rPr>
        <w:t>无论投标的结果如何，投标期间一切费用自理。</w:t>
      </w:r>
    </w:p>
    <w:p w14:paraId="3597D90E">
      <w:pPr>
        <w:pStyle w:val="21"/>
        <w:pageBreakBefore w:val="0"/>
        <w:topLinePunct w:val="0"/>
        <w:bidi w:val="0"/>
        <w:spacing w:line="500" w:lineRule="exact"/>
        <w:ind w:left="0" w:leftChars="0" w:right="0" w:rightChars="0" w:firstLine="480" w:firstLineChars="200"/>
        <w:rPr>
          <w:color w:val="auto"/>
        </w:rPr>
      </w:pPr>
      <w:r>
        <w:rPr>
          <w:rFonts w:hint="eastAsia"/>
          <w:color w:val="auto"/>
          <w:lang w:val="en-US"/>
        </w:rPr>
        <w:t>3.5</w:t>
      </w:r>
      <w:r>
        <w:rPr>
          <w:color w:val="auto"/>
        </w:rPr>
        <w:t>评议内容及赋分方式：</w:t>
      </w:r>
      <w:bookmarkStart w:id="9" w:name="_Toc24934"/>
    </w:p>
    <w:p w14:paraId="173A82F1">
      <w:pPr>
        <w:pStyle w:val="7"/>
        <w:pageBreakBefore w:val="0"/>
        <w:topLinePunct w:val="0"/>
        <w:bidi w:val="0"/>
        <w:spacing w:line="500" w:lineRule="exact"/>
        <w:ind w:left="0" w:leftChars="0" w:right="0" w:rightChars="0" w:firstLine="482" w:firstLineChars="200"/>
        <w:rPr>
          <w:color w:val="auto"/>
        </w:rPr>
      </w:pPr>
      <w:r>
        <w:rPr>
          <w:rFonts w:hint="eastAsia"/>
          <w:color w:val="auto"/>
        </w:rPr>
        <w:t>（一）初步审查要素表</w:t>
      </w:r>
      <w:bookmarkEnd w:id="9"/>
    </w:p>
    <w:tbl>
      <w:tblPr>
        <w:tblStyle w:val="23"/>
        <w:tblW w:w="10644" w:type="dxa"/>
        <w:tblInd w:w="-3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8"/>
        <w:gridCol w:w="840"/>
        <w:gridCol w:w="2677"/>
        <w:gridCol w:w="6539"/>
      </w:tblGrid>
      <w:tr w14:paraId="59D0E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blHeader/>
        </w:trPr>
        <w:tc>
          <w:tcPr>
            <w:tcW w:w="1428" w:type="dxa"/>
            <w:gridSpan w:val="2"/>
            <w:tcBorders>
              <w:top w:val="single" w:color="auto" w:sz="4" w:space="0"/>
              <w:left w:val="single" w:color="auto" w:sz="4" w:space="0"/>
              <w:right w:val="single" w:color="auto" w:sz="4" w:space="0"/>
            </w:tcBorders>
            <w:vAlign w:val="center"/>
          </w:tcPr>
          <w:p w14:paraId="379D8574">
            <w:pPr>
              <w:pageBreakBefore w:val="0"/>
              <w:widowControl/>
              <w:topLinePunct w:val="0"/>
              <w:bidi w:val="0"/>
              <w:spacing w:line="500" w:lineRule="exact"/>
              <w:ind w:left="0" w:leftChars="0" w:right="0" w:rightChars="0" w:firstLine="422" w:firstLineChars="200"/>
              <w:jc w:val="center"/>
              <w:rPr>
                <w:rFonts w:hint="eastAsia" w:ascii="宋体" w:hAnsi="宋体"/>
                <w:b/>
                <w:bCs/>
                <w:color w:val="auto"/>
                <w:sz w:val="21"/>
                <w:szCs w:val="21"/>
                <w:lang w:val="en-US" w:eastAsia="zh-CN"/>
              </w:rPr>
            </w:pPr>
            <w:r>
              <w:rPr>
                <w:rFonts w:hint="eastAsia" w:ascii="宋体" w:hAnsi="宋体"/>
                <w:b/>
                <w:bCs/>
                <w:color w:val="auto"/>
                <w:sz w:val="21"/>
                <w:szCs w:val="21"/>
                <w:lang w:val="en-US" w:eastAsia="zh-CN"/>
              </w:rPr>
              <w:t>条款号</w:t>
            </w:r>
          </w:p>
        </w:tc>
        <w:tc>
          <w:tcPr>
            <w:tcW w:w="2677" w:type="dxa"/>
            <w:tcBorders>
              <w:top w:val="single" w:color="auto" w:sz="4" w:space="0"/>
              <w:left w:val="single" w:color="auto" w:sz="4" w:space="0"/>
              <w:right w:val="single" w:color="auto" w:sz="4" w:space="0"/>
            </w:tcBorders>
            <w:vAlign w:val="center"/>
          </w:tcPr>
          <w:p w14:paraId="18797C65">
            <w:pPr>
              <w:pageBreakBefore w:val="0"/>
              <w:widowControl/>
              <w:topLinePunct w:val="0"/>
              <w:bidi w:val="0"/>
              <w:spacing w:line="500" w:lineRule="exact"/>
              <w:ind w:left="0" w:leftChars="0" w:right="0" w:rightChars="0" w:firstLine="422" w:firstLineChars="200"/>
              <w:jc w:val="center"/>
              <w:rPr>
                <w:rFonts w:hint="eastAsia" w:ascii="宋体" w:hAnsi="宋体"/>
                <w:b/>
                <w:bCs/>
                <w:color w:val="auto"/>
                <w:sz w:val="21"/>
                <w:szCs w:val="21"/>
                <w:lang w:val="en-US" w:eastAsia="zh-CN"/>
              </w:rPr>
            </w:pPr>
            <w:r>
              <w:rPr>
                <w:rFonts w:hint="eastAsia" w:ascii="宋体" w:hAnsi="宋体"/>
                <w:b/>
                <w:bCs/>
                <w:color w:val="auto"/>
                <w:sz w:val="21"/>
                <w:szCs w:val="21"/>
                <w:lang w:val="en-US" w:eastAsia="zh-CN"/>
              </w:rPr>
              <w:t>评审因素</w:t>
            </w:r>
          </w:p>
        </w:tc>
        <w:tc>
          <w:tcPr>
            <w:tcW w:w="6539" w:type="dxa"/>
            <w:tcBorders>
              <w:top w:val="single" w:color="auto" w:sz="4" w:space="0"/>
              <w:left w:val="single" w:color="auto" w:sz="4" w:space="0"/>
              <w:bottom w:val="single" w:color="auto" w:sz="4" w:space="0"/>
              <w:right w:val="single" w:color="auto" w:sz="4" w:space="0"/>
            </w:tcBorders>
            <w:vAlign w:val="center"/>
          </w:tcPr>
          <w:p w14:paraId="52C5723F">
            <w:pPr>
              <w:pageBreakBefore w:val="0"/>
              <w:widowControl/>
              <w:topLinePunct w:val="0"/>
              <w:bidi w:val="0"/>
              <w:spacing w:line="500" w:lineRule="exact"/>
              <w:ind w:left="0" w:leftChars="0" w:right="0" w:rightChars="0" w:firstLine="422" w:firstLineChars="200"/>
              <w:jc w:val="center"/>
              <w:rPr>
                <w:rFonts w:hint="eastAsia" w:ascii="宋体" w:hAnsi="宋体"/>
                <w:b/>
                <w:bCs/>
                <w:color w:val="auto"/>
                <w:sz w:val="21"/>
                <w:szCs w:val="21"/>
                <w:lang w:val="en-US" w:eastAsia="zh-CN"/>
              </w:rPr>
            </w:pPr>
            <w:r>
              <w:rPr>
                <w:rFonts w:hint="eastAsia" w:ascii="宋体" w:hAnsi="宋体"/>
                <w:b/>
                <w:bCs/>
                <w:color w:val="auto"/>
                <w:sz w:val="21"/>
                <w:szCs w:val="21"/>
                <w:lang w:val="en-US" w:eastAsia="zh-CN"/>
              </w:rPr>
              <w:t>评审标准</w:t>
            </w:r>
          </w:p>
        </w:tc>
      </w:tr>
      <w:tr w14:paraId="34C1A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588" w:type="dxa"/>
            <w:vMerge w:val="restart"/>
            <w:tcBorders>
              <w:top w:val="single" w:color="auto" w:sz="4" w:space="0"/>
              <w:left w:val="single" w:color="auto" w:sz="4" w:space="0"/>
              <w:right w:val="single" w:color="auto" w:sz="4" w:space="0"/>
            </w:tcBorders>
            <w:vAlign w:val="center"/>
          </w:tcPr>
          <w:p w14:paraId="03B6C091">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1.1</w:t>
            </w:r>
          </w:p>
        </w:tc>
        <w:tc>
          <w:tcPr>
            <w:tcW w:w="840" w:type="dxa"/>
            <w:vMerge w:val="restart"/>
            <w:tcBorders>
              <w:top w:val="single" w:color="auto" w:sz="4" w:space="0"/>
              <w:left w:val="single" w:color="auto" w:sz="4" w:space="0"/>
              <w:right w:val="single" w:color="auto" w:sz="4" w:space="0"/>
            </w:tcBorders>
            <w:vAlign w:val="center"/>
          </w:tcPr>
          <w:p w14:paraId="4A452ADA">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资格评审标准</w:t>
            </w:r>
          </w:p>
        </w:tc>
        <w:tc>
          <w:tcPr>
            <w:tcW w:w="2677" w:type="dxa"/>
            <w:tcBorders>
              <w:top w:val="single" w:color="auto" w:sz="4" w:space="0"/>
              <w:left w:val="single" w:color="auto" w:sz="4" w:space="0"/>
              <w:right w:val="single" w:color="auto" w:sz="4" w:space="0"/>
            </w:tcBorders>
            <w:vAlign w:val="center"/>
          </w:tcPr>
          <w:p w14:paraId="648BD82B">
            <w:pPr>
              <w:pageBreakBefore w:val="0"/>
              <w:widowControl/>
              <w:topLinePunct w:val="0"/>
              <w:bidi w:val="0"/>
              <w:spacing w:line="500" w:lineRule="exact"/>
              <w:ind w:right="0" w:rightChars="0"/>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有效的主体资格证明</w:t>
            </w:r>
          </w:p>
        </w:tc>
        <w:tc>
          <w:tcPr>
            <w:tcW w:w="6539" w:type="dxa"/>
            <w:tcBorders>
              <w:top w:val="single" w:color="auto" w:sz="4" w:space="0"/>
              <w:left w:val="single" w:color="auto" w:sz="4" w:space="0"/>
              <w:bottom w:val="single" w:color="auto" w:sz="4" w:space="0"/>
              <w:right w:val="single" w:color="auto" w:sz="4" w:space="0"/>
            </w:tcBorders>
            <w:vAlign w:val="center"/>
          </w:tcPr>
          <w:p w14:paraId="115B3AF8">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具有独立承担民事责任的能力，提供营业执照、税务登记证、组织机构代码证或登载有统一社会信用代码的营业执照（或《事业单位法人证书》或其他合法组织登记证书、自然人只须提供身份证）</w:t>
            </w:r>
            <w:r>
              <w:rPr>
                <w:rFonts w:hint="eastAsia"/>
                <w:color w:val="auto"/>
                <w:sz w:val="21"/>
                <w:szCs w:val="21"/>
                <w:lang w:val="en-US" w:eastAsia="zh-CN"/>
              </w:rPr>
              <w:t>。</w:t>
            </w:r>
          </w:p>
        </w:tc>
      </w:tr>
      <w:tr w14:paraId="2BBF3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8" w:type="dxa"/>
            <w:vMerge w:val="continue"/>
            <w:tcBorders>
              <w:left w:val="single" w:color="auto" w:sz="4" w:space="0"/>
              <w:right w:val="single" w:color="auto" w:sz="4" w:space="0"/>
            </w:tcBorders>
            <w:vAlign w:val="center"/>
          </w:tcPr>
          <w:p w14:paraId="42D0DE08">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840" w:type="dxa"/>
            <w:vMerge w:val="continue"/>
            <w:tcBorders>
              <w:left w:val="single" w:color="auto" w:sz="4" w:space="0"/>
              <w:right w:val="single" w:color="auto" w:sz="4" w:space="0"/>
            </w:tcBorders>
            <w:vAlign w:val="center"/>
          </w:tcPr>
          <w:p w14:paraId="4D37677C">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2677" w:type="dxa"/>
            <w:tcBorders>
              <w:top w:val="single" w:color="auto" w:sz="4" w:space="0"/>
              <w:left w:val="single" w:color="auto" w:sz="4" w:space="0"/>
              <w:bottom w:val="single" w:color="auto" w:sz="4" w:space="0"/>
              <w:right w:val="single" w:color="auto" w:sz="4" w:space="0"/>
            </w:tcBorders>
            <w:vAlign w:val="center"/>
          </w:tcPr>
          <w:p w14:paraId="3CF4207C">
            <w:pPr>
              <w:pageBreakBefore w:val="0"/>
              <w:widowControl/>
              <w:topLinePunct w:val="0"/>
              <w:bidi w:val="0"/>
              <w:spacing w:line="500" w:lineRule="exact"/>
              <w:ind w:right="0" w:rightChars="0"/>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法定代表人身份证明或法定代表人授权书</w:t>
            </w:r>
          </w:p>
        </w:tc>
        <w:tc>
          <w:tcPr>
            <w:tcW w:w="6539" w:type="dxa"/>
            <w:tcBorders>
              <w:top w:val="single" w:color="auto" w:sz="4" w:space="0"/>
              <w:left w:val="single" w:color="auto" w:sz="4" w:space="0"/>
              <w:bottom w:val="single" w:color="auto" w:sz="4" w:space="0"/>
              <w:right w:val="single" w:color="auto" w:sz="4" w:space="0"/>
            </w:tcBorders>
            <w:vAlign w:val="center"/>
          </w:tcPr>
          <w:p w14:paraId="685755FB">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法定代表人参加投标的，提供本人身份证；法定代表人授权他人参加投标的，提供法定代表人委托授权书并出示被授权代</w:t>
            </w:r>
            <w:r>
              <w:rPr>
                <w:rFonts w:hint="eastAsia"/>
                <w:color w:val="auto"/>
                <w:sz w:val="21"/>
                <w:szCs w:val="21"/>
                <w:lang w:val="en-US" w:eastAsia="zh-CN"/>
              </w:rPr>
              <w:t>表人</w:t>
            </w:r>
            <w:r>
              <w:rPr>
                <w:rFonts w:hint="eastAsia" w:ascii="宋体" w:hAnsi="宋体"/>
                <w:color w:val="auto"/>
                <w:sz w:val="21"/>
                <w:szCs w:val="21"/>
                <w:lang w:val="en-US" w:eastAsia="zh-CN"/>
              </w:rPr>
              <w:t>的身份证</w:t>
            </w:r>
            <w:r>
              <w:rPr>
                <w:rFonts w:hint="eastAsia"/>
                <w:color w:val="auto"/>
                <w:sz w:val="21"/>
                <w:szCs w:val="21"/>
                <w:lang w:val="en-US" w:eastAsia="zh-CN"/>
              </w:rPr>
              <w:t>。</w:t>
            </w:r>
          </w:p>
        </w:tc>
      </w:tr>
      <w:tr w14:paraId="4FD1C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588" w:type="dxa"/>
            <w:vMerge w:val="continue"/>
            <w:tcBorders>
              <w:left w:val="single" w:color="auto" w:sz="4" w:space="0"/>
              <w:right w:val="single" w:color="auto" w:sz="4" w:space="0"/>
            </w:tcBorders>
            <w:vAlign w:val="center"/>
          </w:tcPr>
          <w:p w14:paraId="58AA7B29">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840" w:type="dxa"/>
            <w:vMerge w:val="continue"/>
            <w:tcBorders>
              <w:left w:val="single" w:color="auto" w:sz="4" w:space="0"/>
              <w:right w:val="single" w:color="auto" w:sz="4" w:space="0"/>
            </w:tcBorders>
            <w:vAlign w:val="center"/>
          </w:tcPr>
          <w:p w14:paraId="64FF5115">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2677" w:type="dxa"/>
            <w:tcBorders>
              <w:top w:val="single" w:color="auto" w:sz="4" w:space="0"/>
              <w:left w:val="single" w:color="auto" w:sz="4" w:space="0"/>
              <w:right w:val="single" w:color="auto" w:sz="4" w:space="0"/>
            </w:tcBorders>
            <w:vAlign w:val="center"/>
          </w:tcPr>
          <w:p w14:paraId="38198BA7">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r>
              <w:rPr>
                <w:rFonts w:hint="eastAsia" w:ascii="宋体" w:hAnsi="宋体"/>
                <w:color w:val="auto"/>
                <w:sz w:val="21"/>
                <w:szCs w:val="21"/>
                <w:lang w:val="en-US" w:eastAsia="zh-CN"/>
              </w:rPr>
              <w:t>特定资格证明材料</w:t>
            </w:r>
          </w:p>
        </w:tc>
        <w:tc>
          <w:tcPr>
            <w:tcW w:w="6539" w:type="dxa"/>
            <w:tcBorders>
              <w:top w:val="single" w:color="auto" w:sz="4" w:space="0"/>
              <w:left w:val="single" w:color="auto" w:sz="4" w:space="0"/>
              <w:bottom w:val="single" w:color="auto" w:sz="4" w:space="0"/>
              <w:right w:val="single" w:color="auto" w:sz="4" w:space="0"/>
            </w:tcBorders>
            <w:vAlign w:val="center"/>
          </w:tcPr>
          <w:p w14:paraId="72A30353">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b/>
                <w:bCs/>
                <w:color w:val="auto"/>
                <w:sz w:val="21"/>
                <w:szCs w:val="21"/>
                <w:lang w:val="en-US" w:eastAsia="zh-CN"/>
              </w:rPr>
              <w:t>合同包1：</w:t>
            </w:r>
            <w:r>
              <w:rPr>
                <w:rFonts w:hint="eastAsia" w:ascii="宋体" w:hAnsi="宋体"/>
                <w:color w:val="auto"/>
                <w:sz w:val="21"/>
                <w:szCs w:val="21"/>
                <w:lang w:val="en-US" w:eastAsia="zh-CN"/>
              </w:rPr>
              <w:t>供应商若为生产厂家的须提供《食品生产许可证》；供应商为代理商的须提供《食品经营许可证》或《陕西省仅销售预包装食品经营者备案表》，并提供生产厂家的《食品生产许可证》（复印件加盖生产厂家公章）</w:t>
            </w:r>
            <w:r>
              <w:rPr>
                <w:rFonts w:hint="eastAsia"/>
                <w:color w:val="auto"/>
                <w:sz w:val="21"/>
                <w:szCs w:val="21"/>
                <w:lang w:val="en-US" w:eastAsia="zh-CN"/>
              </w:rPr>
              <w:t>。</w:t>
            </w:r>
          </w:p>
          <w:p w14:paraId="642941EB">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b/>
                <w:bCs/>
                <w:color w:val="auto"/>
                <w:sz w:val="21"/>
                <w:szCs w:val="21"/>
                <w:lang w:val="en-US" w:eastAsia="zh-CN"/>
              </w:rPr>
              <w:t>合同包2</w:t>
            </w:r>
            <w:r>
              <w:rPr>
                <w:rFonts w:hint="eastAsia"/>
                <w:b/>
                <w:bCs/>
                <w:color w:val="auto"/>
                <w:sz w:val="21"/>
                <w:szCs w:val="21"/>
                <w:lang w:val="en-US" w:eastAsia="zh-CN"/>
              </w:rPr>
              <w:t>和合同包3</w:t>
            </w:r>
            <w:r>
              <w:rPr>
                <w:rFonts w:hint="eastAsia" w:ascii="宋体" w:hAnsi="宋体"/>
                <w:b/>
                <w:bCs/>
                <w:color w:val="auto"/>
                <w:sz w:val="21"/>
                <w:szCs w:val="21"/>
                <w:lang w:val="en-US" w:eastAsia="zh-CN"/>
              </w:rPr>
              <w:t>：</w:t>
            </w:r>
            <w:r>
              <w:rPr>
                <w:rFonts w:hint="eastAsia"/>
                <w:color w:val="auto"/>
                <w:sz w:val="21"/>
                <w:szCs w:val="21"/>
                <w:lang w:val="zh-CN" w:eastAsia="zh-CN"/>
              </w:rPr>
              <w:t>供应商若为生产厂家的须提供《生猪定点屠宰证》和《动物防疫条件合格证》；厂家属地实行牛羊定点屠宰的附加《畜禽定点屠宰证书》，厂家属地不核发牛羊定点屠宰证则提供属地政策佐证替代；供应商若为代理商的须提供《食品经营许可证》和《陕西省生鲜肉经营备案表》并附生产厂家对应资质复印件（厂家盖章），厂家属地不核发牛羊定点屠宰证的，一并附厂家属地政策佐证。</w:t>
            </w:r>
          </w:p>
        </w:tc>
      </w:tr>
      <w:tr w14:paraId="31C8D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88" w:type="dxa"/>
            <w:vMerge w:val="continue"/>
            <w:tcBorders>
              <w:left w:val="single" w:color="auto" w:sz="4" w:space="0"/>
              <w:right w:val="single" w:color="auto" w:sz="4" w:space="0"/>
            </w:tcBorders>
            <w:vAlign w:val="center"/>
          </w:tcPr>
          <w:p w14:paraId="2D48EC44">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840" w:type="dxa"/>
            <w:vMerge w:val="continue"/>
            <w:tcBorders>
              <w:left w:val="single" w:color="auto" w:sz="4" w:space="0"/>
              <w:right w:val="single" w:color="auto" w:sz="4" w:space="0"/>
            </w:tcBorders>
            <w:vAlign w:val="center"/>
          </w:tcPr>
          <w:p w14:paraId="61363CBA">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2677" w:type="dxa"/>
            <w:tcBorders>
              <w:top w:val="single" w:color="auto" w:sz="4" w:space="0"/>
              <w:left w:val="single" w:color="auto" w:sz="4" w:space="0"/>
              <w:bottom w:val="single" w:color="auto" w:sz="4" w:space="0"/>
              <w:right w:val="single" w:color="auto" w:sz="4" w:space="0"/>
            </w:tcBorders>
            <w:vAlign w:val="center"/>
          </w:tcPr>
          <w:p w14:paraId="23CD8FE1">
            <w:pPr>
              <w:pageBreakBefore w:val="0"/>
              <w:widowControl/>
              <w:topLinePunct w:val="0"/>
              <w:bidi w:val="0"/>
              <w:spacing w:line="500" w:lineRule="exact"/>
              <w:ind w:right="0" w:rightChars="0"/>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财务状况报告</w:t>
            </w:r>
          </w:p>
        </w:tc>
        <w:tc>
          <w:tcPr>
            <w:tcW w:w="6539" w:type="dxa"/>
            <w:tcBorders>
              <w:top w:val="single" w:color="auto" w:sz="4" w:space="0"/>
              <w:left w:val="single" w:color="auto" w:sz="4" w:space="0"/>
              <w:bottom w:val="single" w:color="auto" w:sz="4" w:space="0"/>
              <w:right w:val="single" w:color="auto" w:sz="4" w:space="0"/>
            </w:tcBorders>
            <w:vAlign w:val="center"/>
          </w:tcPr>
          <w:p w14:paraId="6DD5CD12">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color w:val="auto"/>
                <w:sz w:val="21"/>
                <w:szCs w:val="21"/>
                <w:lang w:val="en-US" w:eastAsia="zh-CN"/>
              </w:rPr>
              <w:t>提供2025年的财务审计报告</w:t>
            </w:r>
            <w:r>
              <w:rPr>
                <w:rFonts w:hint="eastAsia" w:ascii="宋体" w:hAnsi="宋体"/>
                <w:color w:val="auto"/>
                <w:sz w:val="21"/>
                <w:szCs w:val="21"/>
                <w:lang w:val="en-US" w:eastAsia="zh-CN"/>
              </w:rPr>
              <w:t>（成立时间至提交响应文件截止时间不足1年的可提供成立后任意时段的资产负债表）或其基本存款账户开户银行出具的资信证明</w:t>
            </w:r>
            <w:r>
              <w:rPr>
                <w:rFonts w:hint="eastAsia"/>
                <w:color w:val="auto"/>
                <w:sz w:val="21"/>
                <w:szCs w:val="21"/>
                <w:lang w:val="en-US" w:eastAsia="zh-CN"/>
              </w:rPr>
              <w:t>。</w:t>
            </w:r>
          </w:p>
        </w:tc>
      </w:tr>
      <w:tr w14:paraId="3B6AF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588" w:type="dxa"/>
            <w:vMerge w:val="continue"/>
            <w:tcBorders>
              <w:left w:val="single" w:color="auto" w:sz="4" w:space="0"/>
              <w:right w:val="single" w:color="auto" w:sz="4" w:space="0"/>
            </w:tcBorders>
            <w:vAlign w:val="center"/>
          </w:tcPr>
          <w:p w14:paraId="2DAFB349">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840" w:type="dxa"/>
            <w:vMerge w:val="continue"/>
            <w:tcBorders>
              <w:left w:val="single" w:color="auto" w:sz="4" w:space="0"/>
              <w:right w:val="single" w:color="auto" w:sz="4" w:space="0"/>
            </w:tcBorders>
            <w:vAlign w:val="center"/>
          </w:tcPr>
          <w:p w14:paraId="084056D8">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2677" w:type="dxa"/>
            <w:tcBorders>
              <w:top w:val="single" w:color="auto" w:sz="4" w:space="0"/>
              <w:left w:val="single" w:color="auto" w:sz="4" w:space="0"/>
              <w:bottom w:val="single" w:color="auto" w:sz="4" w:space="0"/>
              <w:right w:val="single" w:color="auto" w:sz="4" w:space="0"/>
            </w:tcBorders>
            <w:vAlign w:val="center"/>
          </w:tcPr>
          <w:p w14:paraId="204A569A">
            <w:pPr>
              <w:pageBreakBefore w:val="0"/>
              <w:widowControl/>
              <w:topLinePunct w:val="0"/>
              <w:bidi w:val="0"/>
              <w:spacing w:line="500" w:lineRule="exact"/>
              <w:ind w:right="0" w:rightChars="0"/>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税收缴纳证明</w:t>
            </w:r>
          </w:p>
        </w:tc>
        <w:tc>
          <w:tcPr>
            <w:tcW w:w="6539" w:type="dxa"/>
            <w:tcBorders>
              <w:top w:val="single" w:color="auto" w:sz="4" w:space="0"/>
              <w:left w:val="single" w:color="auto" w:sz="4" w:space="0"/>
              <w:bottom w:val="single" w:color="auto" w:sz="4" w:space="0"/>
              <w:right w:val="single" w:color="auto" w:sz="4" w:space="0"/>
            </w:tcBorders>
            <w:vAlign w:val="center"/>
          </w:tcPr>
          <w:p w14:paraId="12DC8DF8">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color w:val="auto"/>
                <w:sz w:val="21"/>
                <w:szCs w:val="21"/>
                <w:lang w:val="en-US" w:eastAsia="zh-CN"/>
              </w:rPr>
              <w:t>提供2026年1月至今已缴纳的至少一个月</w:t>
            </w:r>
            <w:r>
              <w:rPr>
                <w:rFonts w:hint="eastAsia" w:ascii="宋体" w:hAnsi="宋体"/>
                <w:color w:val="auto"/>
                <w:sz w:val="21"/>
                <w:szCs w:val="21"/>
                <w:lang w:val="en-US" w:eastAsia="zh-CN"/>
              </w:rPr>
              <w:t>的纳税证明或完税证明，依法免税的单位应提供相关证明材料</w:t>
            </w:r>
            <w:r>
              <w:rPr>
                <w:rFonts w:hint="eastAsia"/>
                <w:color w:val="auto"/>
                <w:sz w:val="21"/>
                <w:szCs w:val="21"/>
                <w:lang w:val="en-US" w:eastAsia="zh-CN"/>
              </w:rPr>
              <w:t>。</w:t>
            </w:r>
          </w:p>
        </w:tc>
      </w:tr>
      <w:tr w14:paraId="48CEC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3" w:hRule="atLeast"/>
        </w:trPr>
        <w:tc>
          <w:tcPr>
            <w:tcW w:w="588" w:type="dxa"/>
            <w:vMerge w:val="continue"/>
            <w:tcBorders>
              <w:left w:val="single" w:color="auto" w:sz="4" w:space="0"/>
              <w:right w:val="single" w:color="auto" w:sz="4" w:space="0"/>
            </w:tcBorders>
            <w:vAlign w:val="center"/>
          </w:tcPr>
          <w:p w14:paraId="0C1BBAAD">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840" w:type="dxa"/>
            <w:vMerge w:val="continue"/>
            <w:tcBorders>
              <w:left w:val="single" w:color="auto" w:sz="4" w:space="0"/>
              <w:right w:val="single" w:color="auto" w:sz="4" w:space="0"/>
            </w:tcBorders>
            <w:vAlign w:val="center"/>
          </w:tcPr>
          <w:p w14:paraId="0D62DDA9">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2677" w:type="dxa"/>
            <w:tcBorders>
              <w:top w:val="single" w:color="auto" w:sz="4" w:space="0"/>
              <w:left w:val="single" w:color="auto" w:sz="4" w:space="0"/>
              <w:bottom w:val="single" w:color="auto" w:sz="4" w:space="0"/>
              <w:right w:val="single" w:color="auto" w:sz="4" w:space="0"/>
            </w:tcBorders>
            <w:vAlign w:val="center"/>
          </w:tcPr>
          <w:p w14:paraId="5DB3AD43">
            <w:pPr>
              <w:pageBreakBefore w:val="0"/>
              <w:widowControl/>
              <w:topLinePunct w:val="0"/>
              <w:bidi w:val="0"/>
              <w:spacing w:line="500" w:lineRule="exact"/>
              <w:ind w:right="0" w:rightChars="0"/>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社会保障资金缴纳证明</w:t>
            </w:r>
          </w:p>
        </w:tc>
        <w:tc>
          <w:tcPr>
            <w:tcW w:w="6539" w:type="dxa"/>
            <w:tcBorders>
              <w:top w:val="single" w:color="auto" w:sz="4" w:space="0"/>
              <w:left w:val="single" w:color="auto" w:sz="4" w:space="0"/>
              <w:bottom w:val="single" w:color="auto" w:sz="4" w:space="0"/>
              <w:right w:val="single" w:color="auto" w:sz="4" w:space="0"/>
            </w:tcBorders>
            <w:vAlign w:val="center"/>
          </w:tcPr>
          <w:p w14:paraId="215B7B92">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color w:val="auto"/>
                <w:sz w:val="21"/>
                <w:szCs w:val="21"/>
                <w:lang w:val="en-US" w:eastAsia="zh-CN"/>
              </w:rPr>
              <w:t>提供2026年1月至今至少一个月</w:t>
            </w:r>
            <w:r>
              <w:rPr>
                <w:rFonts w:hint="eastAsia" w:ascii="宋体" w:hAnsi="宋体"/>
                <w:color w:val="auto"/>
                <w:sz w:val="21"/>
                <w:szCs w:val="21"/>
                <w:lang w:val="en-US" w:eastAsia="zh-CN"/>
              </w:rPr>
              <w:t>的社会保障资金缴纳单据或社保机构开具的社会保险参保缴费情况证明，依法不需要缴纳社会保障资金的应提供相关证明材料</w:t>
            </w:r>
            <w:r>
              <w:rPr>
                <w:rFonts w:hint="eastAsia"/>
                <w:color w:val="auto"/>
                <w:sz w:val="21"/>
                <w:szCs w:val="21"/>
                <w:lang w:val="en-US" w:eastAsia="zh-CN"/>
              </w:rPr>
              <w:t>。</w:t>
            </w:r>
          </w:p>
        </w:tc>
      </w:tr>
      <w:tr w14:paraId="01DA6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588" w:type="dxa"/>
            <w:vMerge w:val="continue"/>
            <w:tcBorders>
              <w:left w:val="single" w:color="auto" w:sz="4" w:space="0"/>
              <w:right w:val="single" w:color="auto" w:sz="4" w:space="0"/>
            </w:tcBorders>
            <w:vAlign w:val="center"/>
          </w:tcPr>
          <w:p w14:paraId="46284D79">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840" w:type="dxa"/>
            <w:vMerge w:val="continue"/>
            <w:tcBorders>
              <w:left w:val="single" w:color="auto" w:sz="4" w:space="0"/>
              <w:right w:val="single" w:color="auto" w:sz="4" w:space="0"/>
            </w:tcBorders>
            <w:vAlign w:val="center"/>
          </w:tcPr>
          <w:p w14:paraId="4DFD169B">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2677" w:type="dxa"/>
            <w:tcBorders>
              <w:top w:val="single" w:color="auto" w:sz="4" w:space="0"/>
              <w:left w:val="single" w:color="auto" w:sz="4" w:space="0"/>
              <w:bottom w:val="single" w:color="auto" w:sz="4" w:space="0"/>
              <w:right w:val="single" w:color="auto" w:sz="4" w:space="0"/>
            </w:tcBorders>
            <w:vAlign w:val="center"/>
          </w:tcPr>
          <w:p w14:paraId="07493DED">
            <w:pPr>
              <w:pageBreakBefore w:val="0"/>
              <w:widowControl/>
              <w:topLinePunct w:val="0"/>
              <w:bidi w:val="0"/>
              <w:spacing w:line="500" w:lineRule="exact"/>
              <w:ind w:right="0" w:rightChars="0"/>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供应商技术能力证明材料</w:t>
            </w:r>
          </w:p>
        </w:tc>
        <w:tc>
          <w:tcPr>
            <w:tcW w:w="6539" w:type="dxa"/>
            <w:tcBorders>
              <w:top w:val="single" w:color="auto" w:sz="4" w:space="0"/>
              <w:left w:val="single" w:color="auto" w:sz="4" w:space="0"/>
              <w:bottom w:val="single" w:color="auto" w:sz="4" w:space="0"/>
              <w:right w:val="single" w:color="auto" w:sz="4" w:space="0"/>
            </w:tcBorders>
            <w:vAlign w:val="center"/>
          </w:tcPr>
          <w:p w14:paraId="1F1963E1">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供应商须提供具备履行合同所必需的设备和专业技术能力的证明材料</w:t>
            </w:r>
            <w:r>
              <w:rPr>
                <w:rFonts w:hint="eastAsia"/>
                <w:color w:val="auto"/>
                <w:sz w:val="21"/>
                <w:szCs w:val="21"/>
                <w:lang w:val="en-US" w:eastAsia="zh-CN"/>
              </w:rPr>
              <w:t>。</w:t>
            </w:r>
          </w:p>
        </w:tc>
      </w:tr>
      <w:tr w14:paraId="785B0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trPr>
        <w:tc>
          <w:tcPr>
            <w:tcW w:w="588" w:type="dxa"/>
            <w:vMerge w:val="continue"/>
            <w:tcBorders>
              <w:left w:val="single" w:color="auto" w:sz="4" w:space="0"/>
              <w:right w:val="single" w:color="auto" w:sz="4" w:space="0"/>
            </w:tcBorders>
            <w:vAlign w:val="center"/>
          </w:tcPr>
          <w:p w14:paraId="7E5B452B">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840" w:type="dxa"/>
            <w:vMerge w:val="continue"/>
            <w:tcBorders>
              <w:left w:val="single" w:color="auto" w:sz="4" w:space="0"/>
              <w:right w:val="single" w:color="auto" w:sz="4" w:space="0"/>
            </w:tcBorders>
            <w:vAlign w:val="center"/>
          </w:tcPr>
          <w:p w14:paraId="505CFDF1">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2677" w:type="dxa"/>
            <w:tcBorders>
              <w:top w:val="single" w:color="auto" w:sz="4" w:space="0"/>
              <w:left w:val="single" w:color="auto" w:sz="4" w:space="0"/>
              <w:bottom w:val="single" w:color="auto" w:sz="4" w:space="0"/>
              <w:right w:val="single" w:color="auto" w:sz="4" w:space="0"/>
            </w:tcBorders>
            <w:vAlign w:val="center"/>
          </w:tcPr>
          <w:p w14:paraId="55A4AE08">
            <w:pPr>
              <w:pageBreakBefore w:val="0"/>
              <w:widowControl/>
              <w:topLinePunct w:val="0"/>
              <w:bidi w:val="0"/>
              <w:spacing w:line="500" w:lineRule="exact"/>
              <w:ind w:right="0" w:rightChars="0"/>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书面声明</w:t>
            </w:r>
          </w:p>
        </w:tc>
        <w:tc>
          <w:tcPr>
            <w:tcW w:w="6539" w:type="dxa"/>
            <w:tcBorders>
              <w:top w:val="single" w:color="auto" w:sz="4" w:space="0"/>
              <w:left w:val="single" w:color="auto" w:sz="4" w:space="0"/>
              <w:bottom w:val="single" w:color="auto" w:sz="4" w:space="0"/>
              <w:right w:val="single" w:color="auto" w:sz="4" w:space="0"/>
            </w:tcBorders>
            <w:vAlign w:val="center"/>
          </w:tcPr>
          <w:p w14:paraId="0CC31497">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供应商必须提供参加政府采购活动近3年内在经营活动中没有重大违法记录的</w:t>
            </w:r>
            <w:r>
              <w:rPr>
                <w:rFonts w:hint="eastAsia"/>
                <w:color w:val="auto"/>
                <w:sz w:val="21"/>
                <w:szCs w:val="21"/>
                <w:lang w:val="en-US" w:eastAsia="zh-CN"/>
              </w:rPr>
              <w:t>、未发生食品安全事故的书面声明。</w:t>
            </w:r>
          </w:p>
        </w:tc>
      </w:tr>
      <w:tr w14:paraId="1F6E1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588" w:type="dxa"/>
            <w:vMerge w:val="continue"/>
            <w:tcBorders>
              <w:left w:val="single" w:color="auto" w:sz="4" w:space="0"/>
              <w:right w:val="single" w:color="auto" w:sz="4" w:space="0"/>
            </w:tcBorders>
            <w:vAlign w:val="center"/>
          </w:tcPr>
          <w:p w14:paraId="12CABAC1">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840" w:type="dxa"/>
            <w:vMerge w:val="continue"/>
            <w:tcBorders>
              <w:left w:val="single" w:color="auto" w:sz="4" w:space="0"/>
              <w:right w:val="single" w:color="auto" w:sz="4" w:space="0"/>
            </w:tcBorders>
            <w:vAlign w:val="center"/>
          </w:tcPr>
          <w:p w14:paraId="0DB11BA5">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2677" w:type="dxa"/>
            <w:tcBorders>
              <w:top w:val="single" w:color="auto" w:sz="4" w:space="0"/>
              <w:left w:val="single" w:color="auto" w:sz="4" w:space="0"/>
              <w:bottom w:val="single" w:color="auto" w:sz="4" w:space="0"/>
              <w:right w:val="single" w:color="auto" w:sz="4" w:space="0"/>
            </w:tcBorders>
            <w:vAlign w:val="center"/>
          </w:tcPr>
          <w:p w14:paraId="740EE62F">
            <w:pPr>
              <w:pageBreakBefore w:val="0"/>
              <w:widowControl/>
              <w:topLinePunct w:val="0"/>
              <w:bidi w:val="0"/>
              <w:spacing w:line="500" w:lineRule="exact"/>
              <w:ind w:right="0" w:rightChars="0"/>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主体信用记录查询</w:t>
            </w:r>
          </w:p>
        </w:tc>
        <w:tc>
          <w:tcPr>
            <w:tcW w:w="6539" w:type="dxa"/>
            <w:tcBorders>
              <w:top w:val="single" w:color="auto" w:sz="4" w:space="0"/>
              <w:left w:val="single" w:color="auto" w:sz="4" w:space="0"/>
              <w:bottom w:val="single" w:color="auto" w:sz="4" w:space="0"/>
              <w:right w:val="single" w:color="auto" w:sz="4" w:space="0"/>
            </w:tcBorders>
            <w:vAlign w:val="center"/>
          </w:tcPr>
          <w:p w14:paraId="12455C56">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供应商通过“信用中国”网站</w:t>
            </w:r>
            <w:r>
              <w:rPr>
                <w:rFonts w:hint="eastAsia"/>
                <w:color w:val="auto"/>
                <w:sz w:val="21"/>
                <w:szCs w:val="21"/>
                <w:lang w:val="en-US" w:eastAsia="zh-CN"/>
              </w:rPr>
              <w:t>（</w:t>
            </w:r>
            <w:r>
              <w:rPr>
                <w:rFonts w:hint="eastAsia" w:ascii="宋体" w:hAnsi="宋体"/>
                <w:color w:val="auto"/>
                <w:sz w:val="21"/>
                <w:szCs w:val="21"/>
                <w:lang w:val="en-US" w:eastAsia="zh-CN"/>
              </w:rPr>
              <w:t>www.creditchina.gov.cn</w:t>
            </w:r>
            <w:r>
              <w:rPr>
                <w:rFonts w:hint="eastAsia"/>
                <w:color w:val="auto"/>
                <w:sz w:val="21"/>
                <w:szCs w:val="21"/>
                <w:lang w:val="en-US" w:eastAsia="zh-CN"/>
              </w:rPr>
              <w:t>）</w:t>
            </w:r>
            <w:r>
              <w:rPr>
                <w:rFonts w:hint="eastAsia" w:ascii="宋体" w:hAnsi="宋体"/>
                <w:color w:val="auto"/>
                <w:sz w:val="21"/>
                <w:szCs w:val="21"/>
                <w:lang w:val="en-US" w:eastAsia="zh-CN"/>
              </w:rPr>
              <w:t>和中国政府采购网</w:t>
            </w:r>
            <w:r>
              <w:rPr>
                <w:rFonts w:hint="eastAsia"/>
                <w:color w:val="auto"/>
                <w:sz w:val="21"/>
                <w:szCs w:val="21"/>
                <w:lang w:val="en-US" w:eastAsia="zh-CN"/>
              </w:rPr>
              <w:t>（</w:t>
            </w:r>
            <w:r>
              <w:rPr>
                <w:rFonts w:hint="eastAsia" w:ascii="宋体" w:hAnsi="宋体"/>
                <w:color w:val="auto"/>
                <w:sz w:val="21"/>
                <w:szCs w:val="21"/>
                <w:lang w:val="en-US" w:eastAsia="zh-CN"/>
              </w:rPr>
              <w:t>www.ccgp.gov.cn</w:t>
            </w:r>
            <w:r>
              <w:rPr>
                <w:rFonts w:hint="eastAsia"/>
                <w:color w:val="auto"/>
                <w:sz w:val="21"/>
                <w:szCs w:val="21"/>
                <w:lang w:val="en-US" w:eastAsia="zh-CN"/>
              </w:rPr>
              <w:t>）</w:t>
            </w:r>
            <w:r>
              <w:rPr>
                <w:rFonts w:hint="eastAsia" w:ascii="宋体" w:hAnsi="宋体"/>
                <w:color w:val="auto"/>
                <w:sz w:val="21"/>
                <w:szCs w:val="21"/>
                <w:lang w:val="en-US" w:eastAsia="zh-CN"/>
              </w:rPr>
              <w:t>等渠道查询相关主体信用记录，对列入失信被执行人、重大税收违法失信主体、政府采购严重违法失信行为记录名单的供应商，将拒绝其参与政府采购活动</w:t>
            </w:r>
            <w:r>
              <w:rPr>
                <w:rFonts w:hint="eastAsia"/>
                <w:color w:val="auto"/>
                <w:sz w:val="21"/>
                <w:szCs w:val="21"/>
                <w:lang w:val="en-US" w:eastAsia="zh-CN"/>
              </w:rPr>
              <w:t>。</w:t>
            </w:r>
          </w:p>
        </w:tc>
      </w:tr>
      <w:tr w14:paraId="3566A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588" w:type="dxa"/>
            <w:vMerge w:val="continue"/>
            <w:tcBorders>
              <w:left w:val="single" w:color="auto" w:sz="4" w:space="0"/>
              <w:right w:val="single" w:color="auto" w:sz="4" w:space="0"/>
            </w:tcBorders>
            <w:vAlign w:val="center"/>
          </w:tcPr>
          <w:p w14:paraId="2E7EF0D9">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840" w:type="dxa"/>
            <w:vMerge w:val="continue"/>
            <w:tcBorders>
              <w:left w:val="single" w:color="auto" w:sz="4" w:space="0"/>
              <w:right w:val="single" w:color="auto" w:sz="4" w:space="0"/>
            </w:tcBorders>
            <w:vAlign w:val="center"/>
          </w:tcPr>
          <w:p w14:paraId="63A7A343">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2677" w:type="dxa"/>
            <w:tcBorders>
              <w:top w:val="single" w:color="auto" w:sz="4" w:space="0"/>
              <w:left w:val="single" w:color="auto" w:sz="4" w:space="0"/>
              <w:bottom w:val="single" w:color="auto" w:sz="4" w:space="0"/>
              <w:right w:val="single" w:color="auto" w:sz="4" w:space="0"/>
            </w:tcBorders>
            <w:vAlign w:val="center"/>
          </w:tcPr>
          <w:p w14:paraId="23591F26">
            <w:pPr>
              <w:pageBreakBefore w:val="0"/>
              <w:widowControl/>
              <w:topLinePunct w:val="0"/>
              <w:bidi w:val="0"/>
              <w:spacing w:line="500" w:lineRule="exact"/>
              <w:ind w:right="0" w:rightChars="0"/>
              <w:jc w:val="center"/>
              <w:rPr>
                <w:rFonts w:hint="eastAsia" w:ascii="宋体" w:hAnsi="宋体"/>
                <w:color w:val="auto"/>
                <w:sz w:val="21"/>
                <w:szCs w:val="21"/>
                <w:lang w:val="en-US" w:eastAsia="zh-CN"/>
              </w:rPr>
            </w:pPr>
            <w:r>
              <w:rPr>
                <w:rFonts w:hint="default" w:ascii="宋体" w:hAnsi="宋体"/>
                <w:color w:val="auto"/>
                <w:sz w:val="21"/>
                <w:szCs w:val="21"/>
                <w:lang w:val="en-US" w:eastAsia="zh-CN"/>
              </w:rPr>
              <w:t>控股管理关系</w:t>
            </w:r>
          </w:p>
        </w:tc>
        <w:tc>
          <w:tcPr>
            <w:tcW w:w="6539" w:type="dxa"/>
            <w:tcBorders>
              <w:top w:val="single" w:color="auto" w:sz="4" w:space="0"/>
              <w:left w:val="single" w:color="auto" w:sz="4" w:space="0"/>
              <w:right w:val="single" w:color="auto" w:sz="4" w:space="0"/>
            </w:tcBorders>
            <w:vAlign w:val="center"/>
          </w:tcPr>
          <w:p w14:paraId="60C48B38">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单位负责人为同一人或者存在直接控股、管理关系的不同投标人，不得参加同一合同项下的政府采购活动</w:t>
            </w:r>
            <w:r>
              <w:rPr>
                <w:rFonts w:hint="eastAsia"/>
                <w:color w:val="auto"/>
                <w:sz w:val="21"/>
                <w:szCs w:val="21"/>
                <w:lang w:val="en-US" w:eastAsia="zh-CN"/>
              </w:rPr>
              <w:t>。</w:t>
            </w:r>
          </w:p>
        </w:tc>
      </w:tr>
      <w:tr w14:paraId="5CBED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588" w:type="dxa"/>
            <w:vMerge w:val="continue"/>
            <w:tcBorders>
              <w:left w:val="single" w:color="auto" w:sz="4" w:space="0"/>
              <w:right w:val="single" w:color="auto" w:sz="4" w:space="0"/>
            </w:tcBorders>
            <w:vAlign w:val="center"/>
          </w:tcPr>
          <w:p w14:paraId="595E2048">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840" w:type="dxa"/>
            <w:vMerge w:val="continue"/>
            <w:tcBorders>
              <w:left w:val="single" w:color="auto" w:sz="4" w:space="0"/>
              <w:right w:val="single" w:color="auto" w:sz="4" w:space="0"/>
            </w:tcBorders>
            <w:vAlign w:val="center"/>
          </w:tcPr>
          <w:p w14:paraId="26FC9062">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2677" w:type="dxa"/>
            <w:tcBorders>
              <w:top w:val="single" w:color="auto" w:sz="4" w:space="0"/>
              <w:left w:val="single" w:color="auto" w:sz="4" w:space="0"/>
              <w:bottom w:val="single" w:color="auto" w:sz="4" w:space="0"/>
              <w:right w:val="single" w:color="auto" w:sz="4" w:space="0"/>
            </w:tcBorders>
            <w:vAlign w:val="center"/>
          </w:tcPr>
          <w:p w14:paraId="6213726C">
            <w:pPr>
              <w:pageBreakBefore w:val="0"/>
              <w:widowControl/>
              <w:topLinePunct w:val="0"/>
              <w:bidi w:val="0"/>
              <w:spacing w:line="500" w:lineRule="exact"/>
              <w:ind w:right="0" w:rightChars="0"/>
              <w:jc w:val="center"/>
              <w:rPr>
                <w:rFonts w:hint="default" w:ascii="宋体" w:hAnsi="宋体"/>
                <w:color w:val="auto"/>
                <w:sz w:val="21"/>
                <w:szCs w:val="21"/>
                <w:lang w:val="en-US" w:eastAsia="zh-CN"/>
              </w:rPr>
            </w:pPr>
            <w:r>
              <w:rPr>
                <w:rFonts w:hint="eastAsia" w:ascii="宋体" w:hAnsi="宋体"/>
                <w:color w:val="auto"/>
                <w:sz w:val="21"/>
                <w:szCs w:val="21"/>
                <w:lang w:val="en-US" w:eastAsia="zh-CN"/>
              </w:rPr>
              <w:t>非联合体证明</w:t>
            </w:r>
          </w:p>
        </w:tc>
        <w:tc>
          <w:tcPr>
            <w:tcW w:w="6539" w:type="dxa"/>
            <w:tcBorders>
              <w:left w:val="single" w:color="auto" w:sz="4" w:space="0"/>
              <w:bottom w:val="single" w:color="auto" w:sz="4" w:space="0"/>
              <w:right w:val="single" w:color="auto" w:sz="4" w:space="0"/>
            </w:tcBorders>
            <w:vAlign w:val="center"/>
          </w:tcPr>
          <w:p w14:paraId="12E188FA">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本项目不接受联合体投标</w:t>
            </w:r>
            <w:r>
              <w:rPr>
                <w:rFonts w:hint="eastAsia"/>
                <w:color w:val="auto"/>
                <w:sz w:val="21"/>
                <w:szCs w:val="21"/>
                <w:lang w:val="en-US" w:eastAsia="zh-CN"/>
              </w:rPr>
              <w:t>。</w:t>
            </w:r>
          </w:p>
        </w:tc>
      </w:tr>
      <w:tr w14:paraId="27C12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588" w:type="dxa"/>
            <w:vMerge w:val="restart"/>
            <w:tcBorders>
              <w:top w:val="single" w:color="auto" w:sz="4" w:space="0"/>
              <w:left w:val="single" w:color="auto" w:sz="4" w:space="0"/>
              <w:right w:val="single" w:color="auto" w:sz="4" w:space="0"/>
            </w:tcBorders>
            <w:vAlign w:val="center"/>
          </w:tcPr>
          <w:p w14:paraId="58773899">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1.2</w:t>
            </w:r>
          </w:p>
        </w:tc>
        <w:tc>
          <w:tcPr>
            <w:tcW w:w="840" w:type="dxa"/>
            <w:vMerge w:val="restart"/>
            <w:tcBorders>
              <w:top w:val="single" w:color="auto" w:sz="4" w:space="0"/>
              <w:left w:val="single" w:color="auto" w:sz="4" w:space="0"/>
              <w:right w:val="single" w:color="auto" w:sz="4" w:space="0"/>
            </w:tcBorders>
            <w:vAlign w:val="center"/>
          </w:tcPr>
          <w:p w14:paraId="20BF683E">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p w14:paraId="6AD65B8D">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符合性评审标准</w:t>
            </w:r>
          </w:p>
        </w:tc>
        <w:tc>
          <w:tcPr>
            <w:tcW w:w="2677" w:type="dxa"/>
            <w:tcBorders>
              <w:top w:val="single" w:color="auto" w:sz="4" w:space="0"/>
              <w:left w:val="single" w:color="auto" w:sz="4" w:space="0"/>
              <w:right w:val="single" w:color="auto" w:sz="4" w:space="0"/>
            </w:tcBorders>
            <w:vAlign w:val="center"/>
          </w:tcPr>
          <w:p w14:paraId="0F35A370">
            <w:pPr>
              <w:pageBreakBefore w:val="0"/>
              <w:widowControl/>
              <w:topLinePunct w:val="0"/>
              <w:bidi w:val="0"/>
              <w:spacing w:line="500" w:lineRule="exact"/>
              <w:ind w:right="0" w:rightChars="0"/>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投标文件项目名称、项目编号、</w:t>
            </w:r>
            <w:r>
              <w:rPr>
                <w:rFonts w:hint="eastAsia"/>
                <w:color w:val="auto"/>
                <w:sz w:val="21"/>
                <w:szCs w:val="21"/>
                <w:lang w:val="en-US" w:eastAsia="zh-CN"/>
              </w:rPr>
              <w:t>合同包</w:t>
            </w:r>
            <w:r>
              <w:rPr>
                <w:rFonts w:hint="eastAsia" w:ascii="宋体" w:hAnsi="宋体"/>
                <w:color w:val="auto"/>
                <w:sz w:val="21"/>
                <w:szCs w:val="21"/>
                <w:lang w:val="en-US" w:eastAsia="zh-CN"/>
              </w:rPr>
              <w:t>（未分标段的除外）</w:t>
            </w:r>
          </w:p>
        </w:tc>
        <w:tc>
          <w:tcPr>
            <w:tcW w:w="6539" w:type="dxa"/>
            <w:tcBorders>
              <w:top w:val="single" w:color="auto" w:sz="4" w:space="0"/>
              <w:left w:val="single" w:color="auto" w:sz="4" w:space="0"/>
              <w:bottom w:val="single" w:color="auto" w:sz="4" w:space="0"/>
              <w:right w:val="single" w:color="auto" w:sz="4" w:space="0"/>
            </w:tcBorders>
            <w:vAlign w:val="center"/>
          </w:tcPr>
          <w:p w14:paraId="2580A912">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投标文件以下三处的项目名称、项目编号、</w:t>
            </w:r>
            <w:r>
              <w:rPr>
                <w:rFonts w:hint="eastAsia"/>
                <w:color w:val="auto"/>
                <w:sz w:val="21"/>
                <w:szCs w:val="21"/>
                <w:lang w:val="en-US" w:eastAsia="zh-CN"/>
              </w:rPr>
              <w:t>合同包</w:t>
            </w:r>
            <w:r>
              <w:rPr>
                <w:rFonts w:hint="eastAsia" w:ascii="宋体" w:hAnsi="宋体"/>
                <w:color w:val="auto"/>
                <w:sz w:val="21"/>
                <w:szCs w:val="21"/>
                <w:lang w:val="en-US" w:eastAsia="zh-CN"/>
              </w:rPr>
              <w:t>与本项目完全一致，且无遗漏：（1）封面；（2）投标函；（3）法定代表人委托授权书。</w:t>
            </w:r>
          </w:p>
        </w:tc>
      </w:tr>
      <w:tr w14:paraId="5946D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trPr>
        <w:tc>
          <w:tcPr>
            <w:tcW w:w="588" w:type="dxa"/>
            <w:vMerge w:val="continue"/>
            <w:tcBorders>
              <w:left w:val="single" w:color="auto" w:sz="4" w:space="0"/>
              <w:right w:val="single" w:color="auto" w:sz="4" w:space="0"/>
            </w:tcBorders>
            <w:vAlign w:val="center"/>
          </w:tcPr>
          <w:p w14:paraId="6ABBB928">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840" w:type="dxa"/>
            <w:vMerge w:val="continue"/>
            <w:tcBorders>
              <w:left w:val="single" w:color="auto" w:sz="4" w:space="0"/>
              <w:right w:val="single" w:color="auto" w:sz="4" w:space="0"/>
            </w:tcBorders>
            <w:vAlign w:val="center"/>
          </w:tcPr>
          <w:p w14:paraId="40749FCB">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2677" w:type="dxa"/>
            <w:tcBorders>
              <w:left w:val="single" w:color="auto" w:sz="4" w:space="0"/>
              <w:right w:val="single" w:color="auto" w:sz="4" w:space="0"/>
            </w:tcBorders>
            <w:vAlign w:val="center"/>
          </w:tcPr>
          <w:p w14:paraId="449E5947">
            <w:pPr>
              <w:pageBreakBefore w:val="0"/>
              <w:widowControl/>
              <w:topLinePunct w:val="0"/>
              <w:bidi w:val="0"/>
              <w:spacing w:line="500" w:lineRule="exact"/>
              <w:ind w:right="0" w:rightChars="0"/>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投标文件组成</w:t>
            </w:r>
          </w:p>
        </w:tc>
        <w:tc>
          <w:tcPr>
            <w:tcW w:w="6539" w:type="dxa"/>
            <w:tcBorders>
              <w:top w:val="single" w:color="auto" w:sz="4" w:space="0"/>
              <w:left w:val="single" w:color="auto" w:sz="4" w:space="0"/>
              <w:bottom w:val="single" w:color="auto" w:sz="4" w:space="0"/>
              <w:right w:val="single" w:color="auto" w:sz="4" w:space="0"/>
            </w:tcBorders>
            <w:vAlign w:val="center"/>
          </w:tcPr>
          <w:p w14:paraId="704E90B9">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投标文件应包含以下内容：</w:t>
            </w:r>
          </w:p>
          <w:p w14:paraId="2182C6CB">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（1）投标函；（2）开标一览表；（3）投标方案；（4）资格证明文件；（5）供应商承诺书；（6）其他</w:t>
            </w:r>
            <w:r>
              <w:rPr>
                <w:rFonts w:hint="eastAsia"/>
                <w:color w:val="auto"/>
                <w:sz w:val="21"/>
                <w:szCs w:val="21"/>
                <w:lang w:val="en-US" w:eastAsia="zh-CN"/>
              </w:rPr>
              <w:t>。</w:t>
            </w:r>
          </w:p>
        </w:tc>
      </w:tr>
      <w:tr w14:paraId="7F69F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88" w:type="dxa"/>
            <w:vMerge w:val="continue"/>
            <w:tcBorders>
              <w:left w:val="single" w:color="auto" w:sz="4" w:space="0"/>
              <w:right w:val="single" w:color="auto" w:sz="4" w:space="0"/>
            </w:tcBorders>
            <w:vAlign w:val="center"/>
          </w:tcPr>
          <w:p w14:paraId="15851B1E">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840" w:type="dxa"/>
            <w:vMerge w:val="continue"/>
            <w:tcBorders>
              <w:left w:val="single" w:color="auto" w:sz="4" w:space="0"/>
              <w:right w:val="single" w:color="auto" w:sz="4" w:space="0"/>
            </w:tcBorders>
            <w:vAlign w:val="center"/>
          </w:tcPr>
          <w:p w14:paraId="0302FBE0">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2677" w:type="dxa"/>
            <w:tcBorders>
              <w:left w:val="single" w:color="auto" w:sz="4" w:space="0"/>
              <w:right w:val="single" w:color="auto" w:sz="4" w:space="0"/>
            </w:tcBorders>
            <w:vAlign w:val="center"/>
          </w:tcPr>
          <w:p w14:paraId="04FE8F0E">
            <w:pPr>
              <w:pageBreakBefore w:val="0"/>
              <w:widowControl/>
              <w:topLinePunct w:val="0"/>
              <w:bidi w:val="0"/>
              <w:spacing w:line="500" w:lineRule="exact"/>
              <w:ind w:right="0" w:rightChars="0"/>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投标文件的签署、盖章</w:t>
            </w:r>
          </w:p>
        </w:tc>
        <w:tc>
          <w:tcPr>
            <w:tcW w:w="6539" w:type="dxa"/>
            <w:tcBorders>
              <w:top w:val="single" w:color="auto" w:sz="4" w:space="0"/>
              <w:left w:val="single" w:color="auto" w:sz="4" w:space="0"/>
              <w:bottom w:val="single" w:color="auto" w:sz="4" w:space="0"/>
              <w:right w:val="single" w:color="auto" w:sz="4" w:space="0"/>
            </w:tcBorders>
            <w:vAlign w:val="center"/>
          </w:tcPr>
          <w:p w14:paraId="6BA2F093">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签署、盖章均符合招标文件要求，且无遗漏。</w:t>
            </w:r>
          </w:p>
        </w:tc>
      </w:tr>
      <w:tr w14:paraId="15AD9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trPr>
        <w:tc>
          <w:tcPr>
            <w:tcW w:w="588" w:type="dxa"/>
            <w:vMerge w:val="continue"/>
            <w:tcBorders>
              <w:left w:val="single" w:color="auto" w:sz="4" w:space="0"/>
              <w:right w:val="single" w:color="auto" w:sz="4" w:space="0"/>
            </w:tcBorders>
            <w:vAlign w:val="center"/>
          </w:tcPr>
          <w:p w14:paraId="21744CB6">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840" w:type="dxa"/>
            <w:vMerge w:val="continue"/>
            <w:tcBorders>
              <w:left w:val="single" w:color="auto" w:sz="4" w:space="0"/>
              <w:right w:val="single" w:color="auto" w:sz="4" w:space="0"/>
            </w:tcBorders>
            <w:vAlign w:val="center"/>
          </w:tcPr>
          <w:p w14:paraId="79342F87">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2677" w:type="dxa"/>
            <w:tcBorders>
              <w:left w:val="single" w:color="auto" w:sz="4" w:space="0"/>
              <w:right w:val="single" w:color="auto" w:sz="4" w:space="0"/>
            </w:tcBorders>
            <w:vAlign w:val="center"/>
          </w:tcPr>
          <w:p w14:paraId="028E982B">
            <w:pPr>
              <w:pageBreakBefore w:val="0"/>
              <w:widowControl/>
              <w:topLinePunct w:val="0"/>
              <w:bidi w:val="0"/>
              <w:spacing w:line="500" w:lineRule="exact"/>
              <w:ind w:right="0" w:rightChars="0"/>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投标文件的语言及计量单位</w:t>
            </w:r>
          </w:p>
        </w:tc>
        <w:tc>
          <w:tcPr>
            <w:tcW w:w="6539" w:type="dxa"/>
            <w:tcBorders>
              <w:top w:val="single" w:color="auto" w:sz="4" w:space="0"/>
              <w:left w:val="single" w:color="auto" w:sz="4" w:space="0"/>
              <w:bottom w:val="single" w:color="auto" w:sz="4" w:space="0"/>
              <w:right w:val="single" w:color="auto" w:sz="4" w:space="0"/>
            </w:tcBorders>
            <w:vAlign w:val="center"/>
          </w:tcPr>
          <w:p w14:paraId="0B6D8CCD">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均符合招标文件的要求。</w:t>
            </w:r>
          </w:p>
        </w:tc>
      </w:tr>
      <w:tr w14:paraId="4DCF4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588" w:type="dxa"/>
            <w:vMerge w:val="continue"/>
            <w:tcBorders>
              <w:left w:val="single" w:color="auto" w:sz="4" w:space="0"/>
              <w:right w:val="single" w:color="auto" w:sz="4" w:space="0"/>
            </w:tcBorders>
            <w:vAlign w:val="center"/>
          </w:tcPr>
          <w:p w14:paraId="1A0263D6">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840" w:type="dxa"/>
            <w:vMerge w:val="continue"/>
            <w:tcBorders>
              <w:left w:val="single" w:color="auto" w:sz="4" w:space="0"/>
              <w:right w:val="single" w:color="auto" w:sz="4" w:space="0"/>
            </w:tcBorders>
            <w:vAlign w:val="center"/>
          </w:tcPr>
          <w:p w14:paraId="5C4BFBA4">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2677" w:type="dxa"/>
            <w:tcBorders>
              <w:left w:val="single" w:color="auto" w:sz="4" w:space="0"/>
              <w:right w:val="single" w:color="auto" w:sz="4" w:space="0"/>
            </w:tcBorders>
            <w:vAlign w:val="center"/>
          </w:tcPr>
          <w:p w14:paraId="1D6F8675">
            <w:pPr>
              <w:pageBreakBefore w:val="0"/>
              <w:widowControl/>
              <w:topLinePunct w:val="0"/>
              <w:bidi w:val="0"/>
              <w:spacing w:line="500" w:lineRule="exact"/>
              <w:ind w:right="0" w:rightChars="0"/>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投标有效期</w:t>
            </w:r>
          </w:p>
        </w:tc>
        <w:tc>
          <w:tcPr>
            <w:tcW w:w="6539" w:type="dxa"/>
            <w:tcBorders>
              <w:top w:val="single" w:color="auto" w:sz="4" w:space="0"/>
              <w:left w:val="single" w:color="auto" w:sz="4" w:space="0"/>
              <w:bottom w:val="single" w:color="auto" w:sz="4" w:space="0"/>
              <w:right w:val="single" w:color="auto" w:sz="4" w:space="0"/>
            </w:tcBorders>
            <w:vAlign w:val="center"/>
          </w:tcPr>
          <w:p w14:paraId="68C1AD2F">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符合招标文件的要求。</w:t>
            </w:r>
          </w:p>
        </w:tc>
      </w:tr>
      <w:tr w14:paraId="48264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588" w:type="dxa"/>
            <w:vMerge w:val="continue"/>
            <w:tcBorders>
              <w:left w:val="single" w:color="auto" w:sz="4" w:space="0"/>
              <w:right w:val="single" w:color="auto" w:sz="4" w:space="0"/>
            </w:tcBorders>
            <w:vAlign w:val="center"/>
          </w:tcPr>
          <w:p w14:paraId="55A727D1">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840" w:type="dxa"/>
            <w:vMerge w:val="continue"/>
            <w:tcBorders>
              <w:left w:val="single" w:color="auto" w:sz="4" w:space="0"/>
              <w:right w:val="single" w:color="auto" w:sz="4" w:space="0"/>
            </w:tcBorders>
            <w:vAlign w:val="center"/>
          </w:tcPr>
          <w:p w14:paraId="52D00098">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2677" w:type="dxa"/>
            <w:tcBorders>
              <w:left w:val="single" w:color="auto" w:sz="4" w:space="0"/>
              <w:right w:val="single" w:color="auto" w:sz="4" w:space="0"/>
            </w:tcBorders>
            <w:vAlign w:val="center"/>
          </w:tcPr>
          <w:p w14:paraId="0EB8A5B0">
            <w:pPr>
              <w:pageBreakBefore w:val="0"/>
              <w:widowControl/>
              <w:topLinePunct w:val="0"/>
              <w:bidi w:val="0"/>
              <w:spacing w:line="500" w:lineRule="exact"/>
              <w:ind w:right="0" w:rightChars="0"/>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投标报价</w:t>
            </w:r>
          </w:p>
        </w:tc>
        <w:tc>
          <w:tcPr>
            <w:tcW w:w="6539" w:type="dxa"/>
            <w:tcBorders>
              <w:top w:val="single" w:color="auto" w:sz="4" w:space="0"/>
              <w:left w:val="single" w:color="auto" w:sz="4" w:space="0"/>
              <w:bottom w:val="single" w:color="auto" w:sz="4" w:space="0"/>
              <w:right w:val="single" w:color="auto" w:sz="4" w:space="0"/>
            </w:tcBorders>
            <w:vAlign w:val="center"/>
          </w:tcPr>
          <w:p w14:paraId="1A128E36">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同时满足以下条款：</w:t>
            </w:r>
          </w:p>
          <w:p w14:paraId="3A0AA7DF">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（1）投标报价符合唯一性要求；（2）开标一览表填写符合要求；（3）报价货币符合招标文件要求；（4）未超出采购预算或招标文件规定的最高限价</w:t>
            </w:r>
            <w:r>
              <w:rPr>
                <w:rFonts w:hint="eastAsia"/>
                <w:color w:val="auto"/>
                <w:sz w:val="21"/>
                <w:szCs w:val="21"/>
                <w:lang w:val="en-US" w:eastAsia="zh-CN"/>
              </w:rPr>
              <w:t>。</w:t>
            </w:r>
          </w:p>
        </w:tc>
      </w:tr>
      <w:tr w14:paraId="20559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588" w:type="dxa"/>
            <w:vMerge w:val="continue"/>
            <w:tcBorders>
              <w:left w:val="single" w:color="auto" w:sz="4" w:space="0"/>
              <w:right w:val="single" w:color="auto" w:sz="4" w:space="0"/>
            </w:tcBorders>
            <w:vAlign w:val="center"/>
          </w:tcPr>
          <w:p w14:paraId="1E0A2880">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840" w:type="dxa"/>
            <w:vMerge w:val="continue"/>
            <w:tcBorders>
              <w:left w:val="single" w:color="auto" w:sz="4" w:space="0"/>
              <w:right w:val="single" w:color="auto" w:sz="4" w:space="0"/>
            </w:tcBorders>
            <w:vAlign w:val="center"/>
          </w:tcPr>
          <w:p w14:paraId="451EC80F">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2677" w:type="dxa"/>
            <w:tcBorders>
              <w:left w:val="single" w:color="auto" w:sz="4" w:space="0"/>
              <w:right w:val="single" w:color="auto" w:sz="4" w:space="0"/>
            </w:tcBorders>
            <w:vAlign w:val="center"/>
          </w:tcPr>
          <w:p w14:paraId="1943A006">
            <w:pPr>
              <w:pageBreakBefore w:val="0"/>
              <w:widowControl/>
              <w:topLinePunct w:val="0"/>
              <w:bidi w:val="0"/>
              <w:spacing w:line="500" w:lineRule="exact"/>
              <w:ind w:right="0" w:rightChars="0"/>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实质性条款响应</w:t>
            </w:r>
          </w:p>
        </w:tc>
        <w:tc>
          <w:tcPr>
            <w:tcW w:w="6539" w:type="dxa"/>
            <w:tcBorders>
              <w:top w:val="single" w:color="auto" w:sz="4" w:space="0"/>
              <w:left w:val="single" w:color="auto" w:sz="4" w:space="0"/>
              <w:bottom w:val="single" w:color="auto" w:sz="4" w:space="0"/>
              <w:right w:val="single" w:color="auto" w:sz="4" w:space="0"/>
            </w:tcBorders>
            <w:vAlign w:val="center"/>
          </w:tcPr>
          <w:p w14:paraId="7699A17C">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完全响应招标文件要求的各项技术/服务/商务实质性条款。（实质性条款以★标识，未设置实质性条款时可忽略此项）</w:t>
            </w:r>
          </w:p>
        </w:tc>
      </w:tr>
      <w:tr w14:paraId="7BACD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588" w:type="dxa"/>
            <w:vMerge w:val="continue"/>
            <w:tcBorders>
              <w:left w:val="single" w:color="auto" w:sz="4" w:space="0"/>
              <w:right w:val="single" w:color="auto" w:sz="4" w:space="0"/>
            </w:tcBorders>
            <w:vAlign w:val="center"/>
          </w:tcPr>
          <w:p w14:paraId="44A0D0AC">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840" w:type="dxa"/>
            <w:vMerge w:val="continue"/>
            <w:tcBorders>
              <w:left w:val="single" w:color="auto" w:sz="4" w:space="0"/>
              <w:right w:val="single" w:color="auto" w:sz="4" w:space="0"/>
            </w:tcBorders>
            <w:vAlign w:val="center"/>
          </w:tcPr>
          <w:p w14:paraId="14725C7D">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2677" w:type="dxa"/>
            <w:tcBorders>
              <w:left w:val="single" w:color="auto" w:sz="4" w:space="0"/>
              <w:right w:val="single" w:color="auto" w:sz="4" w:space="0"/>
            </w:tcBorders>
            <w:vAlign w:val="center"/>
          </w:tcPr>
          <w:p w14:paraId="5594659E">
            <w:pPr>
              <w:pageBreakBefore w:val="0"/>
              <w:widowControl/>
              <w:topLinePunct w:val="0"/>
              <w:bidi w:val="0"/>
              <w:spacing w:line="500" w:lineRule="exact"/>
              <w:ind w:right="0" w:rightChars="0"/>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合同文本</w:t>
            </w:r>
          </w:p>
        </w:tc>
        <w:tc>
          <w:tcPr>
            <w:tcW w:w="6539" w:type="dxa"/>
            <w:tcBorders>
              <w:top w:val="single" w:color="auto" w:sz="4" w:space="0"/>
              <w:left w:val="single" w:color="auto" w:sz="4" w:space="0"/>
              <w:bottom w:val="single" w:color="auto" w:sz="4" w:space="0"/>
              <w:right w:val="single" w:color="auto" w:sz="4" w:space="0"/>
            </w:tcBorders>
            <w:vAlign w:val="center"/>
          </w:tcPr>
          <w:p w14:paraId="529A147C">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完全理解并接受招标文件合同基本条款的要求。</w:t>
            </w:r>
          </w:p>
        </w:tc>
      </w:tr>
      <w:tr w14:paraId="229F2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6" w:hRule="atLeast"/>
        </w:trPr>
        <w:tc>
          <w:tcPr>
            <w:tcW w:w="588" w:type="dxa"/>
            <w:vMerge w:val="continue"/>
            <w:tcBorders>
              <w:left w:val="single" w:color="auto" w:sz="4" w:space="0"/>
              <w:bottom w:val="single" w:color="auto" w:sz="4" w:space="0"/>
              <w:right w:val="single" w:color="auto" w:sz="4" w:space="0"/>
            </w:tcBorders>
            <w:vAlign w:val="center"/>
          </w:tcPr>
          <w:p w14:paraId="677D2F80">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840" w:type="dxa"/>
            <w:vMerge w:val="continue"/>
            <w:tcBorders>
              <w:left w:val="single" w:color="auto" w:sz="4" w:space="0"/>
              <w:bottom w:val="single" w:color="auto" w:sz="4" w:space="0"/>
              <w:right w:val="single" w:color="auto" w:sz="4" w:space="0"/>
            </w:tcBorders>
            <w:vAlign w:val="center"/>
          </w:tcPr>
          <w:p w14:paraId="2B531D8F">
            <w:pPr>
              <w:pageBreakBefore w:val="0"/>
              <w:widowControl/>
              <w:topLinePunct w:val="0"/>
              <w:bidi w:val="0"/>
              <w:spacing w:line="500" w:lineRule="exact"/>
              <w:ind w:left="0" w:leftChars="0" w:right="0" w:rightChars="0" w:firstLine="420" w:firstLineChars="200"/>
              <w:jc w:val="left"/>
              <w:rPr>
                <w:rFonts w:hint="eastAsia" w:ascii="宋体" w:hAnsi="宋体"/>
                <w:color w:val="auto"/>
                <w:sz w:val="21"/>
                <w:szCs w:val="21"/>
                <w:lang w:val="en-US" w:eastAsia="zh-CN"/>
              </w:rPr>
            </w:pPr>
          </w:p>
        </w:tc>
        <w:tc>
          <w:tcPr>
            <w:tcW w:w="2677" w:type="dxa"/>
            <w:tcBorders>
              <w:left w:val="single" w:color="auto" w:sz="4" w:space="0"/>
              <w:bottom w:val="single" w:color="auto" w:sz="4" w:space="0"/>
              <w:right w:val="single" w:color="auto" w:sz="4" w:space="0"/>
            </w:tcBorders>
            <w:vAlign w:val="center"/>
          </w:tcPr>
          <w:p w14:paraId="21D6180A">
            <w:pPr>
              <w:pageBreakBefore w:val="0"/>
              <w:widowControl/>
              <w:topLinePunct w:val="0"/>
              <w:bidi w:val="0"/>
              <w:spacing w:line="500" w:lineRule="exact"/>
              <w:ind w:right="0" w:rightChars="0"/>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其他</w:t>
            </w:r>
          </w:p>
        </w:tc>
        <w:tc>
          <w:tcPr>
            <w:tcW w:w="6539" w:type="dxa"/>
            <w:tcBorders>
              <w:top w:val="single" w:color="auto" w:sz="4" w:space="0"/>
              <w:left w:val="single" w:color="auto" w:sz="4" w:space="0"/>
              <w:bottom w:val="single" w:color="auto" w:sz="4" w:space="0"/>
              <w:right w:val="single" w:color="auto" w:sz="4" w:space="0"/>
            </w:tcBorders>
            <w:vAlign w:val="center"/>
          </w:tcPr>
          <w:p w14:paraId="2995EFAF">
            <w:pPr>
              <w:pageBreakBefore w:val="0"/>
              <w:widowControl/>
              <w:topLinePunct w:val="0"/>
              <w:bidi w:val="0"/>
              <w:spacing w:line="500" w:lineRule="exact"/>
              <w:ind w:right="0" w:rightChars="0"/>
              <w:jc w:val="left"/>
              <w:rPr>
                <w:rFonts w:hint="eastAsia" w:ascii="宋体" w:hAnsi="宋体"/>
                <w:color w:val="auto"/>
                <w:sz w:val="21"/>
                <w:szCs w:val="21"/>
                <w:lang w:val="en-US" w:eastAsia="zh-CN"/>
              </w:rPr>
            </w:pPr>
            <w:r>
              <w:rPr>
                <w:rFonts w:hint="eastAsia" w:ascii="宋体" w:hAnsi="宋体"/>
                <w:color w:val="auto"/>
                <w:sz w:val="21"/>
                <w:szCs w:val="21"/>
                <w:lang w:val="en-US" w:eastAsia="zh-CN"/>
              </w:rPr>
              <w:t>完全理解并接受法律法规和招标文件对供应商的各项须知、规约要求和责任义务，没有出现法律法规或招标文件明确规定的其他被视为“无效投标”的情形。</w:t>
            </w:r>
          </w:p>
        </w:tc>
      </w:tr>
    </w:tbl>
    <w:p w14:paraId="118181FF">
      <w:pPr>
        <w:pageBreakBefore w:val="0"/>
        <w:widowControl/>
        <w:topLinePunct w:val="0"/>
        <w:autoSpaceDE/>
        <w:autoSpaceDN/>
        <w:bidi w:val="0"/>
        <w:spacing w:line="500" w:lineRule="exact"/>
        <w:ind w:left="0" w:leftChars="0" w:right="0" w:rightChars="0" w:firstLine="440" w:firstLineChars="200"/>
        <w:rPr>
          <w:b/>
          <w:bCs/>
          <w:color w:val="auto"/>
          <w:sz w:val="24"/>
          <w:szCs w:val="24"/>
        </w:rPr>
      </w:pPr>
      <w:r>
        <w:rPr>
          <w:color w:val="auto"/>
        </w:rPr>
        <w:br w:type="page"/>
      </w:r>
    </w:p>
    <w:p w14:paraId="3D8745EF">
      <w:pPr>
        <w:pStyle w:val="7"/>
        <w:pageBreakBefore w:val="0"/>
        <w:topLinePunct w:val="0"/>
        <w:bidi w:val="0"/>
        <w:spacing w:line="500" w:lineRule="exact"/>
        <w:ind w:left="0" w:leftChars="0" w:right="0" w:rightChars="0" w:firstLine="482" w:firstLineChars="200"/>
        <w:rPr>
          <w:color w:val="auto"/>
        </w:rPr>
      </w:pPr>
      <w:r>
        <w:rPr>
          <w:rFonts w:hint="eastAsia"/>
          <w:color w:val="auto"/>
        </w:rPr>
        <w:t>（二）详细评审要素表</w:t>
      </w:r>
    </w:p>
    <w:p w14:paraId="7E2C99AA">
      <w:pPr>
        <w:pStyle w:val="7"/>
        <w:pageBreakBefore w:val="0"/>
        <w:topLinePunct w:val="0"/>
        <w:bidi w:val="0"/>
        <w:spacing w:line="500" w:lineRule="exact"/>
        <w:ind w:left="0" w:leftChars="0" w:right="0" w:rightChars="0" w:firstLine="0" w:firstLineChars="0"/>
        <w:rPr>
          <w:color w:val="auto"/>
        </w:rPr>
      </w:pPr>
      <w:r>
        <w:rPr>
          <w:rFonts w:hint="eastAsia"/>
          <w:color w:val="auto"/>
          <w:lang w:val="en-US" w:eastAsia="zh-CN"/>
        </w:rPr>
        <w:t>合同包一</w:t>
      </w:r>
      <w:r>
        <w:rPr>
          <w:rFonts w:hint="eastAsia" w:ascii="宋体" w:hAnsi="宋体" w:eastAsia="宋体" w:cs="宋体"/>
          <w:color w:val="auto"/>
          <w:lang w:val="en-US" w:eastAsia="zh-CN"/>
        </w:rPr>
        <w:t>：</w:t>
      </w:r>
      <w:r>
        <w:rPr>
          <w:rFonts w:hint="eastAsia" w:cs="宋体"/>
          <w:color w:val="auto"/>
          <w:lang w:val="en-US" w:eastAsia="zh-CN"/>
        </w:rPr>
        <w:t>A片区米面油、牛奶采购</w:t>
      </w:r>
    </w:p>
    <w:tbl>
      <w:tblPr>
        <w:tblStyle w:val="23"/>
        <w:tblW w:w="9528"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
        <w:gridCol w:w="743"/>
        <w:gridCol w:w="1467"/>
        <w:gridCol w:w="6529"/>
      </w:tblGrid>
      <w:tr w14:paraId="01B08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55" w:hRule="atLeast"/>
        </w:trPr>
        <w:tc>
          <w:tcPr>
            <w:tcW w:w="789" w:type="dxa"/>
            <w:noWrap w:val="0"/>
            <w:vAlign w:val="center"/>
          </w:tcPr>
          <w:p w14:paraId="269D2724">
            <w:pPr>
              <w:pStyle w:val="49"/>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类别</w:t>
            </w:r>
          </w:p>
        </w:tc>
        <w:tc>
          <w:tcPr>
            <w:tcW w:w="743" w:type="dxa"/>
            <w:noWrap w:val="0"/>
            <w:vAlign w:val="center"/>
          </w:tcPr>
          <w:p w14:paraId="63096D74">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1467" w:type="dxa"/>
            <w:noWrap w:val="0"/>
            <w:vAlign w:val="center"/>
          </w:tcPr>
          <w:p w14:paraId="1217C547">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评审要素及分值</w:t>
            </w:r>
          </w:p>
        </w:tc>
        <w:tc>
          <w:tcPr>
            <w:tcW w:w="6529" w:type="dxa"/>
            <w:noWrap w:val="0"/>
            <w:vAlign w:val="center"/>
          </w:tcPr>
          <w:p w14:paraId="7A9DE02E">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赋分标准</w:t>
            </w:r>
          </w:p>
        </w:tc>
      </w:tr>
      <w:tr w14:paraId="47FAB9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54" w:hRule="atLeast"/>
        </w:trPr>
        <w:tc>
          <w:tcPr>
            <w:tcW w:w="789" w:type="dxa"/>
            <w:noWrap w:val="0"/>
            <w:vAlign w:val="center"/>
          </w:tcPr>
          <w:p w14:paraId="014EFA74">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w:t>
            </w:r>
          </w:p>
          <w:p w14:paraId="265958CA">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30分</w:t>
            </w:r>
          </w:p>
        </w:tc>
        <w:tc>
          <w:tcPr>
            <w:tcW w:w="743" w:type="dxa"/>
            <w:noWrap w:val="0"/>
            <w:vAlign w:val="center"/>
          </w:tcPr>
          <w:p w14:paraId="33EFD39A">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467" w:type="dxa"/>
            <w:noWrap w:val="0"/>
            <w:vAlign w:val="center"/>
          </w:tcPr>
          <w:p w14:paraId="11E11D21">
            <w:pPr>
              <w:keepNext w:val="0"/>
              <w:keepLines w:val="0"/>
              <w:pageBreakBefore w:val="0"/>
              <w:widowControl/>
              <w:kinsoku/>
              <w:wordWrap/>
              <w:overflowPunct/>
              <w:topLinePunct w:val="0"/>
              <w:bidi w:val="0"/>
              <w:adjustRightInd/>
              <w:snapToGrid/>
              <w:spacing w:line="400" w:lineRule="exact"/>
              <w:ind w:left="0" w:right="0" w:hanging="2"/>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价格</w:t>
            </w:r>
          </w:p>
          <w:p w14:paraId="74DF0204">
            <w:pPr>
              <w:keepNext w:val="0"/>
              <w:keepLines w:val="0"/>
              <w:pageBreakBefore w:val="0"/>
              <w:widowControl/>
              <w:kinsoku/>
              <w:wordWrap/>
              <w:overflowPunct/>
              <w:topLinePunct w:val="0"/>
              <w:bidi w:val="0"/>
              <w:adjustRightInd/>
              <w:snapToGrid/>
              <w:spacing w:line="400" w:lineRule="exact"/>
              <w:ind w:left="0" w:right="0" w:hanging="2"/>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30分</w:t>
            </w:r>
            <w:r>
              <w:rPr>
                <w:rFonts w:hint="eastAsia" w:cs="宋体"/>
                <w:color w:val="auto"/>
                <w:sz w:val="24"/>
                <w:szCs w:val="24"/>
                <w:highlight w:val="none"/>
                <w:lang w:val="en-US" w:eastAsia="zh-CN"/>
              </w:rPr>
              <w:t>）</w:t>
            </w:r>
          </w:p>
        </w:tc>
        <w:tc>
          <w:tcPr>
            <w:tcW w:w="6529" w:type="dxa"/>
            <w:noWrap w:val="0"/>
            <w:vAlign w:val="center"/>
          </w:tcPr>
          <w:p w14:paraId="38E8BEEF">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以满足招标文件要求且投标报价最低的为评标基准价，其价格分为满分 30 分，其他供应商的价格分按照下列公式计算：投标报价得分=（评标基准价/投标报价）×30。</w:t>
            </w:r>
            <w:r>
              <w:rPr>
                <w:rFonts w:hint="eastAsia" w:cs="宋体"/>
                <w:color w:val="auto"/>
                <w:sz w:val="24"/>
                <w:szCs w:val="24"/>
                <w:highlight w:val="none"/>
                <w:lang w:val="en-US" w:eastAsia="zh-CN"/>
              </w:rPr>
              <w:t>（</w:t>
            </w:r>
            <w:r>
              <w:rPr>
                <w:rFonts w:hint="eastAsia"/>
                <w:b/>
                <w:bCs/>
                <w:color w:val="auto"/>
                <w:sz w:val="24"/>
                <w:szCs w:val="24"/>
                <w:lang w:val="en-US" w:eastAsia="zh-CN"/>
              </w:rPr>
              <w:t>符合招标文件规定的小微企业、监狱企业或残疾人福利性单位优惠条件的供应商，价格给予10%的扣除（不重复优惠，最高为10%），用扣除后的价格参与评审。</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 xml:space="preserve"> </w:t>
            </w:r>
          </w:p>
        </w:tc>
      </w:tr>
      <w:tr w14:paraId="6504BD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89" w:type="dxa"/>
            <w:vMerge w:val="restart"/>
            <w:noWrap w:val="0"/>
            <w:vAlign w:val="center"/>
          </w:tcPr>
          <w:p w14:paraId="55D3B174">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w:t>
            </w:r>
          </w:p>
          <w:p w14:paraId="57C1E35A">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64</w:t>
            </w:r>
            <w:r>
              <w:rPr>
                <w:rFonts w:hint="eastAsia" w:ascii="宋体" w:hAnsi="宋体" w:eastAsia="宋体" w:cs="宋体"/>
                <w:color w:val="auto"/>
                <w:sz w:val="24"/>
                <w:szCs w:val="24"/>
                <w:highlight w:val="none"/>
              </w:rPr>
              <w:t>分</w:t>
            </w:r>
          </w:p>
        </w:tc>
        <w:tc>
          <w:tcPr>
            <w:tcW w:w="743" w:type="dxa"/>
            <w:vMerge w:val="restart"/>
            <w:noWrap w:val="0"/>
            <w:vAlign w:val="center"/>
          </w:tcPr>
          <w:p w14:paraId="1A0859F7">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467" w:type="dxa"/>
            <w:vMerge w:val="restart"/>
            <w:noWrap w:val="0"/>
            <w:vAlign w:val="center"/>
          </w:tcPr>
          <w:p w14:paraId="4C452DAE">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技术方案</w:t>
            </w:r>
          </w:p>
          <w:p w14:paraId="5A718195">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w:t>
            </w:r>
            <w:r>
              <w:rPr>
                <w:rFonts w:hint="eastAsia" w:cs="宋体"/>
                <w:bCs/>
                <w:color w:val="auto"/>
                <w:sz w:val="24"/>
                <w:szCs w:val="24"/>
                <w:highlight w:val="none"/>
                <w:lang w:val="en-US" w:eastAsia="zh-CN"/>
              </w:rPr>
              <w:t>50</w:t>
            </w:r>
            <w:r>
              <w:rPr>
                <w:rFonts w:hint="eastAsia" w:ascii="宋体" w:hAnsi="宋体" w:eastAsia="宋体" w:cs="宋体"/>
                <w:bCs/>
                <w:color w:val="auto"/>
                <w:sz w:val="24"/>
                <w:szCs w:val="24"/>
                <w:highlight w:val="none"/>
              </w:rPr>
              <w:t>分）</w:t>
            </w:r>
          </w:p>
        </w:tc>
        <w:tc>
          <w:tcPr>
            <w:tcW w:w="6529" w:type="dxa"/>
            <w:noWrap w:val="0"/>
            <w:vAlign w:val="center"/>
          </w:tcPr>
          <w:p w14:paraId="457FDDE3">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cs="宋体"/>
                <w:b/>
                <w:bCs/>
                <w:color w:val="auto"/>
                <w:sz w:val="24"/>
                <w:szCs w:val="24"/>
                <w:highlight w:val="none"/>
                <w:lang w:val="en-US" w:eastAsia="zh-CN"/>
              </w:rPr>
            </w:pPr>
            <w:r>
              <w:rPr>
                <w:rFonts w:hint="eastAsia" w:cs="宋体"/>
                <w:b/>
                <w:bCs/>
                <w:color w:val="auto"/>
                <w:sz w:val="24"/>
                <w:szCs w:val="24"/>
                <w:highlight w:val="none"/>
                <w:lang w:val="en-US" w:eastAsia="zh-CN"/>
              </w:rPr>
              <w:t>产品渠道（5分）：</w:t>
            </w:r>
          </w:p>
          <w:p w14:paraId="5578F62E">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1.产品来源渠道合法且相关证明材料（包括但不限于销售协议、代理协议、原厂授权等）符合要求的得3分，提供但不完整的得2分，未提供或存在明显问题的得0分。</w:t>
            </w:r>
          </w:p>
          <w:p w14:paraId="7BF70DF2">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2.核心产品生产厂家连带质量责任承担承诺，符合规范的得 2分，承诺不规范的得1分，无有效承诺的得0分。</w:t>
            </w:r>
          </w:p>
          <w:p w14:paraId="4777EF45">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技术指标（1</w:t>
            </w:r>
            <w:r>
              <w:rPr>
                <w:rFonts w:hint="eastAsia"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color w:val="auto"/>
                <w:sz w:val="24"/>
                <w:szCs w:val="24"/>
                <w:highlight w:val="none"/>
                <w:lang w:val="en-US" w:eastAsia="zh-CN"/>
              </w:rPr>
              <w:t>提供所投产品执行</w:t>
            </w:r>
            <w:r>
              <w:rPr>
                <w:rFonts w:hint="eastAsia" w:cs="宋体"/>
                <w:color w:val="auto"/>
                <w:sz w:val="24"/>
                <w:szCs w:val="24"/>
                <w:highlight w:val="none"/>
                <w:lang w:val="en-US" w:eastAsia="zh-CN"/>
              </w:rPr>
              <w:t>国家</w:t>
            </w:r>
            <w:r>
              <w:rPr>
                <w:rFonts w:hint="eastAsia" w:ascii="宋体" w:hAnsi="宋体" w:eastAsia="宋体" w:cs="宋体"/>
                <w:color w:val="auto"/>
                <w:sz w:val="24"/>
                <w:szCs w:val="24"/>
                <w:highlight w:val="none"/>
                <w:lang w:val="en-US" w:eastAsia="zh-CN"/>
              </w:rPr>
              <w:t>标准所检测的本年度产品技术参数及质检报告，参数清晰明确，技术指标和规格完全满足招标文件要求，检测报告等印证资料齐全。</w:t>
            </w:r>
          </w:p>
          <w:p w14:paraId="52FEE5F2">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1.产品完全满足要求、质量优良，印证资料完善、符合标准规范、能充分佐证产品质量的，得1</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63A05A34">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2.产品满足要求、质量优良，印证资料较为完善、符合标准规范、能佐证产品质量的，得</w:t>
            </w:r>
            <w:r>
              <w:rPr>
                <w:rFonts w:hint="eastAsia"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w:t>
            </w:r>
          </w:p>
          <w:p w14:paraId="7DF9FD02">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3.产品基本满足要求、质量合格，印证资料较为完善、基本符合标准规范、能佐证产品质量的，得</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258025C6">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4.产品不能满足要求，印证资料不完善、不符合标准规范、难以佐证产品质量的，得0分。</w:t>
            </w:r>
          </w:p>
          <w:p w14:paraId="185A8D83">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ascii="宋体" w:hAnsi="宋体" w:eastAsia="宋体" w:cs="宋体"/>
                <w:b/>
                <w:bCs/>
                <w:color w:val="auto"/>
                <w:sz w:val="24"/>
                <w:szCs w:val="24"/>
                <w:highlight w:val="none"/>
                <w:lang w:val="en-US"/>
              </w:rPr>
            </w:pPr>
            <w:r>
              <w:rPr>
                <w:rFonts w:hint="eastAsia" w:cs="宋体"/>
                <w:b/>
                <w:bCs/>
                <w:color w:val="auto"/>
                <w:sz w:val="24"/>
                <w:szCs w:val="24"/>
                <w:highlight w:val="none"/>
                <w:lang w:val="en-US" w:eastAsia="zh-CN"/>
              </w:rPr>
              <w:t>（所有材料需提供原件的扫描件）</w:t>
            </w:r>
          </w:p>
        </w:tc>
      </w:tr>
      <w:tr w14:paraId="5851DF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589" w:hRule="atLeast"/>
        </w:trPr>
        <w:tc>
          <w:tcPr>
            <w:tcW w:w="789" w:type="dxa"/>
            <w:vMerge w:val="continue"/>
            <w:noWrap w:val="0"/>
            <w:vAlign w:val="center"/>
          </w:tcPr>
          <w:p w14:paraId="3A2634A2">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vMerge w:val="continue"/>
            <w:noWrap w:val="0"/>
            <w:vAlign w:val="center"/>
          </w:tcPr>
          <w:p w14:paraId="1D5511A7">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p>
        </w:tc>
        <w:tc>
          <w:tcPr>
            <w:tcW w:w="1467" w:type="dxa"/>
            <w:vMerge w:val="continue"/>
            <w:noWrap w:val="0"/>
            <w:vAlign w:val="center"/>
          </w:tcPr>
          <w:p w14:paraId="6F7EE904">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p>
        </w:tc>
        <w:tc>
          <w:tcPr>
            <w:tcW w:w="6529" w:type="dxa"/>
            <w:noWrap w:val="0"/>
            <w:vAlign w:val="center"/>
          </w:tcPr>
          <w:p w14:paraId="753E1B8C">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总体方案（</w:t>
            </w:r>
            <w:r>
              <w:rPr>
                <w:rFonts w:hint="eastAsia"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color w:val="auto"/>
                <w:sz w:val="24"/>
                <w:szCs w:val="24"/>
                <w:highlight w:val="none"/>
                <w:lang w:val="en-US" w:eastAsia="zh-CN"/>
              </w:rPr>
              <w:t>：</w:t>
            </w:r>
          </w:p>
          <w:p w14:paraId="609FCFD0">
            <w:pPr>
              <w:rPr>
                <w:rFonts w:hint="eastAsia" w:ascii="宋体" w:hAnsi="宋体" w:eastAsia="宋体" w:cs="宋体"/>
                <w:sz w:val="24"/>
                <w:szCs w:val="24"/>
              </w:rPr>
            </w:pPr>
            <w:r>
              <w:rPr>
                <w:rFonts w:hint="eastAsia" w:ascii="宋体" w:hAnsi="宋体" w:eastAsia="宋体" w:cs="宋体"/>
                <w:sz w:val="24"/>
                <w:szCs w:val="24"/>
              </w:rPr>
              <w:t>根据项目需求编制</w:t>
            </w:r>
            <w:r>
              <w:rPr>
                <w:rFonts w:hint="eastAsia" w:ascii="宋体" w:hAnsi="宋体" w:eastAsia="宋体" w:cs="宋体"/>
                <w:sz w:val="24"/>
                <w:szCs w:val="24"/>
                <w:lang w:eastAsia="zh-CN"/>
              </w:rPr>
              <w:t>实施</w:t>
            </w:r>
            <w:r>
              <w:rPr>
                <w:rFonts w:hint="eastAsia" w:ascii="宋体" w:hAnsi="宋体" w:eastAsia="宋体" w:cs="宋体"/>
                <w:sz w:val="24"/>
                <w:szCs w:val="24"/>
              </w:rPr>
              <w:t>方案</w:t>
            </w:r>
            <w:r>
              <w:rPr>
                <w:rFonts w:hint="eastAsia" w:ascii="宋体" w:hAnsi="宋体" w:cs="宋体"/>
                <w:sz w:val="24"/>
                <w:szCs w:val="24"/>
                <w:lang w:eastAsia="zh-CN"/>
              </w:rPr>
              <w:t>：</w:t>
            </w:r>
            <w:r>
              <w:rPr>
                <w:rFonts w:hint="eastAsia" w:ascii="宋体" w:hAnsi="宋体" w:cs="宋体"/>
                <w:sz w:val="24"/>
                <w:szCs w:val="24"/>
                <w:lang w:val="en-US" w:eastAsia="zh-CN"/>
              </w:rPr>
              <w:t>方案至少包括</w:t>
            </w:r>
            <w:r>
              <w:rPr>
                <w:rFonts w:hint="eastAsia" w:ascii="宋体" w:hAnsi="宋体" w:eastAsia="宋体" w:cs="宋体"/>
                <w:sz w:val="24"/>
                <w:szCs w:val="24"/>
              </w:rPr>
              <w:t>①供货保障</w:t>
            </w:r>
            <w:r>
              <w:rPr>
                <w:rFonts w:hint="eastAsia" w:ascii="宋体" w:hAnsi="宋体" w:cs="宋体"/>
                <w:sz w:val="24"/>
                <w:szCs w:val="24"/>
                <w:lang w:eastAsia="zh-CN"/>
              </w:rPr>
              <w:t>；</w:t>
            </w:r>
            <w:r>
              <w:rPr>
                <w:rFonts w:hint="eastAsia" w:ascii="宋体" w:hAnsi="宋体" w:eastAsia="宋体" w:cs="宋体"/>
                <w:sz w:val="24"/>
                <w:szCs w:val="24"/>
              </w:rPr>
              <w:t>②管理制度</w:t>
            </w:r>
            <w:r>
              <w:rPr>
                <w:rFonts w:hint="eastAsia" w:ascii="宋体" w:hAnsi="宋体" w:cs="宋体"/>
                <w:sz w:val="24"/>
                <w:szCs w:val="24"/>
                <w:lang w:eastAsia="zh-CN"/>
              </w:rPr>
              <w:t>；</w:t>
            </w:r>
            <w:r>
              <w:rPr>
                <w:rFonts w:hint="eastAsia" w:ascii="宋体" w:hAnsi="宋体" w:eastAsia="宋体" w:cs="宋体"/>
                <w:sz w:val="24"/>
                <w:szCs w:val="24"/>
              </w:rPr>
              <w:t>③运行模式</w:t>
            </w:r>
            <w:r>
              <w:rPr>
                <w:rFonts w:hint="eastAsia" w:ascii="宋体" w:hAnsi="宋体" w:cs="宋体"/>
                <w:sz w:val="24"/>
                <w:szCs w:val="24"/>
                <w:lang w:eastAsia="zh-CN"/>
              </w:rPr>
              <w:t>。</w:t>
            </w:r>
            <w:r>
              <w:rPr>
                <w:rFonts w:hint="eastAsia" w:ascii="宋体" w:hAnsi="宋体" w:eastAsia="宋体" w:cs="宋体"/>
                <w:sz w:val="24"/>
                <w:szCs w:val="24"/>
                <w:lang w:eastAsia="zh-CN"/>
              </w:rPr>
              <w:t>以上</w:t>
            </w:r>
            <w:r>
              <w:rPr>
                <w:rFonts w:hint="eastAsia" w:ascii="宋体" w:hAnsi="宋体" w:eastAsia="宋体" w:cs="宋体"/>
                <w:sz w:val="24"/>
                <w:szCs w:val="24"/>
                <w:lang w:val="en-US" w:eastAsia="zh-CN"/>
              </w:rPr>
              <w:t>3项内容齐全，针对性强、条理清晰、表述准确得分</w:t>
            </w:r>
            <w:r>
              <w:rPr>
                <w:rFonts w:hint="eastAsia" w:cs="宋体"/>
                <w:sz w:val="24"/>
                <w:szCs w:val="24"/>
                <w:lang w:val="en-US" w:eastAsia="zh-CN"/>
              </w:rPr>
              <w:t>6</w:t>
            </w:r>
            <w:r>
              <w:rPr>
                <w:rFonts w:hint="eastAsia" w:ascii="宋体" w:hAnsi="宋体" w:eastAsia="宋体" w:cs="宋体"/>
                <w:sz w:val="24"/>
                <w:szCs w:val="24"/>
                <w:lang w:val="en-US" w:eastAsia="zh-CN"/>
              </w:rPr>
              <w:t>分。每缺少一项内容扣</w:t>
            </w:r>
            <w:r>
              <w:rPr>
                <w:rFonts w:hint="eastAsia" w:cs="宋体"/>
                <w:sz w:val="24"/>
                <w:szCs w:val="24"/>
                <w:lang w:val="en-US" w:eastAsia="zh-CN"/>
              </w:rPr>
              <w:t>2</w:t>
            </w:r>
            <w:r>
              <w:rPr>
                <w:rFonts w:hint="eastAsia" w:ascii="宋体" w:hAnsi="宋体" w:eastAsia="宋体" w:cs="宋体"/>
                <w:sz w:val="24"/>
                <w:szCs w:val="24"/>
                <w:lang w:val="en-US" w:eastAsia="zh-CN"/>
              </w:rPr>
              <w:t>分（缺陷是指在完整性、可实施性和针对性等方面存在瑕疵或实用性不强）</w:t>
            </w:r>
            <w:r>
              <w:rPr>
                <w:rFonts w:hint="eastAsia" w:ascii="宋体" w:hAnsi="宋体" w:eastAsia="宋体" w:cs="宋体"/>
                <w:sz w:val="24"/>
                <w:szCs w:val="24"/>
              </w:rPr>
              <w:t>。</w:t>
            </w:r>
          </w:p>
          <w:p w14:paraId="021DB923">
            <w:pPr>
              <w:rPr>
                <w:rFonts w:hint="eastAsia" w:ascii="宋体" w:hAnsi="宋体" w:eastAsia="宋体" w:cs="宋体"/>
                <w:sz w:val="24"/>
                <w:szCs w:val="24"/>
              </w:rPr>
            </w:pPr>
            <w:r>
              <w:rPr>
                <w:rFonts w:hint="eastAsia" w:ascii="宋体" w:hAnsi="宋体" w:eastAsia="宋体" w:cs="宋体"/>
                <w:sz w:val="24"/>
                <w:szCs w:val="24"/>
              </w:rPr>
              <w:t>根据评审标准对供应商技术方案进行评审，每一条不符合本项目特点和实际需求，存在缺陷或实用性不强的扣1分，扣完为止。</w:t>
            </w:r>
          </w:p>
          <w:p w14:paraId="38B08F25">
            <w:pPr>
              <w:rPr>
                <w:rFonts w:hint="eastAsia" w:ascii="宋体" w:hAnsi="宋体" w:eastAsia="宋体" w:cs="宋体"/>
                <w:sz w:val="24"/>
                <w:szCs w:val="24"/>
              </w:rPr>
            </w:pPr>
            <w:r>
              <w:rPr>
                <w:rFonts w:hint="eastAsia" w:ascii="宋体" w:hAnsi="宋体" w:eastAsia="宋体" w:cs="宋体"/>
                <w:sz w:val="24"/>
                <w:szCs w:val="24"/>
              </w:rPr>
              <w:t xml:space="preserve">评审标准： </w:t>
            </w:r>
          </w:p>
          <w:p w14:paraId="11E1CAB1">
            <w:pPr>
              <w:rPr>
                <w:rFonts w:hint="eastAsia" w:ascii="宋体" w:hAnsi="宋体" w:eastAsia="宋体" w:cs="宋体"/>
                <w:sz w:val="24"/>
                <w:szCs w:val="24"/>
              </w:rPr>
            </w:pPr>
            <w:r>
              <w:rPr>
                <w:rFonts w:hint="eastAsia" w:ascii="宋体" w:hAnsi="宋体" w:eastAsia="宋体" w:cs="宋体"/>
                <w:sz w:val="24"/>
                <w:szCs w:val="24"/>
              </w:rPr>
              <w:t xml:space="preserve">完整性：方案须全面，对评审内容中的各项要求有详细描述； </w:t>
            </w:r>
          </w:p>
          <w:p w14:paraId="1C527711">
            <w:pPr>
              <w:rPr>
                <w:rFonts w:hint="eastAsia" w:ascii="宋体" w:hAnsi="宋体" w:eastAsia="宋体" w:cs="宋体"/>
                <w:sz w:val="24"/>
                <w:szCs w:val="24"/>
              </w:rPr>
            </w:pPr>
            <w:r>
              <w:rPr>
                <w:rFonts w:hint="eastAsia" w:ascii="宋体" w:hAnsi="宋体" w:eastAsia="宋体" w:cs="宋体"/>
                <w:sz w:val="24"/>
                <w:szCs w:val="24"/>
              </w:rPr>
              <w:t xml:space="preserve">可实施性：切合本项目实际情况，实施步骤清晰、合理； </w:t>
            </w:r>
          </w:p>
          <w:p w14:paraId="2B81CB08">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rPr>
              <w:t xml:space="preserve">针对性：方案能够紧扣项目实际情况，内容科学合理。 </w:t>
            </w:r>
          </w:p>
        </w:tc>
      </w:tr>
      <w:tr w14:paraId="1E5EC1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89" w:type="dxa"/>
            <w:vMerge w:val="continue"/>
            <w:noWrap w:val="0"/>
            <w:vAlign w:val="center"/>
          </w:tcPr>
          <w:p w14:paraId="7760E44A">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vMerge w:val="continue"/>
            <w:noWrap w:val="0"/>
            <w:vAlign w:val="center"/>
          </w:tcPr>
          <w:p w14:paraId="1E3C2595">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1467" w:type="dxa"/>
            <w:vMerge w:val="continue"/>
            <w:noWrap w:val="0"/>
            <w:vAlign w:val="center"/>
          </w:tcPr>
          <w:p w14:paraId="031A2333">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6529" w:type="dxa"/>
            <w:noWrap w:val="0"/>
            <w:vAlign w:val="center"/>
          </w:tcPr>
          <w:p w14:paraId="287BF6D3">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仓储</w:t>
            </w:r>
            <w:r>
              <w:rPr>
                <w:rFonts w:hint="eastAsia" w:ascii="宋体" w:hAnsi="宋体" w:eastAsia="宋体" w:cs="宋体"/>
                <w:b/>
                <w:bCs/>
                <w:color w:val="auto"/>
                <w:sz w:val="24"/>
                <w:szCs w:val="24"/>
                <w:highlight w:val="none"/>
              </w:rPr>
              <w:t>和冷藏</w:t>
            </w:r>
            <w:r>
              <w:rPr>
                <w:rFonts w:hint="eastAsia" w:ascii="宋体" w:hAnsi="宋体" w:eastAsia="宋体" w:cs="宋体"/>
                <w:b/>
                <w:bCs/>
                <w:color w:val="auto"/>
                <w:sz w:val="24"/>
                <w:szCs w:val="24"/>
                <w:highlight w:val="none"/>
                <w:lang w:eastAsia="zh-CN"/>
              </w:rPr>
              <w:t>保</w:t>
            </w:r>
            <w:r>
              <w:rPr>
                <w:rFonts w:hint="eastAsia" w:ascii="宋体" w:hAnsi="宋体" w:eastAsia="宋体" w:cs="宋体"/>
                <w:b/>
                <w:bCs/>
                <w:color w:val="auto"/>
                <w:sz w:val="24"/>
                <w:szCs w:val="24"/>
                <w:highlight w:val="none"/>
              </w:rPr>
              <w:t>鲜</w:t>
            </w:r>
            <w:r>
              <w:rPr>
                <w:rFonts w:hint="eastAsia" w:ascii="宋体" w:hAnsi="宋体" w:eastAsia="宋体" w:cs="宋体"/>
                <w:b/>
                <w:bCs/>
                <w:color w:val="auto"/>
                <w:sz w:val="24"/>
                <w:szCs w:val="24"/>
                <w:highlight w:val="none"/>
                <w:lang w:val="en-US" w:eastAsia="zh-CN"/>
              </w:rPr>
              <w:t>能力（</w:t>
            </w:r>
            <w:r>
              <w:rPr>
                <w:rFonts w:hint="eastAsia" w:cs="宋体"/>
                <w:b/>
                <w:bCs/>
                <w:color w:val="auto"/>
                <w:sz w:val="24"/>
                <w:szCs w:val="24"/>
                <w:highlight w:val="none"/>
                <w:lang w:val="en-US" w:eastAsia="zh-CN"/>
              </w:rPr>
              <w:t>12</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color w:val="auto"/>
                <w:kern w:val="2"/>
                <w:sz w:val="24"/>
                <w:szCs w:val="24"/>
                <w:highlight w:val="none"/>
                <w:lang w:val="en-US" w:eastAsia="zh-CN" w:bidi="ar-SA"/>
              </w:rPr>
              <w:t>：有独立的仓库，且为</w:t>
            </w:r>
            <w:r>
              <w:rPr>
                <w:rFonts w:hint="eastAsia" w:cs="宋体"/>
                <w:color w:val="auto"/>
                <w:kern w:val="2"/>
                <w:sz w:val="24"/>
                <w:szCs w:val="24"/>
                <w:highlight w:val="none"/>
                <w:lang w:val="en-US" w:eastAsia="zh-CN" w:bidi="ar-SA"/>
              </w:rPr>
              <w:t>食品</w:t>
            </w:r>
            <w:r>
              <w:rPr>
                <w:rFonts w:hint="eastAsia" w:ascii="宋体" w:hAnsi="宋体" w:eastAsia="宋体" w:cs="宋体"/>
                <w:color w:val="auto"/>
                <w:kern w:val="2"/>
                <w:sz w:val="24"/>
                <w:szCs w:val="24"/>
                <w:highlight w:val="none"/>
                <w:lang w:val="en-US" w:eastAsia="zh-CN" w:bidi="ar-SA"/>
              </w:rPr>
              <w:t>材料存储专用库</w:t>
            </w:r>
            <w:r>
              <w:rPr>
                <w:rFonts w:hint="eastAsia"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提供库房自有证明或租赁合同和仓储设备及其他能反映出其适合产品储存、周转的证明材料，满足相关食材所要求的存储要求</w:t>
            </w:r>
            <w:r>
              <w:rPr>
                <w:rFonts w:hint="eastAsia" w:cs="宋体"/>
                <w:color w:val="auto"/>
                <w:kern w:val="2"/>
                <w:sz w:val="24"/>
                <w:szCs w:val="24"/>
                <w:highlight w:val="none"/>
                <w:lang w:val="en-US" w:eastAsia="zh-CN" w:bidi="ar-SA"/>
              </w:rPr>
              <w:t>（</w:t>
            </w:r>
            <w:r>
              <w:rPr>
                <w:rFonts w:hint="eastAsia" w:ascii="宋体" w:hAnsi="宋体" w:eastAsia="宋体" w:cs="宋体"/>
                <w:b/>
                <w:bCs/>
                <w:color w:val="auto"/>
                <w:kern w:val="2"/>
                <w:sz w:val="24"/>
                <w:szCs w:val="24"/>
                <w:highlight w:val="none"/>
                <w:lang w:val="en-US" w:eastAsia="zh-CN" w:bidi="ar-SA"/>
              </w:rPr>
              <w:t>证明材料中所用的照片必须为清晰的全方位彩色照片</w:t>
            </w:r>
            <w:r>
              <w:rPr>
                <w:rFonts w:hint="eastAsia" w:cs="宋体"/>
                <w:b/>
                <w:bCs/>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 xml:space="preserve">： </w:t>
            </w:r>
          </w:p>
          <w:p w14:paraId="654597A7">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 xml:space="preserve"> 投标人有独立的仓库，且为</w:t>
            </w:r>
            <w:r>
              <w:rPr>
                <w:rFonts w:hint="eastAsia" w:cs="宋体"/>
                <w:color w:val="auto"/>
                <w:kern w:val="2"/>
                <w:sz w:val="24"/>
                <w:szCs w:val="24"/>
                <w:highlight w:val="none"/>
                <w:lang w:val="en-US" w:eastAsia="zh-CN" w:bidi="ar-SA"/>
              </w:rPr>
              <w:t>食品</w:t>
            </w:r>
            <w:r>
              <w:rPr>
                <w:rFonts w:hint="eastAsia" w:ascii="宋体" w:hAnsi="宋体" w:eastAsia="宋体" w:cs="宋体"/>
                <w:color w:val="auto"/>
                <w:kern w:val="2"/>
                <w:sz w:val="24"/>
                <w:szCs w:val="24"/>
                <w:highlight w:val="none"/>
                <w:lang w:val="en-US" w:eastAsia="zh-CN" w:bidi="ar-SA"/>
              </w:rPr>
              <w:t>材料存储专用库，根据库房位置、面积，以及提供库房场所自有或租赁证明资料、仓储设备证明材料、</w:t>
            </w:r>
            <w:r>
              <w:rPr>
                <w:rFonts w:hint="eastAsia" w:cs="宋体"/>
                <w:color w:val="auto"/>
                <w:kern w:val="2"/>
                <w:sz w:val="24"/>
                <w:szCs w:val="24"/>
                <w:highlight w:val="none"/>
                <w:lang w:val="en-US" w:eastAsia="zh-CN" w:bidi="ar-SA"/>
              </w:rPr>
              <w:t>仓库管理</w:t>
            </w:r>
            <w:r>
              <w:rPr>
                <w:rFonts w:hint="eastAsia" w:ascii="宋体" w:hAnsi="宋体" w:eastAsia="宋体" w:cs="宋体"/>
                <w:color w:val="auto"/>
                <w:kern w:val="2"/>
                <w:sz w:val="24"/>
                <w:szCs w:val="24"/>
                <w:highlight w:val="none"/>
                <w:lang w:val="en-US" w:eastAsia="zh-CN" w:bidi="ar-SA"/>
              </w:rPr>
              <w:t>制度等，库房面积≥300㎡，得4分；库房面积＜</w:t>
            </w:r>
            <w:r>
              <w:rPr>
                <w:rFonts w:hint="eastAsia"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00㎡，得</w:t>
            </w:r>
            <w:r>
              <w:rPr>
                <w:rFonts w:hint="eastAsia"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分</w:t>
            </w:r>
            <w:r>
              <w:rPr>
                <w:rFonts w:hint="eastAsia"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无独立库</w:t>
            </w:r>
            <w:r>
              <w:rPr>
                <w:rFonts w:hint="eastAsia" w:cs="宋体"/>
                <w:color w:val="auto"/>
                <w:kern w:val="2"/>
                <w:sz w:val="24"/>
                <w:szCs w:val="24"/>
                <w:highlight w:val="none"/>
                <w:lang w:val="en-US" w:eastAsia="zh-CN" w:bidi="ar-SA"/>
              </w:rPr>
              <w:t>房得0分</w:t>
            </w:r>
            <w:r>
              <w:rPr>
                <w:rFonts w:hint="eastAsia" w:ascii="宋体" w:hAnsi="宋体" w:eastAsia="宋体" w:cs="宋体"/>
                <w:color w:val="auto"/>
                <w:kern w:val="2"/>
                <w:sz w:val="24"/>
                <w:szCs w:val="24"/>
                <w:highlight w:val="none"/>
                <w:lang w:val="en-US" w:eastAsia="zh-CN" w:bidi="ar-SA"/>
              </w:rPr>
              <w:t xml:space="preserve">。 </w:t>
            </w:r>
          </w:p>
          <w:p w14:paraId="5E71647C">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 xml:space="preserve"> 仓库</w:t>
            </w:r>
            <w:r>
              <w:rPr>
                <w:rFonts w:hint="eastAsia" w:cs="宋体"/>
                <w:color w:val="auto"/>
                <w:kern w:val="2"/>
                <w:sz w:val="24"/>
                <w:szCs w:val="24"/>
                <w:highlight w:val="none"/>
                <w:lang w:val="en-US" w:eastAsia="zh-CN" w:bidi="ar-SA"/>
              </w:rPr>
              <w:t>条件能满足</w:t>
            </w:r>
            <w:r>
              <w:rPr>
                <w:rFonts w:hint="eastAsia" w:ascii="宋体" w:hAnsi="宋体" w:eastAsia="宋体" w:cs="宋体"/>
                <w:color w:val="auto"/>
                <w:kern w:val="2"/>
                <w:sz w:val="24"/>
                <w:szCs w:val="24"/>
                <w:highlight w:val="none"/>
                <w:lang w:val="en-US" w:eastAsia="zh-CN" w:bidi="ar-SA"/>
              </w:rPr>
              <w:t>相关食材存储所要求的</w:t>
            </w:r>
            <w:r>
              <w:rPr>
                <w:rFonts w:hint="eastAsia" w:cs="宋体"/>
                <w:color w:val="auto"/>
                <w:kern w:val="2"/>
                <w:sz w:val="24"/>
                <w:szCs w:val="24"/>
                <w:highlight w:val="none"/>
                <w:lang w:val="en-US" w:eastAsia="zh-CN" w:bidi="ar-SA"/>
              </w:rPr>
              <w:t>通风、</w:t>
            </w:r>
            <w:r>
              <w:rPr>
                <w:rFonts w:hint="eastAsia" w:ascii="宋体" w:hAnsi="宋体" w:eastAsia="宋体" w:cs="宋体"/>
                <w:color w:val="auto"/>
                <w:kern w:val="2"/>
                <w:sz w:val="24"/>
                <w:szCs w:val="24"/>
                <w:highlight w:val="none"/>
                <w:lang w:val="en-US" w:eastAsia="zh-CN" w:bidi="ar-SA"/>
              </w:rPr>
              <w:t>温</w:t>
            </w:r>
            <w:r>
              <w:rPr>
                <w:rFonts w:hint="eastAsia" w:cs="宋体"/>
                <w:color w:val="auto"/>
                <w:kern w:val="2"/>
                <w:sz w:val="24"/>
                <w:szCs w:val="24"/>
                <w:highlight w:val="none"/>
                <w:lang w:val="en-US" w:eastAsia="zh-CN" w:bidi="ar-SA"/>
              </w:rPr>
              <w:t>度</w:t>
            </w:r>
            <w:r>
              <w:rPr>
                <w:rFonts w:hint="eastAsia" w:ascii="宋体" w:hAnsi="宋体" w:eastAsia="宋体" w:cs="宋体"/>
                <w:color w:val="auto"/>
                <w:kern w:val="2"/>
                <w:sz w:val="24"/>
                <w:szCs w:val="24"/>
                <w:highlight w:val="none"/>
                <w:lang w:val="en-US" w:eastAsia="zh-CN" w:bidi="ar-SA"/>
              </w:rPr>
              <w:t>、湿度条件</w:t>
            </w:r>
            <w:r>
              <w:rPr>
                <w:rFonts w:hint="eastAsia" w:cs="宋体"/>
                <w:color w:val="auto"/>
                <w:kern w:val="2"/>
                <w:sz w:val="24"/>
                <w:szCs w:val="24"/>
                <w:highlight w:val="none"/>
                <w:lang w:val="en-US" w:eastAsia="zh-CN" w:bidi="ar-SA"/>
              </w:rPr>
              <w:t>的</w:t>
            </w:r>
            <w:r>
              <w:rPr>
                <w:rFonts w:hint="eastAsia" w:ascii="宋体" w:hAnsi="宋体" w:eastAsia="宋体" w:cs="宋体"/>
                <w:color w:val="auto"/>
                <w:kern w:val="2"/>
                <w:sz w:val="24"/>
                <w:szCs w:val="24"/>
                <w:highlight w:val="none"/>
                <w:lang w:val="en-US" w:eastAsia="zh-CN" w:bidi="ar-SA"/>
              </w:rPr>
              <w:t>得3分</w:t>
            </w:r>
            <w:r>
              <w:rPr>
                <w:rFonts w:hint="eastAsia" w:cs="宋体"/>
                <w:color w:val="auto"/>
                <w:kern w:val="2"/>
                <w:sz w:val="24"/>
                <w:szCs w:val="24"/>
                <w:highlight w:val="none"/>
                <w:lang w:val="en-US" w:eastAsia="zh-CN" w:bidi="ar-SA"/>
              </w:rPr>
              <w:t>，无法满足的得0分</w:t>
            </w:r>
            <w:r>
              <w:rPr>
                <w:rFonts w:hint="eastAsia" w:ascii="宋体" w:hAnsi="宋体" w:eastAsia="宋体" w:cs="宋体"/>
                <w:color w:val="auto"/>
                <w:kern w:val="2"/>
                <w:sz w:val="24"/>
                <w:szCs w:val="24"/>
                <w:highlight w:val="none"/>
                <w:lang w:val="en-US" w:eastAsia="zh-CN" w:bidi="ar-SA"/>
              </w:rPr>
              <w:t xml:space="preserve">。 </w:t>
            </w:r>
          </w:p>
          <w:p w14:paraId="27FD918D">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 xml:space="preserve"> 库房“七防”设施（防火、防盗、防潮、防投毒、防鼠、防蝇、防尘）设施图片及制度齐全，得3分；不全得0分。 </w:t>
            </w:r>
          </w:p>
          <w:p w14:paraId="387A596F">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sz w:val="24"/>
                <w:szCs w:val="24"/>
                <w:highlight w:val="none"/>
              </w:rPr>
            </w:pPr>
            <w:r>
              <w:rPr>
                <w:rFonts w:hint="eastAsia"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 xml:space="preserve"> 库房</w:t>
            </w:r>
            <w:r>
              <w:rPr>
                <w:rFonts w:hint="eastAsia" w:cs="宋体"/>
                <w:color w:val="auto"/>
                <w:kern w:val="2"/>
                <w:sz w:val="24"/>
                <w:szCs w:val="24"/>
                <w:highlight w:val="none"/>
                <w:lang w:val="en-US" w:eastAsia="zh-CN" w:bidi="ar-SA"/>
              </w:rPr>
              <w:t>内</w:t>
            </w:r>
            <w:r>
              <w:rPr>
                <w:rFonts w:hint="eastAsia" w:ascii="宋体" w:hAnsi="宋体" w:eastAsia="宋体" w:cs="宋体"/>
                <w:color w:val="auto"/>
                <w:kern w:val="2"/>
                <w:sz w:val="24"/>
                <w:szCs w:val="24"/>
                <w:highlight w:val="none"/>
                <w:lang w:val="en-US" w:eastAsia="zh-CN" w:bidi="ar-SA"/>
              </w:rPr>
              <w:t>外安装有监控设备且全方位覆盖，得2分；未达到上述要求，得0分</w:t>
            </w:r>
            <w:r>
              <w:rPr>
                <w:rFonts w:hint="eastAsia" w:ascii="宋体" w:hAnsi="宋体" w:eastAsia="宋体" w:cs="宋体"/>
                <w:color w:val="auto"/>
                <w:kern w:val="0"/>
                <w:sz w:val="24"/>
                <w:szCs w:val="24"/>
                <w:lang w:val="en-US" w:eastAsia="zh-CN" w:bidi="ar"/>
              </w:rPr>
              <w:t>。</w:t>
            </w:r>
          </w:p>
        </w:tc>
      </w:tr>
      <w:tr w14:paraId="6A676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89" w:type="dxa"/>
            <w:vMerge w:val="continue"/>
            <w:noWrap w:val="0"/>
            <w:vAlign w:val="center"/>
          </w:tcPr>
          <w:p w14:paraId="66FAB4F6">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vMerge w:val="continue"/>
            <w:noWrap w:val="0"/>
            <w:vAlign w:val="center"/>
          </w:tcPr>
          <w:p w14:paraId="126F8280">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1467" w:type="dxa"/>
            <w:vMerge w:val="continue"/>
            <w:noWrap w:val="0"/>
            <w:vAlign w:val="center"/>
          </w:tcPr>
          <w:p w14:paraId="2FBE2142">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6529" w:type="dxa"/>
            <w:noWrap w:val="0"/>
            <w:vAlign w:val="center"/>
          </w:tcPr>
          <w:p w14:paraId="67DC46C3">
            <w:pPr>
              <w:pStyle w:val="52"/>
              <w:jc w:val="left"/>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人员配备</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5分</w:t>
            </w:r>
            <w:r>
              <w:rPr>
                <w:rFonts w:hint="eastAsia" w:ascii="宋体" w:hAnsi="宋体" w:eastAsia="宋体" w:cs="宋体"/>
                <w:b/>
                <w:bCs/>
                <w:color w:val="auto"/>
                <w:sz w:val="24"/>
                <w:szCs w:val="24"/>
                <w:lang w:eastAsia="zh-CN"/>
              </w:rPr>
              <w:t>）</w:t>
            </w:r>
          </w:p>
          <w:p w14:paraId="6A2DD865">
            <w:pPr>
              <w:pStyle w:val="52"/>
              <w:jc w:val="left"/>
              <w:rPr>
                <w:rFonts w:hint="eastAsia" w:ascii="宋体" w:hAnsi="宋体" w:cs="宋体"/>
                <w:color w:val="auto"/>
                <w:sz w:val="24"/>
                <w:szCs w:val="24"/>
                <w:lang w:eastAsia="zh-CN"/>
              </w:rPr>
            </w:pPr>
            <w:r>
              <w:rPr>
                <w:rFonts w:hint="eastAsia" w:ascii="宋体" w:hAnsi="宋体" w:eastAsia="宋体" w:cs="宋体"/>
                <w:color w:val="auto"/>
                <w:sz w:val="24"/>
                <w:szCs w:val="24"/>
              </w:rPr>
              <w:t>岗位设置齐全、职责明确、人员配置合理充足，</w:t>
            </w:r>
            <w:r>
              <w:rPr>
                <w:rFonts w:hint="eastAsia" w:ascii="宋体" w:hAnsi="宋体" w:eastAsia="宋体" w:cs="宋体"/>
                <w:color w:val="auto"/>
                <w:sz w:val="24"/>
                <w:szCs w:val="24"/>
                <w:lang w:val="en-US" w:eastAsia="zh-CN"/>
              </w:rPr>
              <w:t>相关</w:t>
            </w:r>
            <w:r>
              <w:rPr>
                <w:rFonts w:hint="eastAsia" w:ascii="宋体" w:hAnsi="宋体" w:eastAsia="宋体" w:cs="宋体"/>
                <w:color w:val="auto"/>
                <w:sz w:val="24"/>
                <w:szCs w:val="24"/>
              </w:rPr>
              <w:t>人员提供人员身份证、健康证</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劳务合同</w:t>
            </w:r>
            <w:r>
              <w:rPr>
                <w:rFonts w:hint="eastAsia" w:ascii="宋体" w:hAnsi="宋体" w:eastAsia="宋体" w:cs="宋体"/>
                <w:color w:val="auto"/>
                <w:sz w:val="24"/>
                <w:szCs w:val="24"/>
                <w:lang w:val="en-US" w:eastAsia="zh-CN"/>
              </w:rPr>
              <w:t>及无犯罪证明</w:t>
            </w:r>
            <w:r>
              <w:rPr>
                <w:rFonts w:hint="eastAsia" w:ascii="宋体" w:hAnsi="宋体" w:eastAsia="宋体" w:cs="宋体"/>
                <w:color w:val="auto"/>
                <w:sz w:val="24"/>
                <w:szCs w:val="24"/>
              </w:rPr>
              <w:t>等</w:t>
            </w:r>
            <w:r>
              <w:rPr>
                <w:rFonts w:hint="eastAsia" w:ascii="宋体" w:hAnsi="宋体" w:cs="宋体"/>
                <w:color w:val="auto"/>
                <w:sz w:val="24"/>
                <w:szCs w:val="24"/>
                <w:lang w:eastAsia="zh-CN"/>
              </w:rPr>
              <w:t>；</w:t>
            </w:r>
            <w:r>
              <w:rPr>
                <w:rFonts w:hint="eastAsia" w:ascii="宋体" w:hAnsi="宋体" w:eastAsia="宋体" w:cs="宋体"/>
                <w:color w:val="auto"/>
                <w:sz w:val="24"/>
                <w:szCs w:val="24"/>
              </w:rPr>
              <w:t>司机</w:t>
            </w:r>
            <w:r>
              <w:rPr>
                <w:rFonts w:hint="eastAsia" w:ascii="宋体" w:hAnsi="宋体" w:eastAsia="宋体" w:cs="宋体"/>
                <w:color w:val="auto"/>
                <w:sz w:val="24"/>
                <w:szCs w:val="24"/>
                <w:lang w:val="en-US" w:eastAsia="zh-CN"/>
              </w:rPr>
              <w:t>还须提供</w:t>
            </w:r>
            <w:r>
              <w:rPr>
                <w:rFonts w:hint="eastAsia" w:ascii="宋体" w:hAnsi="宋体" w:eastAsia="宋体" w:cs="宋体"/>
                <w:color w:val="auto"/>
                <w:sz w:val="24"/>
                <w:szCs w:val="24"/>
              </w:rPr>
              <w:t>驾驶证</w:t>
            </w:r>
            <w:r>
              <w:rPr>
                <w:rFonts w:hint="eastAsia" w:ascii="宋体" w:hAnsi="宋体" w:cs="宋体"/>
                <w:color w:val="auto"/>
                <w:sz w:val="24"/>
                <w:szCs w:val="24"/>
                <w:lang w:eastAsia="zh-CN"/>
              </w:rPr>
              <w:t>。</w:t>
            </w:r>
          </w:p>
          <w:p w14:paraId="5C3995F3">
            <w:pPr>
              <w:pStyle w:val="52"/>
              <w:jc w:val="left"/>
              <w:rPr>
                <w:rFonts w:hint="eastAsia" w:ascii="宋体" w:hAnsi="宋体" w:eastAsia="宋体" w:cs="宋体"/>
                <w:color w:val="auto"/>
                <w:sz w:val="24"/>
                <w:szCs w:val="24"/>
              </w:rPr>
            </w:pPr>
            <w:r>
              <w:rPr>
                <w:rFonts w:hint="eastAsia" w:ascii="宋体" w:hAnsi="宋体" w:eastAsia="宋体" w:cs="宋体"/>
                <w:color w:val="auto"/>
                <w:sz w:val="24"/>
                <w:szCs w:val="24"/>
              </w:rPr>
              <w:t>①为本项目配备的服务团队人员上述条件齐全有效且达到</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人以上得5分；</w:t>
            </w:r>
          </w:p>
          <w:p w14:paraId="3F3B8D65">
            <w:pPr>
              <w:pStyle w:val="52"/>
              <w:jc w:val="left"/>
              <w:rPr>
                <w:rFonts w:hint="eastAsia" w:ascii="宋体" w:hAnsi="宋体" w:eastAsia="宋体" w:cs="宋体"/>
                <w:color w:val="auto"/>
                <w:sz w:val="24"/>
                <w:szCs w:val="24"/>
              </w:rPr>
            </w:pPr>
            <w:r>
              <w:rPr>
                <w:rFonts w:hint="eastAsia" w:ascii="宋体" w:hAnsi="宋体" w:eastAsia="宋体" w:cs="宋体"/>
                <w:color w:val="auto"/>
                <w:sz w:val="24"/>
                <w:szCs w:val="24"/>
              </w:rPr>
              <w:t>②为本项目配备的服务团队人员上述条件齐全有效且达到</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人分得</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w:t>
            </w:r>
          </w:p>
          <w:p w14:paraId="544368DD">
            <w:pPr>
              <w:keepNext w:val="0"/>
              <w:keepLines w:val="0"/>
              <w:pageBreakBefore w:val="0"/>
              <w:kinsoku/>
              <w:wordWrap/>
              <w:overflowPunct/>
              <w:topLinePunct w:val="0"/>
              <w:bidi w:val="0"/>
              <w:adjustRightInd/>
              <w:snapToGrid/>
              <w:spacing w:line="400" w:lineRule="exact"/>
              <w:ind w:left="0" w:right="0"/>
              <w:jc w:val="left"/>
              <w:textAlignment w:val="auto"/>
              <w:rPr>
                <w:rFonts w:hint="eastAsia" w:cs="宋体"/>
                <w:color w:val="auto"/>
                <w:kern w:val="2"/>
                <w:sz w:val="24"/>
                <w:szCs w:val="24"/>
                <w:highlight w:val="none"/>
                <w:lang w:val="en-US" w:eastAsia="zh-CN" w:bidi="ar-SA"/>
              </w:rPr>
            </w:pPr>
            <w:r>
              <w:rPr>
                <w:rFonts w:hint="eastAsia" w:ascii="宋体" w:hAnsi="宋体" w:eastAsia="宋体" w:cs="宋体"/>
                <w:color w:val="auto"/>
                <w:sz w:val="24"/>
                <w:szCs w:val="24"/>
              </w:rPr>
              <w:t>③人员配置</w:t>
            </w:r>
            <w:r>
              <w:rPr>
                <w:rFonts w:hint="eastAsia" w:ascii="宋体" w:hAnsi="宋体" w:cs="宋体"/>
                <w:color w:val="auto"/>
                <w:sz w:val="24"/>
                <w:szCs w:val="24"/>
                <w:lang w:val="en-US" w:eastAsia="zh-CN"/>
              </w:rPr>
              <w:t>不足3人得1分，少于2人得0分</w:t>
            </w:r>
            <w:r>
              <w:rPr>
                <w:rFonts w:hint="eastAsia" w:ascii="宋体" w:hAnsi="宋体" w:eastAsia="宋体" w:cs="宋体"/>
                <w:color w:val="auto"/>
                <w:sz w:val="24"/>
                <w:szCs w:val="24"/>
              </w:rPr>
              <w:t>。</w:t>
            </w:r>
          </w:p>
        </w:tc>
      </w:tr>
      <w:tr w14:paraId="39670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64" w:hRule="atLeast"/>
        </w:trPr>
        <w:tc>
          <w:tcPr>
            <w:tcW w:w="789" w:type="dxa"/>
            <w:vMerge w:val="continue"/>
            <w:noWrap w:val="0"/>
            <w:vAlign w:val="center"/>
          </w:tcPr>
          <w:p w14:paraId="64DE2EC2">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vMerge w:val="continue"/>
            <w:noWrap w:val="0"/>
            <w:vAlign w:val="center"/>
          </w:tcPr>
          <w:p w14:paraId="512B391D">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1467" w:type="dxa"/>
            <w:vMerge w:val="continue"/>
            <w:noWrap w:val="0"/>
            <w:vAlign w:val="center"/>
          </w:tcPr>
          <w:p w14:paraId="0144668F">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6529" w:type="dxa"/>
            <w:noWrap w:val="0"/>
            <w:vAlign w:val="center"/>
          </w:tcPr>
          <w:p w14:paraId="50FB8368">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kern w:val="2"/>
                <w:sz w:val="24"/>
                <w:szCs w:val="24"/>
                <w:highlight w:val="none"/>
                <w:lang w:val="en-US" w:eastAsia="zh-CN" w:bidi="ar-SA"/>
              </w:rPr>
              <w:t>配送车辆（6分）</w:t>
            </w:r>
            <w:r>
              <w:rPr>
                <w:rFonts w:hint="eastAsia" w:ascii="宋体" w:hAnsi="宋体" w:eastAsia="宋体" w:cs="宋体"/>
                <w:color w:val="auto"/>
                <w:kern w:val="2"/>
                <w:sz w:val="24"/>
                <w:szCs w:val="24"/>
                <w:highlight w:val="none"/>
                <w:lang w:val="en-US" w:eastAsia="zh-CN" w:bidi="ar-SA"/>
              </w:rPr>
              <w:t>：投标人须具有</w:t>
            </w:r>
            <w:r>
              <w:rPr>
                <w:rFonts w:hint="eastAsia"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辆以上自有或租赁（租赁车辆须提供租赁合同等证明材料）符合安全运输标准的厢式运输专用车辆等相关配送设备，须提供车辆</w:t>
            </w:r>
            <w:r>
              <w:rPr>
                <w:rFonts w:hint="eastAsia" w:cs="宋体"/>
                <w:color w:val="auto"/>
                <w:kern w:val="2"/>
                <w:sz w:val="24"/>
                <w:szCs w:val="24"/>
                <w:highlight w:val="none"/>
                <w:lang w:val="en-US" w:eastAsia="zh-CN" w:bidi="ar-SA"/>
              </w:rPr>
              <w:t>（车辆照片彩页）、</w:t>
            </w:r>
            <w:r>
              <w:rPr>
                <w:rFonts w:hint="eastAsia" w:ascii="宋体" w:hAnsi="宋体" w:eastAsia="宋体" w:cs="宋体"/>
                <w:color w:val="auto"/>
                <w:kern w:val="2"/>
                <w:sz w:val="24"/>
                <w:szCs w:val="24"/>
                <w:highlight w:val="none"/>
                <w:lang w:val="en-US" w:eastAsia="zh-CN" w:bidi="ar-SA"/>
              </w:rPr>
              <w:t>行驶证满足项目基本配送车辆要求得3分（少于</w:t>
            </w:r>
            <w:r>
              <w:rPr>
                <w:rFonts w:hint="eastAsia"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辆不得分），车辆数量每增加1辆加1分，最多加3分，满分6分。</w:t>
            </w:r>
          </w:p>
        </w:tc>
      </w:tr>
      <w:tr w14:paraId="3FEA36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78" w:hRule="atLeast"/>
        </w:trPr>
        <w:tc>
          <w:tcPr>
            <w:tcW w:w="789" w:type="dxa"/>
            <w:vMerge w:val="continue"/>
            <w:noWrap w:val="0"/>
            <w:vAlign w:val="center"/>
          </w:tcPr>
          <w:p w14:paraId="59D16425">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noWrap w:val="0"/>
            <w:vAlign w:val="center"/>
          </w:tcPr>
          <w:p w14:paraId="4F0190CD">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467" w:type="dxa"/>
            <w:noWrap w:val="0"/>
            <w:vAlign w:val="center"/>
          </w:tcPr>
          <w:p w14:paraId="79A7601E">
            <w:pPr>
              <w:pStyle w:val="50"/>
              <w:keepNext w:val="0"/>
              <w:keepLines w:val="0"/>
              <w:pageBreakBefore w:val="0"/>
              <w:tabs>
                <w:tab w:val="clear" w:pos="4153"/>
                <w:tab w:val="clear" w:pos="8306"/>
              </w:tabs>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质量及安全控制措施</w:t>
            </w:r>
            <w:r>
              <w:rPr>
                <w:rFonts w:hint="eastAsia" w:ascii="宋体" w:hAnsi="宋体" w:eastAsia="宋体" w:cs="宋体"/>
                <w:bCs/>
                <w:color w:val="auto"/>
                <w:sz w:val="24"/>
                <w:szCs w:val="24"/>
                <w:highlight w:val="none"/>
              </w:rPr>
              <w:t>（</w:t>
            </w:r>
            <w:r>
              <w:rPr>
                <w:rFonts w:hint="eastAsia" w:cs="宋体"/>
                <w:bCs/>
                <w:color w:val="auto"/>
                <w:sz w:val="24"/>
                <w:szCs w:val="24"/>
                <w:highlight w:val="none"/>
                <w:lang w:val="en-US" w:eastAsia="zh-CN"/>
              </w:rPr>
              <w:t>10</w:t>
            </w:r>
            <w:r>
              <w:rPr>
                <w:rFonts w:hint="eastAsia" w:ascii="宋体" w:hAnsi="宋体" w:eastAsia="宋体" w:cs="宋体"/>
                <w:bCs/>
                <w:color w:val="auto"/>
                <w:sz w:val="24"/>
                <w:szCs w:val="24"/>
                <w:highlight w:val="none"/>
              </w:rPr>
              <w:t>分）</w:t>
            </w:r>
          </w:p>
        </w:tc>
        <w:tc>
          <w:tcPr>
            <w:tcW w:w="6529" w:type="dxa"/>
            <w:noWrap w:val="0"/>
            <w:vAlign w:val="center"/>
          </w:tcPr>
          <w:p w14:paraId="6604D755">
            <w:pPr>
              <w:keepNext w:val="0"/>
              <w:keepLines w:val="0"/>
              <w:pageBreakBefore w:val="0"/>
              <w:numPr>
                <w:ilvl w:val="0"/>
                <w:numId w:val="5"/>
              </w:numPr>
              <w:kinsoku/>
              <w:wordWrap/>
              <w:overflowPunct/>
              <w:topLinePunct w:val="0"/>
              <w:bidi w:val="0"/>
              <w:adjustRightInd/>
              <w:snapToGrid/>
              <w:spacing w:line="400" w:lineRule="exact"/>
              <w:ind w:left="0" w:leftChars="0" w:right="0" w:firstLine="0" w:firstLine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根据项目需求内容制定整体质量保证措施：方案至少包括①质量安全保证具体措施；②卫生安全；③货物的来源；④采购环节控制；⑤加工包装保存运输等环节。提供必要的证明材料复印件或扫描件（包括但不限于销售协议、代理商授权、检测报告等）。以上5项内容齐全，针对性强、条理清晰、表述准确得分10分。每缺少一项内容扣2分（缺陷是指在完整性、可实施性和针对性等方面存在瑕疵或实用性不强）。</w:t>
            </w:r>
          </w:p>
          <w:p w14:paraId="3FF00ACE">
            <w:pPr>
              <w:keepNext w:val="0"/>
              <w:keepLines w:val="0"/>
              <w:pageBreakBefore w:val="0"/>
              <w:numPr>
                <w:ilvl w:val="0"/>
                <w:numId w:val="5"/>
              </w:numPr>
              <w:kinsoku/>
              <w:wordWrap/>
              <w:overflowPunct/>
              <w:topLinePunct w:val="0"/>
              <w:bidi w:val="0"/>
              <w:adjustRightInd/>
              <w:snapToGrid/>
              <w:spacing w:line="400" w:lineRule="exact"/>
              <w:ind w:left="0" w:leftChars="0" w:right="0" w:firstLine="0" w:firstLine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根据评审标准对供应商技术方案进行评审，每一条不符合本项目特点和实际需求，存在缺陷或实用性不强的扣1分，扣完为止。</w:t>
            </w:r>
          </w:p>
          <w:p w14:paraId="10C9BE0D">
            <w:pPr>
              <w:keepNext w:val="0"/>
              <w:keepLines w:val="0"/>
              <w:pageBreakBefore w:val="0"/>
              <w:numPr>
                <w:ilvl w:val="0"/>
                <w:numId w:val="5"/>
              </w:numPr>
              <w:kinsoku/>
              <w:wordWrap/>
              <w:overflowPunct/>
              <w:topLinePunct w:val="0"/>
              <w:bidi w:val="0"/>
              <w:adjustRightInd/>
              <w:snapToGrid/>
              <w:spacing w:line="400" w:lineRule="exact"/>
              <w:ind w:left="0" w:leftChars="0" w:right="0" w:firstLine="0" w:firstLine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评审标准： </w:t>
            </w:r>
          </w:p>
          <w:p w14:paraId="21B54D2C">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完整性：方案须全面，对评审内容中的各项要求有详细描述； </w:t>
            </w:r>
          </w:p>
          <w:p w14:paraId="53038F80">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可实施性：切合本项目实际情况，实施步骤清晰、合理； </w:t>
            </w:r>
          </w:p>
          <w:p w14:paraId="47D20228">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针对性：方案能够紧扣项目实际情况，内容科学合理。 </w:t>
            </w:r>
          </w:p>
        </w:tc>
      </w:tr>
      <w:tr w14:paraId="6CE401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0" w:hRule="atLeast"/>
        </w:trPr>
        <w:tc>
          <w:tcPr>
            <w:tcW w:w="789" w:type="dxa"/>
            <w:vMerge w:val="continue"/>
            <w:noWrap w:val="0"/>
            <w:vAlign w:val="center"/>
          </w:tcPr>
          <w:p w14:paraId="2F065A65">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noWrap w:val="0"/>
            <w:vAlign w:val="center"/>
          </w:tcPr>
          <w:p w14:paraId="74AFF7A6">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467" w:type="dxa"/>
            <w:noWrap w:val="0"/>
            <w:vAlign w:val="center"/>
          </w:tcPr>
          <w:p w14:paraId="1228BB97">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售后服务</w:t>
            </w:r>
          </w:p>
          <w:p w14:paraId="6F8F0CF0">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r>
              <w:rPr>
                <w:rFonts w:hint="eastAsia" w:cs="宋体"/>
                <w:color w:val="auto"/>
                <w:sz w:val="24"/>
                <w:szCs w:val="24"/>
                <w:highlight w:val="none"/>
                <w:lang w:val="en-US" w:eastAsia="zh-CN"/>
              </w:rPr>
              <w:t>）</w:t>
            </w:r>
          </w:p>
        </w:tc>
        <w:tc>
          <w:tcPr>
            <w:tcW w:w="6529" w:type="dxa"/>
            <w:noWrap w:val="0"/>
            <w:vAlign w:val="center"/>
          </w:tcPr>
          <w:p w14:paraId="6F87158D">
            <w:pPr>
              <w:keepNext w:val="0"/>
              <w:keepLines w:val="0"/>
              <w:pageBreakBefore w:val="0"/>
              <w:numPr>
                <w:ilvl w:val="0"/>
                <w:numId w:val="6"/>
              </w:numPr>
              <w:kinsoku/>
              <w:wordWrap/>
              <w:overflowPunct/>
              <w:topLinePunct w:val="0"/>
              <w:bidi w:val="0"/>
              <w:adjustRightInd/>
              <w:snapToGrid/>
              <w:spacing w:line="400" w:lineRule="exact"/>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制定在验货时出现问题的方案：包括但不限于①</w:t>
            </w:r>
            <w:r>
              <w:rPr>
                <w:rFonts w:hint="eastAsia" w:cs="宋体"/>
                <w:color w:val="auto"/>
                <w:sz w:val="24"/>
                <w:szCs w:val="24"/>
                <w:highlight w:val="none"/>
                <w:lang w:val="en-US" w:eastAsia="zh-CN"/>
              </w:rPr>
              <w:t>应急方案措施；</w:t>
            </w:r>
            <w:r>
              <w:rPr>
                <w:rFonts w:hint="eastAsia" w:ascii="宋体" w:hAnsi="宋体" w:eastAsia="宋体" w:cs="宋体"/>
                <w:color w:val="auto"/>
                <w:sz w:val="24"/>
                <w:szCs w:val="24"/>
                <w:highlight w:val="none"/>
                <w:lang w:val="en-US" w:eastAsia="zh-CN"/>
              </w:rPr>
              <w:t>②响应速度快；③退换货服务方案描述无缺漏；</w:t>
            </w:r>
            <w:r>
              <w:rPr>
                <w:rFonts w:hint="eastAsia" w:cs="宋体"/>
                <w:color w:val="auto"/>
                <w:sz w:val="24"/>
                <w:szCs w:val="24"/>
                <w:highlight w:val="none"/>
                <w:lang w:val="en-US" w:eastAsia="zh-CN"/>
              </w:rPr>
              <w:t>④</w:t>
            </w:r>
            <w:r>
              <w:rPr>
                <w:rFonts w:hint="eastAsia" w:ascii="宋体" w:hAnsi="宋体" w:eastAsia="宋体" w:cs="宋体"/>
                <w:color w:val="auto"/>
                <w:sz w:val="24"/>
                <w:szCs w:val="24"/>
                <w:highlight w:val="none"/>
                <w:lang w:val="en-US" w:eastAsia="zh-CN"/>
              </w:rPr>
              <w:t>联系人员及电话。</w:t>
            </w:r>
          </w:p>
          <w:p w14:paraId="51D637F6">
            <w:pPr>
              <w:keepNext w:val="0"/>
              <w:keepLines w:val="0"/>
              <w:pageBreakBefore w:val="0"/>
              <w:numPr>
                <w:ilvl w:val="0"/>
                <w:numId w:val="6"/>
              </w:numPr>
              <w:kinsoku/>
              <w:wordWrap/>
              <w:overflowPunct/>
              <w:topLinePunct w:val="0"/>
              <w:bidi w:val="0"/>
              <w:adjustRightInd/>
              <w:snapToGrid/>
              <w:spacing w:line="400" w:lineRule="exact"/>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以上</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项内容齐全，针对性强、条理清晰、表述准确得分</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分。每缺少一项内容扣</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分，每一项存在缺陷扣0.</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分（缺陷是指在完整性、可实施性和针对性等方面存在瑕疵或实用性不强）。</w:t>
            </w:r>
          </w:p>
          <w:p w14:paraId="17F573DE">
            <w:pPr>
              <w:keepNext w:val="0"/>
              <w:keepLines w:val="0"/>
              <w:pageBreakBefore w:val="0"/>
              <w:numPr>
                <w:ilvl w:val="0"/>
                <w:numId w:val="6"/>
              </w:numPr>
              <w:kinsoku/>
              <w:wordWrap/>
              <w:overflowPunct/>
              <w:topLinePunct w:val="0"/>
              <w:bidi w:val="0"/>
              <w:adjustRightInd/>
              <w:snapToGrid/>
              <w:spacing w:line="400" w:lineRule="exact"/>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评审标准： </w:t>
            </w:r>
          </w:p>
          <w:p w14:paraId="091646DD">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完整性：方案须全面，对评审内容中的各项要求有详细描述； </w:t>
            </w:r>
          </w:p>
          <w:p w14:paraId="3E1B89AD">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可实施性：切合本项目实际情况，实施步骤清晰、合理； </w:t>
            </w:r>
          </w:p>
          <w:p w14:paraId="00C252A1">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针对性：方案能够紧扣项目实际情况，内容科学合理。</w:t>
            </w:r>
          </w:p>
        </w:tc>
      </w:tr>
      <w:tr w14:paraId="2107C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50" w:hRule="atLeast"/>
        </w:trPr>
        <w:tc>
          <w:tcPr>
            <w:tcW w:w="789" w:type="dxa"/>
            <w:noWrap w:val="0"/>
            <w:vAlign w:val="center"/>
          </w:tcPr>
          <w:p w14:paraId="3B61B3DD">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w:t>
            </w:r>
          </w:p>
          <w:p w14:paraId="5F542F33">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743" w:type="dxa"/>
            <w:noWrap w:val="0"/>
            <w:vAlign w:val="center"/>
          </w:tcPr>
          <w:p w14:paraId="1004FB85">
            <w:pPr>
              <w:keepNext w:val="0"/>
              <w:keepLines w:val="0"/>
              <w:pageBreakBefore w:val="0"/>
              <w:kinsoku/>
              <w:wordWrap/>
              <w:overflowPunct/>
              <w:topLinePunct w:val="0"/>
              <w:bidi w:val="0"/>
              <w:adjustRightInd/>
              <w:snapToGrid/>
              <w:spacing w:line="400" w:lineRule="exact"/>
              <w:ind w:left="0" w:right="0"/>
              <w:jc w:val="center"/>
              <w:textAlignment w:val="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5</w:t>
            </w:r>
          </w:p>
        </w:tc>
        <w:tc>
          <w:tcPr>
            <w:tcW w:w="1467" w:type="dxa"/>
            <w:noWrap w:val="0"/>
            <w:vAlign w:val="center"/>
          </w:tcPr>
          <w:p w14:paraId="16F2D125">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业绩</w:t>
            </w:r>
          </w:p>
          <w:p w14:paraId="5282AF7B">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r>
              <w:rPr>
                <w:rFonts w:hint="eastAsia" w:cs="宋体"/>
                <w:color w:val="auto"/>
                <w:sz w:val="24"/>
                <w:szCs w:val="24"/>
                <w:highlight w:val="none"/>
                <w:lang w:val="en-US" w:eastAsia="zh-CN"/>
              </w:rPr>
              <w:t>）</w:t>
            </w:r>
          </w:p>
        </w:tc>
        <w:tc>
          <w:tcPr>
            <w:tcW w:w="6529" w:type="dxa"/>
            <w:noWrap w:val="0"/>
            <w:vAlign w:val="center"/>
          </w:tcPr>
          <w:p w14:paraId="341B5B1F">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供应商提供自</w:t>
            </w: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val="en-US" w:eastAsia="zh-CN"/>
              </w:rPr>
              <w:t>2</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月至今，具有</w:t>
            </w:r>
            <w:r>
              <w:rPr>
                <w:rFonts w:hint="eastAsia" w:cs="宋体"/>
                <w:color w:val="auto"/>
                <w:sz w:val="24"/>
                <w:szCs w:val="24"/>
                <w:highlight w:val="none"/>
                <w:lang w:val="en-US" w:eastAsia="zh-CN"/>
              </w:rPr>
              <w:t>同类</w:t>
            </w:r>
            <w:r>
              <w:rPr>
                <w:rFonts w:hint="eastAsia" w:ascii="宋体" w:hAnsi="宋体" w:eastAsia="宋体" w:cs="宋体"/>
                <w:color w:val="auto"/>
                <w:sz w:val="24"/>
                <w:szCs w:val="24"/>
                <w:highlight w:val="none"/>
              </w:rPr>
              <w:t>项目业绩</w:t>
            </w:r>
            <w:r>
              <w:rPr>
                <w:rFonts w:hint="eastAsia" w:cs="宋体"/>
                <w:color w:val="auto"/>
                <w:sz w:val="24"/>
                <w:szCs w:val="24"/>
                <w:highlight w:val="none"/>
                <w:lang w:eastAsia="zh-CN"/>
              </w:rPr>
              <w:t>（</w:t>
            </w:r>
            <w:r>
              <w:rPr>
                <w:rFonts w:hint="eastAsia" w:cs="宋体"/>
                <w:color w:val="auto"/>
                <w:sz w:val="24"/>
                <w:szCs w:val="24"/>
                <w:lang w:eastAsia="zh-CN"/>
              </w:rPr>
              <w:t>包括但不限于各级各类学校、党政机关、企事业单位、医疗机构等食材配送服务项目），</w:t>
            </w:r>
            <w:r>
              <w:rPr>
                <w:rFonts w:hint="eastAsia" w:ascii="宋体" w:hAnsi="宋体" w:eastAsia="宋体" w:cs="宋体"/>
                <w:color w:val="auto"/>
                <w:sz w:val="24"/>
                <w:szCs w:val="24"/>
                <w:highlight w:val="none"/>
                <w:lang w:val="en-US" w:eastAsia="zh-CN"/>
              </w:rPr>
              <w:t>以合同复印件和中标通知书为准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每提供一个</w:t>
            </w:r>
            <w:r>
              <w:rPr>
                <w:rFonts w:hint="eastAsia" w:ascii="宋体" w:hAnsi="宋体" w:eastAsia="宋体" w:cs="宋体"/>
                <w:color w:val="auto"/>
                <w:sz w:val="24"/>
                <w:szCs w:val="24"/>
                <w:highlight w:val="none"/>
                <w:lang w:val="en-US" w:eastAsia="zh-CN"/>
              </w:rPr>
              <w:t>得</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rPr>
              <w:t>分，满分</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r>
      <w:tr w14:paraId="02695C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19" w:hRule="atLeast"/>
        </w:trPr>
        <w:tc>
          <w:tcPr>
            <w:tcW w:w="2999" w:type="dxa"/>
            <w:gridSpan w:val="3"/>
            <w:noWrap w:val="0"/>
            <w:vAlign w:val="center"/>
          </w:tcPr>
          <w:p w14:paraId="341A4AB0">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评标程序</w:t>
            </w:r>
          </w:p>
          <w:p w14:paraId="664A6786">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p>
        </w:tc>
        <w:tc>
          <w:tcPr>
            <w:tcW w:w="6529" w:type="dxa"/>
            <w:noWrap w:val="0"/>
            <w:vAlign w:val="top"/>
          </w:tcPr>
          <w:p w14:paraId="09D9901E">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1.开标后，由</w:t>
            </w:r>
            <w:r>
              <w:rPr>
                <w:rFonts w:hint="eastAsia" w:cs="宋体"/>
                <w:color w:val="auto"/>
                <w:sz w:val="24"/>
                <w:szCs w:val="24"/>
                <w:highlight w:val="none"/>
                <w:lang w:val="en-US" w:eastAsia="zh-CN"/>
              </w:rPr>
              <w:t>采购人或代理机构</w:t>
            </w:r>
            <w:r>
              <w:rPr>
                <w:rFonts w:hint="eastAsia" w:ascii="宋体" w:hAnsi="宋体" w:eastAsia="宋体" w:cs="宋体"/>
                <w:color w:val="auto"/>
                <w:sz w:val="24"/>
                <w:szCs w:val="24"/>
                <w:highlight w:val="none"/>
                <w:lang w:val="en-US" w:eastAsia="zh-CN"/>
              </w:rPr>
              <w:t xml:space="preserve">对投标单位进行资格性评审，资格性评审合格的响应文件进行符合性评审。不合格的单位，不再对其进行后续评审与分值评定。 </w:t>
            </w:r>
          </w:p>
          <w:p w14:paraId="6895A2AA">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2.如经过对所有供应商的响应文件进行评审，有效投标不足三个使得投标明显缺乏竞</w:t>
            </w:r>
            <w:r>
              <w:rPr>
                <w:rFonts w:hint="eastAsia" w:cs="宋体"/>
                <w:color w:val="auto"/>
                <w:sz w:val="24"/>
                <w:szCs w:val="24"/>
                <w:highlight w:val="none"/>
                <w:lang w:val="en-US" w:eastAsia="zh-CN"/>
              </w:rPr>
              <w:t>争性</w:t>
            </w:r>
            <w:r>
              <w:rPr>
                <w:rFonts w:hint="eastAsia" w:ascii="宋体" w:hAnsi="宋体" w:eastAsia="宋体" w:cs="宋体"/>
                <w:color w:val="auto"/>
                <w:sz w:val="24"/>
                <w:szCs w:val="24"/>
                <w:highlight w:val="none"/>
                <w:lang w:val="en-US" w:eastAsia="zh-CN"/>
              </w:rPr>
              <w:t>的，</w:t>
            </w:r>
            <w:r>
              <w:rPr>
                <w:rFonts w:hint="eastAsia" w:cs="宋体"/>
                <w:color w:val="auto"/>
                <w:sz w:val="24"/>
                <w:szCs w:val="24"/>
                <w:highlight w:val="none"/>
                <w:lang w:val="en-US" w:eastAsia="zh-CN"/>
              </w:rPr>
              <w:t>评标委员会</w:t>
            </w:r>
            <w:r>
              <w:rPr>
                <w:rFonts w:hint="eastAsia" w:ascii="宋体" w:hAnsi="宋体" w:eastAsia="宋体" w:cs="宋体"/>
                <w:color w:val="auto"/>
                <w:sz w:val="24"/>
                <w:szCs w:val="24"/>
                <w:highlight w:val="none"/>
                <w:lang w:val="en-US" w:eastAsia="zh-CN"/>
              </w:rPr>
              <w:t xml:space="preserve">可以否决全部投标。 </w:t>
            </w:r>
          </w:p>
          <w:p w14:paraId="074B34F4">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cs="宋体"/>
                <w:color w:val="auto"/>
                <w:sz w:val="24"/>
                <w:szCs w:val="24"/>
                <w:highlight w:val="none"/>
                <w:lang w:val="en-US" w:eastAsia="zh-CN"/>
              </w:rPr>
              <w:t>评标委员会</w:t>
            </w:r>
            <w:r>
              <w:rPr>
                <w:rFonts w:hint="eastAsia" w:ascii="宋体" w:hAnsi="宋体" w:eastAsia="宋体" w:cs="宋体"/>
                <w:color w:val="auto"/>
                <w:sz w:val="24"/>
                <w:szCs w:val="24"/>
                <w:highlight w:val="none"/>
                <w:lang w:val="en-US" w:eastAsia="zh-CN"/>
              </w:rPr>
              <w:t>应当根据综合评分情况，按照评审得分由高到低顺序推荐 3 名以上成交候选供应商，并编写评审报告报采购人。评审得分相同的，按照最后报价由低到高的顺序推荐。评审得分且最后报价相同的，按照</w:t>
            </w:r>
            <w:r>
              <w:rPr>
                <w:rFonts w:hint="eastAsia" w:cs="宋体"/>
                <w:color w:val="auto"/>
                <w:sz w:val="24"/>
                <w:szCs w:val="24"/>
                <w:highlight w:val="none"/>
                <w:lang w:val="en-US" w:eastAsia="zh-CN"/>
              </w:rPr>
              <w:t>投标</w:t>
            </w:r>
            <w:r>
              <w:rPr>
                <w:rFonts w:hint="eastAsia" w:ascii="宋体" w:hAnsi="宋体" w:eastAsia="宋体" w:cs="宋体"/>
                <w:color w:val="auto"/>
                <w:sz w:val="24"/>
                <w:szCs w:val="24"/>
                <w:highlight w:val="none"/>
                <w:lang w:val="en-US" w:eastAsia="zh-CN"/>
              </w:rPr>
              <w:t>方案优劣顺序推荐。</w:t>
            </w:r>
          </w:p>
        </w:tc>
      </w:tr>
    </w:tbl>
    <w:p w14:paraId="73EA81E4">
      <w:pPr>
        <w:rPr>
          <w:rFonts w:hint="eastAsia"/>
          <w:color w:val="auto"/>
          <w:lang w:val="en-US" w:eastAsia="zh-CN"/>
        </w:rPr>
      </w:pPr>
      <w:r>
        <w:rPr>
          <w:rFonts w:hint="eastAsia"/>
          <w:color w:val="auto"/>
          <w:lang w:val="en-US" w:eastAsia="zh-CN"/>
        </w:rPr>
        <w:br w:type="page"/>
      </w:r>
    </w:p>
    <w:p w14:paraId="08B70B62">
      <w:pPr>
        <w:pStyle w:val="7"/>
        <w:keepNext w:val="0"/>
        <w:keepLines w:val="0"/>
        <w:pageBreakBefore w:val="0"/>
        <w:kinsoku/>
        <w:wordWrap/>
        <w:overflowPunct/>
        <w:topLinePunct w:val="0"/>
        <w:bidi w:val="0"/>
        <w:adjustRightInd/>
        <w:snapToGrid/>
        <w:spacing w:line="400" w:lineRule="exact"/>
        <w:ind w:left="0" w:leftChars="0" w:right="0" w:rightChars="0" w:firstLine="0" w:firstLineChars="0"/>
        <w:textAlignment w:val="auto"/>
        <w:rPr>
          <w:rFonts w:hint="eastAsia" w:cs="宋体"/>
          <w:color w:val="auto"/>
          <w:lang w:val="en-US" w:eastAsia="zh-CN"/>
        </w:rPr>
      </w:pPr>
      <w:r>
        <w:rPr>
          <w:rFonts w:hint="eastAsia"/>
          <w:color w:val="auto"/>
          <w:lang w:val="en-US" w:eastAsia="zh-CN"/>
        </w:rPr>
        <w:t>合同包二</w:t>
      </w:r>
      <w:r>
        <w:rPr>
          <w:rFonts w:hint="eastAsia" w:ascii="宋体" w:hAnsi="宋体" w:eastAsia="宋体" w:cs="宋体"/>
          <w:color w:val="auto"/>
          <w:lang w:val="en-US" w:eastAsia="zh-CN"/>
        </w:rPr>
        <w:t>：</w:t>
      </w:r>
      <w:r>
        <w:rPr>
          <w:rFonts w:hint="eastAsia" w:cs="宋体"/>
          <w:color w:val="auto"/>
          <w:lang w:val="en-US" w:eastAsia="zh-CN"/>
        </w:rPr>
        <w:t>A片区肉蛋禽采购</w:t>
      </w:r>
    </w:p>
    <w:tbl>
      <w:tblPr>
        <w:tblStyle w:val="23"/>
        <w:tblW w:w="9528"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
        <w:gridCol w:w="743"/>
        <w:gridCol w:w="1467"/>
        <w:gridCol w:w="6529"/>
      </w:tblGrid>
      <w:tr w14:paraId="6A978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55" w:hRule="atLeast"/>
        </w:trPr>
        <w:tc>
          <w:tcPr>
            <w:tcW w:w="789" w:type="dxa"/>
            <w:noWrap w:val="0"/>
            <w:vAlign w:val="center"/>
          </w:tcPr>
          <w:p w14:paraId="504906F6">
            <w:pPr>
              <w:pStyle w:val="49"/>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类别</w:t>
            </w:r>
          </w:p>
        </w:tc>
        <w:tc>
          <w:tcPr>
            <w:tcW w:w="743" w:type="dxa"/>
            <w:noWrap w:val="0"/>
            <w:vAlign w:val="center"/>
          </w:tcPr>
          <w:p w14:paraId="0F4F4C99">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1467" w:type="dxa"/>
            <w:noWrap w:val="0"/>
            <w:vAlign w:val="center"/>
          </w:tcPr>
          <w:p w14:paraId="5E236621">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评审要素及分值</w:t>
            </w:r>
          </w:p>
        </w:tc>
        <w:tc>
          <w:tcPr>
            <w:tcW w:w="6529" w:type="dxa"/>
            <w:noWrap w:val="0"/>
            <w:vAlign w:val="center"/>
          </w:tcPr>
          <w:p w14:paraId="0C1688E3">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赋分标准</w:t>
            </w:r>
          </w:p>
        </w:tc>
      </w:tr>
      <w:tr w14:paraId="59F1A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54" w:hRule="atLeast"/>
        </w:trPr>
        <w:tc>
          <w:tcPr>
            <w:tcW w:w="789" w:type="dxa"/>
            <w:noWrap w:val="0"/>
            <w:vAlign w:val="center"/>
          </w:tcPr>
          <w:p w14:paraId="2B2501CC">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w:t>
            </w:r>
          </w:p>
          <w:p w14:paraId="637EA929">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30分</w:t>
            </w:r>
          </w:p>
        </w:tc>
        <w:tc>
          <w:tcPr>
            <w:tcW w:w="743" w:type="dxa"/>
            <w:noWrap w:val="0"/>
            <w:vAlign w:val="center"/>
          </w:tcPr>
          <w:p w14:paraId="04500477">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467" w:type="dxa"/>
            <w:noWrap w:val="0"/>
            <w:vAlign w:val="center"/>
          </w:tcPr>
          <w:p w14:paraId="4B13DE58">
            <w:pPr>
              <w:keepNext w:val="0"/>
              <w:keepLines w:val="0"/>
              <w:pageBreakBefore w:val="0"/>
              <w:widowControl/>
              <w:kinsoku/>
              <w:wordWrap/>
              <w:overflowPunct/>
              <w:topLinePunct w:val="0"/>
              <w:bidi w:val="0"/>
              <w:adjustRightInd/>
              <w:snapToGrid/>
              <w:spacing w:line="400" w:lineRule="exact"/>
              <w:ind w:left="0" w:right="0" w:hanging="2"/>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价格</w:t>
            </w:r>
          </w:p>
          <w:p w14:paraId="5DC286AA">
            <w:pPr>
              <w:keepNext w:val="0"/>
              <w:keepLines w:val="0"/>
              <w:pageBreakBefore w:val="0"/>
              <w:widowControl/>
              <w:kinsoku/>
              <w:wordWrap/>
              <w:overflowPunct/>
              <w:topLinePunct w:val="0"/>
              <w:bidi w:val="0"/>
              <w:adjustRightInd/>
              <w:snapToGrid/>
              <w:spacing w:line="400" w:lineRule="exact"/>
              <w:ind w:left="0" w:right="0" w:hanging="2"/>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30分</w:t>
            </w:r>
            <w:r>
              <w:rPr>
                <w:rFonts w:hint="eastAsia" w:cs="宋体"/>
                <w:color w:val="auto"/>
                <w:sz w:val="24"/>
                <w:szCs w:val="24"/>
                <w:highlight w:val="none"/>
                <w:lang w:val="en-US" w:eastAsia="zh-CN"/>
              </w:rPr>
              <w:t>）</w:t>
            </w:r>
          </w:p>
        </w:tc>
        <w:tc>
          <w:tcPr>
            <w:tcW w:w="6529" w:type="dxa"/>
            <w:noWrap w:val="0"/>
            <w:vAlign w:val="center"/>
          </w:tcPr>
          <w:p w14:paraId="07E9BB4D">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以满足招标文件要求且投标报价最低的为评标基准价，其价格分为满分 30 分，其他供应商的价格分按照下列公式计算：投标报价得分=（评标基准价/投标报价）×30。</w:t>
            </w:r>
            <w:r>
              <w:rPr>
                <w:rFonts w:hint="eastAsia" w:cs="宋体"/>
                <w:color w:val="auto"/>
                <w:sz w:val="24"/>
                <w:szCs w:val="24"/>
                <w:highlight w:val="none"/>
                <w:lang w:val="en-US" w:eastAsia="zh-CN"/>
              </w:rPr>
              <w:t>（</w:t>
            </w:r>
            <w:r>
              <w:rPr>
                <w:rFonts w:hint="eastAsia"/>
                <w:b/>
                <w:bCs/>
                <w:color w:val="auto"/>
                <w:sz w:val="24"/>
                <w:szCs w:val="24"/>
                <w:lang w:val="en-US" w:eastAsia="zh-CN"/>
              </w:rPr>
              <w:t>符合招标文件规定的小微企业、监狱企业或残疾人福利性单位优惠条件的供应商，价格给予10%的扣除（不重复优惠，最高为10%），用扣除后的价格参与评审。</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 xml:space="preserve"> </w:t>
            </w:r>
          </w:p>
        </w:tc>
      </w:tr>
      <w:tr w14:paraId="5B9926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89" w:type="dxa"/>
            <w:vMerge w:val="restart"/>
            <w:noWrap w:val="0"/>
            <w:vAlign w:val="center"/>
          </w:tcPr>
          <w:p w14:paraId="2D298CB0">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w:t>
            </w:r>
          </w:p>
          <w:p w14:paraId="0D2007A2">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64</w:t>
            </w:r>
            <w:r>
              <w:rPr>
                <w:rFonts w:hint="eastAsia" w:ascii="宋体" w:hAnsi="宋体" w:eastAsia="宋体" w:cs="宋体"/>
                <w:color w:val="auto"/>
                <w:sz w:val="24"/>
                <w:szCs w:val="24"/>
                <w:highlight w:val="none"/>
              </w:rPr>
              <w:t>分</w:t>
            </w:r>
          </w:p>
        </w:tc>
        <w:tc>
          <w:tcPr>
            <w:tcW w:w="743" w:type="dxa"/>
            <w:vMerge w:val="restart"/>
            <w:noWrap w:val="0"/>
            <w:vAlign w:val="center"/>
          </w:tcPr>
          <w:p w14:paraId="192A7BAD">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467" w:type="dxa"/>
            <w:vMerge w:val="restart"/>
            <w:noWrap w:val="0"/>
            <w:vAlign w:val="center"/>
          </w:tcPr>
          <w:p w14:paraId="22A66859">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技术方案</w:t>
            </w:r>
          </w:p>
          <w:p w14:paraId="0FE59D29">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w:t>
            </w:r>
            <w:r>
              <w:rPr>
                <w:rFonts w:hint="eastAsia" w:cs="宋体"/>
                <w:bCs/>
                <w:color w:val="auto"/>
                <w:sz w:val="24"/>
                <w:szCs w:val="24"/>
                <w:highlight w:val="none"/>
                <w:lang w:val="en-US" w:eastAsia="zh-CN"/>
              </w:rPr>
              <w:t>50</w:t>
            </w:r>
            <w:r>
              <w:rPr>
                <w:rFonts w:hint="eastAsia" w:ascii="宋体" w:hAnsi="宋体" w:eastAsia="宋体" w:cs="宋体"/>
                <w:bCs/>
                <w:color w:val="auto"/>
                <w:sz w:val="24"/>
                <w:szCs w:val="24"/>
                <w:highlight w:val="none"/>
              </w:rPr>
              <w:t>分）</w:t>
            </w:r>
          </w:p>
        </w:tc>
        <w:tc>
          <w:tcPr>
            <w:tcW w:w="6529" w:type="dxa"/>
            <w:noWrap w:val="0"/>
            <w:vAlign w:val="center"/>
          </w:tcPr>
          <w:p w14:paraId="79435C6D">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cs="宋体"/>
                <w:b/>
                <w:bCs/>
                <w:color w:val="auto"/>
                <w:sz w:val="24"/>
                <w:szCs w:val="24"/>
                <w:highlight w:val="none"/>
                <w:lang w:val="en-US" w:eastAsia="zh-CN"/>
              </w:rPr>
            </w:pPr>
            <w:r>
              <w:rPr>
                <w:rFonts w:hint="eastAsia" w:cs="宋体"/>
                <w:b/>
                <w:bCs/>
                <w:color w:val="auto"/>
                <w:sz w:val="24"/>
                <w:szCs w:val="24"/>
                <w:highlight w:val="none"/>
                <w:lang w:val="en-US" w:eastAsia="zh-CN"/>
              </w:rPr>
              <w:t>产品渠道（5分）：</w:t>
            </w:r>
          </w:p>
          <w:p w14:paraId="53274F96">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1.产品来源渠道合法且相关证明材料（包括但不限于销售协议、代理协议、原厂授权等）符合要求的得3分，提供但不完整的得2分，未提供或存在明显问题的得0分。</w:t>
            </w:r>
          </w:p>
          <w:p w14:paraId="3C51864E">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2.核心产品生产厂家连带质量责任承担承诺，符合规范的得 2分，承诺不规范的得1分，无有效承诺的得0分。</w:t>
            </w:r>
          </w:p>
          <w:p w14:paraId="5F1DBCB5">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技术指标（1</w:t>
            </w:r>
            <w:r>
              <w:rPr>
                <w:rFonts w:hint="eastAsia"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color w:val="auto"/>
                <w:sz w:val="24"/>
                <w:szCs w:val="24"/>
                <w:highlight w:val="none"/>
                <w:lang w:val="en-US" w:eastAsia="zh-CN"/>
              </w:rPr>
              <w:t>提供所投产品执行</w:t>
            </w:r>
            <w:r>
              <w:rPr>
                <w:rFonts w:hint="eastAsia" w:cs="宋体"/>
                <w:color w:val="auto"/>
                <w:sz w:val="24"/>
                <w:szCs w:val="24"/>
                <w:highlight w:val="none"/>
                <w:lang w:val="en-US" w:eastAsia="zh-CN"/>
              </w:rPr>
              <w:t>国家</w:t>
            </w:r>
            <w:r>
              <w:rPr>
                <w:rFonts w:hint="eastAsia" w:ascii="宋体" w:hAnsi="宋体" w:eastAsia="宋体" w:cs="宋体"/>
                <w:color w:val="auto"/>
                <w:sz w:val="24"/>
                <w:szCs w:val="24"/>
                <w:highlight w:val="none"/>
                <w:lang w:val="en-US" w:eastAsia="zh-CN"/>
              </w:rPr>
              <w:t>标准所检测的本年度产品技术参数及质检报告，参数清晰明确，技术指标和规格完全满足招标文件要求，检测报告等印证资料齐全。</w:t>
            </w:r>
          </w:p>
          <w:p w14:paraId="3F07B90F">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1.产品完全满足要求、质量优良，印证资料完善、符合标准规范、能充分佐证产品质量的，得1</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44B64EC9">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2.产品满足要求、质量优良，印证资料较为完善、符合标准规范、能佐证产品质量的，得</w:t>
            </w:r>
            <w:r>
              <w:rPr>
                <w:rFonts w:hint="eastAsia"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w:t>
            </w:r>
          </w:p>
          <w:p w14:paraId="2D3067A7">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3.产品基本满足要求、质量合格，印证资料较为完善、基本符合标准规范、能佐证产品质量的，得</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348B94BE">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4.产品不能满足要求，印证资料不完善、不符合标准规范、难以佐证产品质量的，得0分。</w:t>
            </w:r>
          </w:p>
          <w:p w14:paraId="44E23493">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ascii="宋体" w:hAnsi="宋体" w:eastAsia="宋体" w:cs="宋体"/>
                <w:b/>
                <w:bCs/>
                <w:color w:val="auto"/>
                <w:sz w:val="24"/>
                <w:szCs w:val="24"/>
                <w:highlight w:val="none"/>
                <w:lang w:val="en-US"/>
              </w:rPr>
            </w:pPr>
            <w:r>
              <w:rPr>
                <w:rFonts w:hint="eastAsia" w:cs="宋体"/>
                <w:b/>
                <w:bCs/>
                <w:color w:val="auto"/>
                <w:sz w:val="24"/>
                <w:szCs w:val="24"/>
                <w:highlight w:val="none"/>
                <w:lang w:val="en-US" w:eastAsia="zh-CN"/>
              </w:rPr>
              <w:t>（所有材料需提供原件的扫描件）</w:t>
            </w:r>
          </w:p>
        </w:tc>
      </w:tr>
      <w:tr w14:paraId="2BF68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589" w:hRule="atLeast"/>
        </w:trPr>
        <w:tc>
          <w:tcPr>
            <w:tcW w:w="789" w:type="dxa"/>
            <w:vMerge w:val="continue"/>
            <w:noWrap w:val="0"/>
            <w:vAlign w:val="center"/>
          </w:tcPr>
          <w:p w14:paraId="2A815B0C">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vMerge w:val="continue"/>
            <w:noWrap w:val="0"/>
            <w:vAlign w:val="center"/>
          </w:tcPr>
          <w:p w14:paraId="32DB01E1">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p>
        </w:tc>
        <w:tc>
          <w:tcPr>
            <w:tcW w:w="1467" w:type="dxa"/>
            <w:vMerge w:val="continue"/>
            <w:noWrap w:val="0"/>
            <w:vAlign w:val="center"/>
          </w:tcPr>
          <w:p w14:paraId="447D8F59">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p>
        </w:tc>
        <w:tc>
          <w:tcPr>
            <w:tcW w:w="6529" w:type="dxa"/>
            <w:noWrap w:val="0"/>
            <w:vAlign w:val="center"/>
          </w:tcPr>
          <w:p w14:paraId="637112C0">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总体方案（</w:t>
            </w:r>
            <w:r>
              <w:rPr>
                <w:rFonts w:hint="eastAsia"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color w:val="auto"/>
                <w:sz w:val="24"/>
                <w:szCs w:val="24"/>
                <w:highlight w:val="none"/>
                <w:lang w:val="en-US" w:eastAsia="zh-CN"/>
              </w:rPr>
              <w:t>：</w:t>
            </w:r>
          </w:p>
          <w:p w14:paraId="48BEAD85">
            <w:pPr>
              <w:rPr>
                <w:rFonts w:hint="eastAsia" w:ascii="宋体" w:hAnsi="宋体" w:eastAsia="宋体" w:cs="宋体"/>
                <w:sz w:val="24"/>
                <w:szCs w:val="24"/>
              </w:rPr>
            </w:pPr>
            <w:r>
              <w:rPr>
                <w:rFonts w:hint="eastAsia" w:ascii="宋体" w:hAnsi="宋体" w:eastAsia="宋体" w:cs="宋体"/>
                <w:sz w:val="24"/>
                <w:szCs w:val="24"/>
              </w:rPr>
              <w:t>根据项目需求编制</w:t>
            </w:r>
            <w:r>
              <w:rPr>
                <w:rFonts w:hint="eastAsia" w:ascii="宋体" w:hAnsi="宋体" w:eastAsia="宋体" w:cs="宋体"/>
                <w:sz w:val="24"/>
                <w:szCs w:val="24"/>
                <w:lang w:eastAsia="zh-CN"/>
              </w:rPr>
              <w:t>实施</w:t>
            </w:r>
            <w:r>
              <w:rPr>
                <w:rFonts w:hint="eastAsia" w:ascii="宋体" w:hAnsi="宋体" w:eastAsia="宋体" w:cs="宋体"/>
                <w:sz w:val="24"/>
                <w:szCs w:val="24"/>
              </w:rPr>
              <w:t>方案</w:t>
            </w:r>
            <w:r>
              <w:rPr>
                <w:rFonts w:hint="eastAsia" w:ascii="宋体" w:hAnsi="宋体" w:cs="宋体"/>
                <w:sz w:val="24"/>
                <w:szCs w:val="24"/>
                <w:lang w:eastAsia="zh-CN"/>
              </w:rPr>
              <w:t>：</w:t>
            </w:r>
            <w:r>
              <w:rPr>
                <w:rFonts w:hint="eastAsia" w:ascii="宋体" w:hAnsi="宋体" w:cs="宋体"/>
                <w:sz w:val="24"/>
                <w:szCs w:val="24"/>
                <w:lang w:val="en-US" w:eastAsia="zh-CN"/>
              </w:rPr>
              <w:t>方案至少包括</w:t>
            </w:r>
            <w:r>
              <w:rPr>
                <w:rFonts w:hint="eastAsia" w:ascii="宋体" w:hAnsi="宋体" w:eastAsia="宋体" w:cs="宋体"/>
                <w:sz w:val="24"/>
                <w:szCs w:val="24"/>
              </w:rPr>
              <w:t>①供货保障</w:t>
            </w:r>
            <w:r>
              <w:rPr>
                <w:rFonts w:hint="eastAsia" w:ascii="宋体" w:hAnsi="宋体" w:cs="宋体"/>
                <w:sz w:val="24"/>
                <w:szCs w:val="24"/>
                <w:lang w:eastAsia="zh-CN"/>
              </w:rPr>
              <w:t>；</w:t>
            </w:r>
            <w:r>
              <w:rPr>
                <w:rFonts w:hint="eastAsia" w:ascii="宋体" w:hAnsi="宋体" w:eastAsia="宋体" w:cs="宋体"/>
                <w:sz w:val="24"/>
                <w:szCs w:val="24"/>
              </w:rPr>
              <w:t>②管理制度</w:t>
            </w:r>
            <w:r>
              <w:rPr>
                <w:rFonts w:hint="eastAsia" w:ascii="宋体" w:hAnsi="宋体" w:cs="宋体"/>
                <w:sz w:val="24"/>
                <w:szCs w:val="24"/>
                <w:lang w:eastAsia="zh-CN"/>
              </w:rPr>
              <w:t>；</w:t>
            </w:r>
            <w:r>
              <w:rPr>
                <w:rFonts w:hint="eastAsia" w:ascii="宋体" w:hAnsi="宋体" w:eastAsia="宋体" w:cs="宋体"/>
                <w:sz w:val="24"/>
                <w:szCs w:val="24"/>
              </w:rPr>
              <w:t>③运行模式</w:t>
            </w:r>
            <w:r>
              <w:rPr>
                <w:rFonts w:hint="eastAsia" w:ascii="宋体" w:hAnsi="宋体" w:cs="宋体"/>
                <w:sz w:val="24"/>
                <w:szCs w:val="24"/>
                <w:lang w:eastAsia="zh-CN"/>
              </w:rPr>
              <w:t>。</w:t>
            </w:r>
            <w:r>
              <w:rPr>
                <w:rFonts w:hint="eastAsia" w:ascii="宋体" w:hAnsi="宋体" w:eastAsia="宋体" w:cs="宋体"/>
                <w:sz w:val="24"/>
                <w:szCs w:val="24"/>
                <w:lang w:eastAsia="zh-CN"/>
              </w:rPr>
              <w:t>以上</w:t>
            </w:r>
            <w:r>
              <w:rPr>
                <w:rFonts w:hint="eastAsia" w:ascii="宋体" w:hAnsi="宋体" w:eastAsia="宋体" w:cs="宋体"/>
                <w:sz w:val="24"/>
                <w:szCs w:val="24"/>
                <w:lang w:val="en-US" w:eastAsia="zh-CN"/>
              </w:rPr>
              <w:t>3项内容齐全，针对性强、条理清晰、表述准确得分</w:t>
            </w:r>
            <w:r>
              <w:rPr>
                <w:rFonts w:hint="eastAsia" w:cs="宋体"/>
                <w:sz w:val="24"/>
                <w:szCs w:val="24"/>
                <w:lang w:val="en-US" w:eastAsia="zh-CN"/>
              </w:rPr>
              <w:t>6</w:t>
            </w:r>
            <w:r>
              <w:rPr>
                <w:rFonts w:hint="eastAsia" w:ascii="宋体" w:hAnsi="宋体" w:eastAsia="宋体" w:cs="宋体"/>
                <w:sz w:val="24"/>
                <w:szCs w:val="24"/>
                <w:lang w:val="en-US" w:eastAsia="zh-CN"/>
              </w:rPr>
              <w:t>分。每缺少一项内容扣</w:t>
            </w:r>
            <w:r>
              <w:rPr>
                <w:rFonts w:hint="eastAsia" w:cs="宋体"/>
                <w:sz w:val="24"/>
                <w:szCs w:val="24"/>
                <w:lang w:val="en-US" w:eastAsia="zh-CN"/>
              </w:rPr>
              <w:t>2</w:t>
            </w:r>
            <w:r>
              <w:rPr>
                <w:rFonts w:hint="eastAsia" w:ascii="宋体" w:hAnsi="宋体" w:eastAsia="宋体" w:cs="宋体"/>
                <w:sz w:val="24"/>
                <w:szCs w:val="24"/>
                <w:lang w:val="en-US" w:eastAsia="zh-CN"/>
              </w:rPr>
              <w:t>分（缺陷是指在完整性、可实施性和针对性等方面存在瑕疵或实用性不强）</w:t>
            </w:r>
            <w:r>
              <w:rPr>
                <w:rFonts w:hint="eastAsia" w:ascii="宋体" w:hAnsi="宋体" w:eastAsia="宋体" w:cs="宋体"/>
                <w:sz w:val="24"/>
                <w:szCs w:val="24"/>
              </w:rPr>
              <w:t>。</w:t>
            </w:r>
          </w:p>
          <w:p w14:paraId="737A6682">
            <w:pPr>
              <w:rPr>
                <w:rFonts w:hint="eastAsia" w:ascii="宋体" w:hAnsi="宋体" w:eastAsia="宋体" w:cs="宋体"/>
                <w:sz w:val="24"/>
                <w:szCs w:val="24"/>
              </w:rPr>
            </w:pPr>
            <w:r>
              <w:rPr>
                <w:rFonts w:hint="eastAsia" w:ascii="宋体" w:hAnsi="宋体" w:eastAsia="宋体" w:cs="宋体"/>
                <w:sz w:val="24"/>
                <w:szCs w:val="24"/>
              </w:rPr>
              <w:t>根据评审标准对供应商技术方案进行评审，每一条不符合本项目特点和实际需求，存在缺陷或实用性不强的扣1分，扣完为止。</w:t>
            </w:r>
          </w:p>
          <w:p w14:paraId="078B71E2">
            <w:pPr>
              <w:rPr>
                <w:rFonts w:hint="eastAsia" w:ascii="宋体" w:hAnsi="宋体" w:eastAsia="宋体" w:cs="宋体"/>
                <w:sz w:val="24"/>
                <w:szCs w:val="24"/>
              </w:rPr>
            </w:pPr>
            <w:r>
              <w:rPr>
                <w:rFonts w:hint="eastAsia" w:ascii="宋体" w:hAnsi="宋体" w:eastAsia="宋体" w:cs="宋体"/>
                <w:sz w:val="24"/>
                <w:szCs w:val="24"/>
              </w:rPr>
              <w:t xml:space="preserve">评审标准： </w:t>
            </w:r>
          </w:p>
          <w:p w14:paraId="3253E23F">
            <w:pPr>
              <w:rPr>
                <w:rFonts w:hint="eastAsia" w:ascii="宋体" w:hAnsi="宋体" w:eastAsia="宋体" w:cs="宋体"/>
                <w:sz w:val="24"/>
                <w:szCs w:val="24"/>
              </w:rPr>
            </w:pPr>
            <w:r>
              <w:rPr>
                <w:rFonts w:hint="eastAsia" w:ascii="宋体" w:hAnsi="宋体" w:eastAsia="宋体" w:cs="宋体"/>
                <w:sz w:val="24"/>
                <w:szCs w:val="24"/>
              </w:rPr>
              <w:t xml:space="preserve">完整性：方案须全面，对评审内容中的各项要求有详细描述； </w:t>
            </w:r>
          </w:p>
          <w:p w14:paraId="405113BB">
            <w:pPr>
              <w:rPr>
                <w:rFonts w:hint="eastAsia" w:ascii="宋体" w:hAnsi="宋体" w:eastAsia="宋体" w:cs="宋体"/>
                <w:sz w:val="24"/>
                <w:szCs w:val="24"/>
              </w:rPr>
            </w:pPr>
            <w:r>
              <w:rPr>
                <w:rFonts w:hint="eastAsia" w:ascii="宋体" w:hAnsi="宋体" w:eastAsia="宋体" w:cs="宋体"/>
                <w:sz w:val="24"/>
                <w:szCs w:val="24"/>
              </w:rPr>
              <w:t xml:space="preserve">可实施性：切合本项目实际情况，实施步骤清晰、合理； </w:t>
            </w:r>
          </w:p>
          <w:p w14:paraId="539A4D95">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rPr>
              <w:t xml:space="preserve">针对性：方案能够紧扣项目实际情况，内容科学合理。 </w:t>
            </w:r>
          </w:p>
        </w:tc>
      </w:tr>
      <w:tr w14:paraId="20449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89" w:type="dxa"/>
            <w:vMerge w:val="continue"/>
            <w:noWrap w:val="0"/>
            <w:vAlign w:val="center"/>
          </w:tcPr>
          <w:p w14:paraId="092C7C3C">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vMerge w:val="continue"/>
            <w:noWrap w:val="0"/>
            <w:vAlign w:val="center"/>
          </w:tcPr>
          <w:p w14:paraId="60FFA9C4">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1467" w:type="dxa"/>
            <w:vMerge w:val="continue"/>
            <w:noWrap w:val="0"/>
            <w:vAlign w:val="center"/>
          </w:tcPr>
          <w:p w14:paraId="6D589F55">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6529" w:type="dxa"/>
            <w:noWrap w:val="0"/>
            <w:vAlign w:val="center"/>
          </w:tcPr>
          <w:p w14:paraId="6350CC0C">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仓储</w:t>
            </w:r>
            <w:r>
              <w:rPr>
                <w:rFonts w:hint="eastAsia" w:ascii="宋体" w:hAnsi="宋体" w:eastAsia="宋体" w:cs="宋体"/>
                <w:b/>
                <w:bCs/>
                <w:color w:val="auto"/>
                <w:sz w:val="24"/>
                <w:szCs w:val="24"/>
                <w:highlight w:val="none"/>
              </w:rPr>
              <w:t>和冷藏</w:t>
            </w:r>
            <w:r>
              <w:rPr>
                <w:rFonts w:hint="eastAsia" w:ascii="宋体" w:hAnsi="宋体" w:eastAsia="宋体" w:cs="宋体"/>
                <w:b/>
                <w:bCs/>
                <w:color w:val="auto"/>
                <w:sz w:val="24"/>
                <w:szCs w:val="24"/>
                <w:highlight w:val="none"/>
                <w:lang w:eastAsia="zh-CN"/>
              </w:rPr>
              <w:t>保</w:t>
            </w:r>
            <w:r>
              <w:rPr>
                <w:rFonts w:hint="eastAsia" w:ascii="宋体" w:hAnsi="宋体" w:eastAsia="宋体" w:cs="宋体"/>
                <w:b/>
                <w:bCs/>
                <w:color w:val="auto"/>
                <w:sz w:val="24"/>
                <w:szCs w:val="24"/>
                <w:highlight w:val="none"/>
              </w:rPr>
              <w:t>鲜</w:t>
            </w:r>
            <w:r>
              <w:rPr>
                <w:rFonts w:hint="eastAsia" w:ascii="宋体" w:hAnsi="宋体" w:eastAsia="宋体" w:cs="宋体"/>
                <w:b/>
                <w:bCs/>
                <w:color w:val="auto"/>
                <w:sz w:val="24"/>
                <w:szCs w:val="24"/>
                <w:highlight w:val="none"/>
                <w:lang w:val="en-US" w:eastAsia="zh-CN"/>
              </w:rPr>
              <w:t>能力（</w:t>
            </w:r>
            <w:r>
              <w:rPr>
                <w:rFonts w:hint="eastAsia" w:cs="宋体"/>
                <w:b/>
                <w:bCs/>
                <w:color w:val="auto"/>
                <w:sz w:val="24"/>
                <w:szCs w:val="24"/>
                <w:highlight w:val="none"/>
                <w:lang w:val="en-US" w:eastAsia="zh-CN"/>
              </w:rPr>
              <w:t>12</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color w:val="auto"/>
                <w:kern w:val="2"/>
                <w:sz w:val="24"/>
                <w:szCs w:val="24"/>
                <w:highlight w:val="none"/>
                <w:lang w:val="en-US" w:eastAsia="zh-CN" w:bidi="ar-SA"/>
              </w:rPr>
              <w:t>：有独立的</w:t>
            </w:r>
            <w:r>
              <w:rPr>
                <w:rFonts w:hint="eastAsia" w:cs="宋体"/>
                <w:color w:val="auto"/>
                <w:kern w:val="2"/>
                <w:sz w:val="24"/>
                <w:szCs w:val="24"/>
                <w:highlight w:val="none"/>
                <w:lang w:val="en-US" w:eastAsia="zh-CN" w:bidi="ar-SA"/>
              </w:rPr>
              <w:t>冷藏库</w:t>
            </w:r>
            <w:r>
              <w:rPr>
                <w:rFonts w:hint="eastAsia" w:ascii="宋体" w:hAnsi="宋体" w:eastAsia="宋体" w:cs="宋体"/>
                <w:color w:val="auto"/>
                <w:kern w:val="2"/>
                <w:sz w:val="24"/>
                <w:szCs w:val="24"/>
                <w:highlight w:val="none"/>
                <w:lang w:val="en-US" w:eastAsia="zh-CN" w:bidi="ar-SA"/>
              </w:rPr>
              <w:t>，且为</w:t>
            </w:r>
            <w:r>
              <w:rPr>
                <w:rFonts w:hint="eastAsia" w:cs="宋体"/>
                <w:color w:val="auto"/>
                <w:kern w:val="2"/>
                <w:sz w:val="24"/>
                <w:szCs w:val="24"/>
                <w:highlight w:val="none"/>
                <w:lang w:val="en-US" w:eastAsia="zh-CN" w:bidi="ar-SA"/>
              </w:rPr>
              <w:t>食品</w:t>
            </w:r>
            <w:r>
              <w:rPr>
                <w:rFonts w:hint="eastAsia" w:ascii="宋体" w:hAnsi="宋体" w:eastAsia="宋体" w:cs="宋体"/>
                <w:color w:val="auto"/>
                <w:kern w:val="2"/>
                <w:sz w:val="24"/>
                <w:szCs w:val="24"/>
                <w:highlight w:val="none"/>
                <w:lang w:val="en-US" w:eastAsia="zh-CN" w:bidi="ar-SA"/>
              </w:rPr>
              <w:t>材料存储专用库</w:t>
            </w:r>
            <w:r>
              <w:rPr>
                <w:rFonts w:hint="eastAsia"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提供库房自有证明或租赁合同和仓储设备及其他能反映出其适合产品储存、周转的证明材料，满足相关食材所要求的存储要求</w:t>
            </w:r>
            <w:r>
              <w:rPr>
                <w:rFonts w:hint="eastAsia" w:cs="宋体"/>
                <w:color w:val="auto"/>
                <w:kern w:val="2"/>
                <w:sz w:val="24"/>
                <w:szCs w:val="24"/>
                <w:highlight w:val="none"/>
                <w:lang w:val="en-US" w:eastAsia="zh-CN" w:bidi="ar-SA"/>
              </w:rPr>
              <w:t>（</w:t>
            </w:r>
            <w:r>
              <w:rPr>
                <w:rFonts w:hint="eastAsia" w:ascii="宋体" w:hAnsi="宋体" w:eastAsia="宋体" w:cs="宋体"/>
                <w:b/>
                <w:bCs/>
                <w:color w:val="auto"/>
                <w:kern w:val="2"/>
                <w:sz w:val="24"/>
                <w:szCs w:val="24"/>
                <w:highlight w:val="none"/>
                <w:lang w:val="en-US" w:eastAsia="zh-CN" w:bidi="ar-SA"/>
              </w:rPr>
              <w:t>证明材料中所用的照片必须为清晰的全方位彩色照片</w:t>
            </w:r>
            <w:r>
              <w:rPr>
                <w:rFonts w:hint="eastAsia" w:cs="宋体"/>
                <w:b/>
                <w:bCs/>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 xml:space="preserve">： </w:t>
            </w:r>
          </w:p>
          <w:p w14:paraId="03BC8052">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1.库房面积（</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分）：根据投标人提供的有效证明材料，库房面积≥100㎡，得</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分，库房面积＜100㎡，得</w:t>
            </w: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r>
              <w:rPr>
                <w:rFonts w:hint="eastAsia" w:cs="宋体"/>
                <w:color w:val="auto"/>
                <w:sz w:val="24"/>
                <w:szCs w:val="24"/>
                <w:highlight w:val="none"/>
                <w:lang w:val="en-US" w:eastAsia="zh-CN"/>
              </w:rPr>
              <w:t>，</w:t>
            </w:r>
            <w:r>
              <w:rPr>
                <w:rFonts w:hint="eastAsia" w:ascii="宋体" w:hAnsi="宋体" w:eastAsia="宋体" w:cs="宋体"/>
                <w:color w:val="auto"/>
                <w:kern w:val="2"/>
                <w:sz w:val="24"/>
                <w:szCs w:val="24"/>
                <w:highlight w:val="none"/>
                <w:lang w:val="en-US" w:eastAsia="zh-CN" w:bidi="ar-SA"/>
              </w:rPr>
              <w:t>无独立专用库</w:t>
            </w:r>
            <w:r>
              <w:rPr>
                <w:rFonts w:hint="eastAsia" w:cs="宋体"/>
                <w:color w:val="auto"/>
                <w:kern w:val="2"/>
                <w:sz w:val="24"/>
                <w:szCs w:val="24"/>
                <w:highlight w:val="none"/>
                <w:lang w:val="en-US" w:eastAsia="zh-CN" w:bidi="ar-SA"/>
              </w:rPr>
              <w:t>房得0分</w:t>
            </w:r>
            <w:r>
              <w:rPr>
                <w:rFonts w:hint="eastAsia" w:ascii="宋体" w:hAnsi="宋体" w:eastAsia="宋体" w:cs="宋体"/>
                <w:color w:val="auto"/>
                <w:sz w:val="24"/>
                <w:szCs w:val="24"/>
                <w:highlight w:val="none"/>
                <w:lang w:val="en-US" w:eastAsia="zh-CN"/>
              </w:rPr>
              <w:t>。</w:t>
            </w:r>
          </w:p>
          <w:p w14:paraId="40D606D5">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2.仓储设备（</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shd w:val="clear" w:color="auto" w:fill="auto"/>
                <w:lang w:val="en-US" w:eastAsia="zh-CN"/>
              </w:rPr>
              <w:t>有冻货专用</w:t>
            </w:r>
            <w:r>
              <w:rPr>
                <w:rFonts w:hint="eastAsia" w:cs="宋体"/>
                <w:color w:val="auto"/>
                <w:sz w:val="24"/>
                <w:szCs w:val="24"/>
                <w:highlight w:val="none"/>
                <w:shd w:val="clear" w:color="auto" w:fill="auto"/>
                <w:lang w:val="en-US" w:eastAsia="zh-CN"/>
              </w:rPr>
              <w:t>设备，有</w:t>
            </w:r>
            <w:r>
              <w:rPr>
                <w:rFonts w:hint="eastAsia" w:ascii="宋体" w:hAnsi="宋体" w:eastAsia="宋体" w:cs="宋体"/>
                <w:color w:val="auto"/>
                <w:sz w:val="24"/>
                <w:szCs w:val="24"/>
                <w:highlight w:val="none"/>
                <w:shd w:val="clear" w:color="auto" w:fill="auto"/>
                <w:lang w:val="en-US" w:eastAsia="zh-CN"/>
              </w:rPr>
              <w:t>通风、</w:t>
            </w:r>
            <w:r>
              <w:rPr>
                <w:rFonts w:hint="eastAsia" w:cs="宋体"/>
                <w:color w:val="auto"/>
                <w:sz w:val="24"/>
                <w:szCs w:val="24"/>
                <w:highlight w:val="none"/>
                <w:shd w:val="clear" w:color="auto" w:fill="auto"/>
                <w:lang w:val="en-US" w:eastAsia="zh-CN"/>
              </w:rPr>
              <w:t>温度</w:t>
            </w:r>
            <w:r>
              <w:rPr>
                <w:rFonts w:hint="eastAsia" w:ascii="宋体" w:hAnsi="宋体" w:eastAsia="宋体" w:cs="宋体"/>
                <w:color w:val="auto"/>
                <w:sz w:val="24"/>
                <w:szCs w:val="24"/>
                <w:highlight w:val="none"/>
                <w:shd w:val="clear" w:color="auto" w:fill="auto"/>
                <w:lang w:val="en-US" w:eastAsia="zh-CN"/>
              </w:rPr>
              <w:t>、</w:t>
            </w:r>
            <w:r>
              <w:rPr>
                <w:rFonts w:hint="eastAsia" w:cs="宋体"/>
                <w:color w:val="auto"/>
                <w:sz w:val="24"/>
                <w:szCs w:val="24"/>
                <w:highlight w:val="none"/>
                <w:shd w:val="clear" w:color="auto" w:fill="auto"/>
                <w:lang w:val="en-US" w:eastAsia="zh-CN"/>
              </w:rPr>
              <w:t>湿度控制</w:t>
            </w:r>
            <w:r>
              <w:rPr>
                <w:rFonts w:hint="eastAsia" w:ascii="宋体" w:hAnsi="宋体" w:eastAsia="宋体" w:cs="宋体"/>
                <w:color w:val="auto"/>
                <w:sz w:val="24"/>
                <w:szCs w:val="24"/>
                <w:highlight w:val="none"/>
                <w:shd w:val="clear" w:color="auto" w:fill="auto"/>
                <w:lang w:val="en-US" w:eastAsia="zh-CN"/>
              </w:rPr>
              <w:t>设备，能满足相关食材存储所要求的温</w:t>
            </w:r>
            <w:r>
              <w:rPr>
                <w:rFonts w:hint="eastAsia" w:cs="宋体"/>
                <w:color w:val="auto"/>
                <w:sz w:val="24"/>
                <w:szCs w:val="24"/>
                <w:highlight w:val="none"/>
                <w:shd w:val="clear" w:color="auto" w:fill="auto"/>
                <w:lang w:val="en-US" w:eastAsia="zh-CN"/>
              </w:rPr>
              <w:t>度</w:t>
            </w:r>
            <w:r>
              <w:rPr>
                <w:rFonts w:hint="eastAsia" w:ascii="宋体" w:hAnsi="宋体" w:eastAsia="宋体" w:cs="宋体"/>
                <w:color w:val="auto"/>
                <w:sz w:val="24"/>
                <w:szCs w:val="24"/>
                <w:highlight w:val="none"/>
                <w:shd w:val="clear" w:color="auto" w:fill="auto"/>
                <w:lang w:val="en-US" w:eastAsia="zh-CN"/>
              </w:rPr>
              <w:t>、湿度、安全条件，设备齐全共得3分，缺少一项设备扣1分</w:t>
            </w:r>
            <w:r>
              <w:rPr>
                <w:rFonts w:hint="eastAsia" w:cs="宋体"/>
                <w:color w:val="auto"/>
                <w:sz w:val="24"/>
                <w:szCs w:val="24"/>
                <w:highlight w:val="none"/>
                <w:shd w:val="clear" w:color="auto" w:fill="auto"/>
                <w:lang w:val="en-US" w:eastAsia="zh-CN"/>
              </w:rPr>
              <w:t>。</w:t>
            </w:r>
          </w:p>
          <w:p w14:paraId="58CF2359">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 库房“七防”设施（防火、防盗、防潮、防投毒、防鼠、防蝇、防尘）设施图片及制度齐全，得3分；不全得0分。</w:t>
            </w:r>
          </w:p>
          <w:p w14:paraId="47075DDA">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sz w:val="24"/>
                <w:szCs w:val="24"/>
                <w:highlight w:val="none"/>
              </w:rPr>
            </w:pPr>
            <w:r>
              <w:rPr>
                <w:rFonts w:hint="eastAsia"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 xml:space="preserve"> 库房</w:t>
            </w:r>
            <w:r>
              <w:rPr>
                <w:rFonts w:hint="eastAsia" w:cs="宋体"/>
                <w:color w:val="auto"/>
                <w:kern w:val="2"/>
                <w:sz w:val="24"/>
                <w:szCs w:val="24"/>
                <w:highlight w:val="none"/>
                <w:lang w:val="en-US" w:eastAsia="zh-CN" w:bidi="ar-SA"/>
              </w:rPr>
              <w:t>内</w:t>
            </w:r>
            <w:r>
              <w:rPr>
                <w:rFonts w:hint="eastAsia" w:ascii="宋体" w:hAnsi="宋体" w:eastAsia="宋体" w:cs="宋体"/>
                <w:color w:val="auto"/>
                <w:kern w:val="2"/>
                <w:sz w:val="24"/>
                <w:szCs w:val="24"/>
                <w:highlight w:val="none"/>
                <w:lang w:val="en-US" w:eastAsia="zh-CN" w:bidi="ar-SA"/>
              </w:rPr>
              <w:t>外安装有监控设备且全方位覆盖，得2分；未达到上述要求，得0分</w:t>
            </w:r>
            <w:r>
              <w:rPr>
                <w:rFonts w:hint="eastAsia" w:ascii="宋体" w:hAnsi="宋体" w:eastAsia="宋体" w:cs="宋体"/>
                <w:color w:val="auto"/>
                <w:kern w:val="0"/>
                <w:sz w:val="24"/>
                <w:szCs w:val="24"/>
                <w:lang w:val="en-US" w:eastAsia="zh-CN" w:bidi="ar"/>
              </w:rPr>
              <w:t>。</w:t>
            </w:r>
          </w:p>
        </w:tc>
      </w:tr>
      <w:tr w14:paraId="3EFB7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89" w:type="dxa"/>
            <w:vMerge w:val="continue"/>
            <w:noWrap w:val="0"/>
            <w:vAlign w:val="center"/>
          </w:tcPr>
          <w:p w14:paraId="576D21F4">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vMerge w:val="continue"/>
            <w:noWrap w:val="0"/>
            <w:vAlign w:val="center"/>
          </w:tcPr>
          <w:p w14:paraId="715A6F78">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1467" w:type="dxa"/>
            <w:vMerge w:val="continue"/>
            <w:noWrap w:val="0"/>
            <w:vAlign w:val="center"/>
          </w:tcPr>
          <w:p w14:paraId="409FB81A">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6529" w:type="dxa"/>
            <w:noWrap w:val="0"/>
            <w:vAlign w:val="center"/>
          </w:tcPr>
          <w:p w14:paraId="25206F37">
            <w:pPr>
              <w:pStyle w:val="52"/>
              <w:jc w:val="left"/>
              <w:rPr>
                <w:rFonts w:hint="eastAsia" w:ascii="宋体" w:hAnsi="宋体" w:eastAsia="宋体" w:cs="宋体"/>
                <w:b/>
                <w:bCs/>
                <w:sz w:val="24"/>
                <w:szCs w:val="24"/>
                <w:lang w:eastAsia="zh-CN"/>
              </w:rPr>
            </w:pPr>
            <w:r>
              <w:rPr>
                <w:rFonts w:hint="eastAsia" w:ascii="宋体" w:hAnsi="宋体" w:eastAsia="宋体" w:cs="宋体"/>
                <w:b/>
                <w:bCs/>
                <w:sz w:val="24"/>
                <w:szCs w:val="24"/>
              </w:rPr>
              <w:t>人员配备</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5分</w:t>
            </w:r>
            <w:r>
              <w:rPr>
                <w:rFonts w:hint="eastAsia" w:ascii="宋体" w:hAnsi="宋体" w:eastAsia="宋体" w:cs="宋体"/>
                <w:b/>
                <w:bCs/>
                <w:sz w:val="24"/>
                <w:szCs w:val="24"/>
                <w:lang w:eastAsia="zh-CN"/>
              </w:rPr>
              <w:t>）</w:t>
            </w:r>
          </w:p>
          <w:p w14:paraId="2CD0321E">
            <w:pPr>
              <w:pStyle w:val="52"/>
              <w:jc w:val="left"/>
              <w:rPr>
                <w:rFonts w:hint="eastAsia" w:ascii="宋体" w:hAnsi="宋体" w:cs="宋体"/>
                <w:color w:val="auto"/>
                <w:sz w:val="24"/>
                <w:szCs w:val="24"/>
                <w:lang w:eastAsia="zh-CN"/>
              </w:rPr>
            </w:pPr>
            <w:r>
              <w:rPr>
                <w:rFonts w:hint="eastAsia" w:ascii="宋体" w:hAnsi="宋体" w:eastAsia="宋体" w:cs="宋体"/>
                <w:sz w:val="24"/>
                <w:szCs w:val="24"/>
              </w:rPr>
              <w:t>岗</w:t>
            </w:r>
            <w:r>
              <w:rPr>
                <w:rFonts w:hint="eastAsia" w:ascii="宋体" w:hAnsi="宋体" w:eastAsia="宋体" w:cs="宋体"/>
                <w:color w:val="auto"/>
                <w:sz w:val="24"/>
                <w:szCs w:val="24"/>
              </w:rPr>
              <w:t>位设置齐全、职责明确、人员配置合理充足，</w:t>
            </w:r>
            <w:r>
              <w:rPr>
                <w:rFonts w:hint="eastAsia" w:ascii="宋体" w:hAnsi="宋体" w:eastAsia="宋体" w:cs="宋体"/>
                <w:color w:val="auto"/>
                <w:sz w:val="24"/>
                <w:szCs w:val="24"/>
                <w:lang w:val="en-US" w:eastAsia="zh-CN"/>
              </w:rPr>
              <w:t>相关</w:t>
            </w:r>
            <w:r>
              <w:rPr>
                <w:rFonts w:hint="eastAsia" w:ascii="宋体" w:hAnsi="宋体" w:eastAsia="宋体" w:cs="宋体"/>
                <w:color w:val="auto"/>
                <w:sz w:val="24"/>
                <w:szCs w:val="24"/>
              </w:rPr>
              <w:t>人员提供人员身份证、健康证</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劳务合同</w:t>
            </w:r>
            <w:r>
              <w:rPr>
                <w:rFonts w:hint="eastAsia" w:ascii="宋体" w:hAnsi="宋体" w:eastAsia="宋体" w:cs="宋体"/>
                <w:color w:val="auto"/>
                <w:sz w:val="24"/>
                <w:szCs w:val="24"/>
                <w:lang w:val="en-US" w:eastAsia="zh-CN"/>
              </w:rPr>
              <w:t>及无犯罪证明</w:t>
            </w:r>
            <w:r>
              <w:rPr>
                <w:rFonts w:hint="eastAsia" w:ascii="宋体" w:hAnsi="宋体" w:eastAsia="宋体" w:cs="宋体"/>
                <w:color w:val="auto"/>
                <w:sz w:val="24"/>
                <w:szCs w:val="24"/>
              </w:rPr>
              <w:t>等</w:t>
            </w:r>
            <w:r>
              <w:rPr>
                <w:rFonts w:hint="eastAsia" w:ascii="宋体" w:hAnsi="宋体" w:cs="宋体"/>
                <w:color w:val="auto"/>
                <w:sz w:val="24"/>
                <w:szCs w:val="24"/>
                <w:lang w:eastAsia="zh-CN"/>
              </w:rPr>
              <w:t>；</w:t>
            </w:r>
            <w:r>
              <w:rPr>
                <w:rFonts w:hint="eastAsia" w:ascii="宋体" w:hAnsi="宋体" w:eastAsia="宋体" w:cs="宋体"/>
                <w:color w:val="auto"/>
                <w:sz w:val="24"/>
                <w:szCs w:val="24"/>
              </w:rPr>
              <w:t>司机</w:t>
            </w:r>
            <w:r>
              <w:rPr>
                <w:rFonts w:hint="eastAsia" w:ascii="宋体" w:hAnsi="宋体" w:eastAsia="宋体" w:cs="宋体"/>
                <w:color w:val="auto"/>
                <w:sz w:val="24"/>
                <w:szCs w:val="24"/>
                <w:lang w:val="en-US" w:eastAsia="zh-CN"/>
              </w:rPr>
              <w:t>还须提供</w:t>
            </w:r>
            <w:r>
              <w:rPr>
                <w:rFonts w:hint="eastAsia" w:ascii="宋体" w:hAnsi="宋体" w:eastAsia="宋体" w:cs="宋体"/>
                <w:color w:val="auto"/>
                <w:sz w:val="24"/>
                <w:szCs w:val="24"/>
              </w:rPr>
              <w:t>驾驶证</w:t>
            </w:r>
            <w:r>
              <w:rPr>
                <w:rFonts w:hint="eastAsia" w:ascii="宋体" w:hAnsi="宋体" w:cs="宋体"/>
                <w:color w:val="auto"/>
                <w:sz w:val="24"/>
                <w:szCs w:val="24"/>
                <w:lang w:eastAsia="zh-CN"/>
              </w:rPr>
              <w:t>。</w:t>
            </w:r>
          </w:p>
          <w:p w14:paraId="74DED476">
            <w:pPr>
              <w:pStyle w:val="52"/>
              <w:jc w:val="left"/>
              <w:rPr>
                <w:rFonts w:hint="eastAsia" w:ascii="宋体" w:hAnsi="宋体" w:eastAsia="宋体" w:cs="宋体"/>
                <w:color w:val="auto"/>
                <w:sz w:val="24"/>
                <w:szCs w:val="24"/>
              </w:rPr>
            </w:pPr>
            <w:r>
              <w:rPr>
                <w:rFonts w:hint="eastAsia" w:ascii="宋体" w:hAnsi="宋体" w:eastAsia="宋体" w:cs="宋体"/>
                <w:color w:val="auto"/>
                <w:sz w:val="24"/>
                <w:szCs w:val="24"/>
              </w:rPr>
              <w:t>①为本项目配备的服务团队人员上述条件齐全有效且达到</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人以上得5分；</w:t>
            </w:r>
          </w:p>
          <w:p w14:paraId="5BEAE235">
            <w:pPr>
              <w:pStyle w:val="52"/>
              <w:jc w:val="left"/>
              <w:rPr>
                <w:rFonts w:hint="eastAsia" w:ascii="宋体" w:hAnsi="宋体" w:eastAsia="宋体" w:cs="宋体"/>
                <w:color w:val="auto"/>
                <w:sz w:val="24"/>
                <w:szCs w:val="24"/>
              </w:rPr>
            </w:pPr>
            <w:r>
              <w:rPr>
                <w:rFonts w:hint="eastAsia" w:ascii="宋体" w:hAnsi="宋体" w:eastAsia="宋体" w:cs="宋体"/>
                <w:color w:val="auto"/>
                <w:sz w:val="24"/>
                <w:szCs w:val="24"/>
              </w:rPr>
              <w:t>②为本项目配备的服务团队人员上述条件齐全有效且达到</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人分得</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w:t>
            </w:r>
          </w:p>
          <w:p w14:paraId="5FA59313">
            <w:pPr>
              <w:keepNext w:val="0"/>
              <w:keepLines w:val="0"/>
              <w:pageBreakBefore w:val="0"/>
              <w:kinsoku/>
              <w:wordWrap/>
              <w:overflowPunct/>
              <w:topLinePunct w:val="0"/>
              <w:bidi w:val="0"/>
              <w:adjustRightInd/>
              <w:snapToGrid/>
              <w:spacing w:line="400" w:lineRule="exact"/>
              <w:ind w:left="0" w:right="0"/>
              <w:jc w:val="left"/>
              <w:textAlignment w:val="auto"/>
              <w:rPr>
                <w:rFonts w:hint="eastAsia" w:cs="宋体"/>
                <w:color w:val="auto"/>
                <w:kern w:val="2"/>
                <w:sz w:val="24"/>
                <w:szCs w:val="24"/>
                <w:highlight w:val="none"/>
                <w:lang w:val="en-US" w:eastAsia="zh-CN" w:bidi="ar-SA"/>
              </w:rPr>
            </w:pPr>
            <w:r>
              <w:rPr>
                <w:rFonts w:hint="eastAsia" w:ascii="宋体" w:hAnsi="宋体" w:eastAsia="宋体" w:cs="宋体"/>
                <w:sz w:val="24"/>
                <w:szCs w:val="24"/>
              </w:rPr>
              <w:t>③人员配置</w:t>
            </w:r>
            <w:r>
              <w:rPr>
                <w:rFonts w:hint="eastAsia" w:ascii="宋体" w:hAnsi="宋体" w:cs="宋体"/>
                <w:sz w:val="24"/>
                <w:szCs w:val="24"/>
                <w:lang w:val="en-US" w:eastAsia="zh-CN"/>
              </w:rPr>
              <w:t>不足3人得1分，少于2人得0分</w:t>
            </w:r>
            <w:r>
              <w:rPr>
                <w:rFonts w:hint="eastAsia" w:ascii="宋体" w:hAnsi="宋体" w:eastAsia="宋体" w:cs="宋体"/>
                <w:sz w:val="24"/>
                <w:szCs w:val="24"/>
              </w:rPr>
              <w:t>。</w:t>
            </w:r>
          </w:p>
        </w:tc>
      </w:tr>
      <w:tr w14:paraId="0FBD8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64" w:hRule="atLeast"/>
        </w:trPr>
        <w:tc>
          <w:tcPr>
            <w:tcW w:w="789" w:type="dxa"/>
            <w:vMerge w:val="continue"/>
            <w:noWrap w:val="0"/>
            <w:vAlign w:val="center"/>
          </w:tcPr>
          <w:p w14:paraId="7ADCD223">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vMerge w:val="continue"/>
            <w:noWrap w:val="0"/>
            <w:vAlign w:val="center"/>
          </w:tcPr>
          <w:p w14:paraId="25D9FF27">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1467" w:type="dxa"/>
            <w:vMerge w:val="continue"/>
            <w:noWrap w:val="0"/>
            <w:vAlign w:val="center"/>
          </w:tcPr>
          <w:p w14:paraId="4AEA550A">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6529" w:type="dxa"/>
            <w:noWrap w:val="0"/>
            <w:vAlign w:val="center"/>
          </w:tcPr>
          <w:p w14:paraId="37988FA6">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kern w:val="2"/>
                <w:sz w:val="24"/>
                <w:szCs w:val="24"/>
                <w:highlight w:val="none"/>
                <w:lang w:val="en-US" w:eastAsia="zh-CN" w:bidi="ar-SA"/>
              </w:rPr>
              <w:t>配送车辆（6分）</w:t>
            </w:r>
            <w:r>
              <w:rPr>
                <w:rFonts w:hint="eastAsia" w:ascii="宋体" w:hAnsi="宋体" w:eastAsia="宋体" w:cs="宋体"/>
                <w:color w:val="auto"/>
                <w:kern w:val="2"/>
                <w:sz w:val="24"/>
                <w:szCs w:val="24"/>
                <w:highlight w:val="none"/>
                <w:lang w:val="en-US" w:eastAsia="zh-CN" w:bidi="ar-SA"/>
              </w:rPr>
              <w:t>：投标人须具有</w:t>
            </w:r>
            <w:r>
              <w:rPr>
                <w:rFonts w:hint="eastAsia"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辆以上自有或租赁（租赁车辆须提供租赁合同等证明材料）符合安全运输标准的厢式运输专用车辆等相关配送设备，须提供车辆</w:t>
            </w:r>
            <w:r>
              <w:rPr>
                <w:rFonts w:hint="eastAsia" w:cs="宋体"/>
                <w:color w:val="auto"/>
                <w:kern w:val="2"/>
                <w:sz w:val="24"/>
                <w:szCs w:val="24"/>
                <w:highlight w:val="none"/>
                <w:lang w:val="en-US" w:eastAsia="zh-CN" w:bidi="ar-SA"/>
              </w:rPr>
              <w:t>（车辆照片彩页）、</w:t>
            </w:r>
            <w:r>
              <w:rPr>
                <w:rFonts w:hint="eastAsia" w:ascii="宋体" w:hAnsi="宋体" w:eastAsia="宋体" w:cs="宋体"/>
                <w:color w:val="auto"/>
                <w:kern w:val="2"/>
                <w:sz w:val="24"/>
                <w:szCs w:val="24"/>
                <w:highlight w:val="none"/>
                <w:lang w:val="en-US" w:eastAsia="zh-CN" w:bidi="ar-SA"/>
              </w:rPr>
              <w:t>行驶证满足项目基本配送车辆要求得3分（少于</w:t>
            </w:r>
            <w:r>
              <w:rPr>
                <w:rFonts w:hint="eastAsia"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辆不得分），车辆数量每增加1辆加1分，最多加3分，满分6分。</w:t>
            </w:r>
          </w:p>
        </w:tc>
      </w:tr>
      <w:tr w14:paraId="146679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78" w:hRule="atLeast"/>
        </w:trPr>
        <w:tc>
          <w:tcPr>
            <w:tcW w:w="789" w:type="dxa"/>
            <w:vMerge w:val="continue"/>
            <w:noWrap w:val="0"/>
            <w:vAlign w:val="center"/>
          </w:tcPr>
          <w:p w14:paraId="64621579">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noWrap w:val="0"/>
            <w:vAlign w:val="center"/>
          </w:tcPr>
          <w:p w14:paraId="32F93C76">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467" w:type="dxa"/>
            <w:noWrap w:val="0"/>
            <w:vAlign w:val="center"/>
          </w:tcPr>
          <w:p w14:paraId="64C5C77F">
            <w:pPr>
              <w:pStyle w:val="50"/>
              <w:keepNext w:val="0"/>
              <w:keepLines w:val="0"/>
              <w:pageBreakBefore w:val="0"/>
              <w:tabs>
                <w:tab w:val="clear" w:pos="4153"/>
                <w:tab w:val="clear" w:pos="8306"/>
              </w:tabs>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质量及安全控制措施</w:t>
            </w:r>
            <w:r>
              <w:rPr>
                <w:rFonts w:hint="eastAsia" w:ascii="宋体" w:hAnsi="宋体" w:eastAsia="宋体" w:cs="宋体"/>
                <w:bCs/>
                <w:color w:val="auto"/>
                <w:sz w:val="24"/>
                <w:szCs w:val="24"/>
                <w:highlight w:val="none"/>
              </w:rPr>
              <w:t>（</w:t>
            </w:r>
            <w:r>
              <w:rPr>
                <w:rFonts w:hint="eastAsia" w:cs="宋体"/>
                <w:bCs/>
                <w:color w:val="auto"/>
                <w:sz w:val="24"/>
                <w:szCs w:val="24"/>
                <w:highlight w:val="none"/>
                <w:lang w:val="en-US" w:eastAsia="zh-CN"/>
              </w:rPr>
              <w:t>10</w:t>
            </w:r>
            <w:r>
              <w:rPr>
                <w:rFonts w:hint="eastAsia" w:ascii="宋体" w:hAnsi="宋体" w:eastAsia="宋体" w:cs="宋体"/>
                <w:bCs/>
                <w:color w:val="auto"/>
                <w:sz w:val="24"/>
                <w:szCs w:val="24"/>
                <w:highlight w:val="none"/>
              </w:rPr>
              <w:t>分）</w:t>
            </w:r>
          </w:p>
        </w:tc>
        <w:tc>
          <w:tcPr>
            <w:tcW w:w="6529" w:type="dxa"/>
            <w:noWrap w:val="0"/>
            <w:vAlign w:val="center"/>
          </w:tcPr>
          <w:p w14:paraId="3FA18943">
            <w:pPr>
              <w:keepNext w:val="0"/>
              <w:keepLines w:val="0"/>
              <w:pageBreakBefore w:val="0"/>
              <w:numPr>
                <w:ilvl w:val="0"/>
                <w:numId w:val="7"/>
              </w:numPr>
              <w:kinsoku/>
              <w:wordWrap/>
              <w:overflowPunct/>
              <w:topLinePunct w:val="0"/>
              <w:bidi w:val="0"/>
              <w:adjustRightInd/>
              <w:snapToGrid/>
              <w:spacing w:line="400" w:lineRule="exact"/>
              <w:ind w:left="0" w:leftChars="0" w:right="0" w:firstLine="0" w:firstLine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根据项目需求内容制定整体质量保证措施：方案至少包括①质量安全保证具体措施；②卫生安全；③货物的来源；④采购环节控制；⑤加工包装保存运输等环节。提供必要的证明材料复印件或扫描件（包括但不限于销售协议、代理商授权、检测报告等）。以上5项内容齐全，针对性强、条理清晰、表述准确得分10分。每缺少一项内容扣2分（缺陷是指在完整性、可实施性和针对性等方面存在瑕疵或实用性不强）。</w:t>
            </w:r>
          </w:p>
          <w:p w14:paraId="5AD9D3D5">
            <w:pPr>
              <w:keepNext w:val="0"/>
              <w:keepLines w:val="0"/>
              <w:pageBreakBefore w:val="0"/>
              <w:numPr>
                <w:ilvl w:val="0"/>
                <w:numId w:val="7"/>
              </w:numPr>
              <w:kinsoku/>
              <w:wordWrap/>
              <w:overflowPunct/>
              <w:topLinePunct w:val="0"/>
              <w:bidi w:val="0"/>
              <w:adjustRightInd/>
              <w:snapToGrid/>
              <w:spacing w:line="400" w:lineRule="exact"/>
              <w:ind w:left="0" w:leftChars="0" w:right="0" w:firstLine="0" w:firstLine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根据评审标准对供应商技术方案进行评审，每一条不符合本项目特点和实际需求，存在缺陷或实用性不强的扣1分，扣完为止。</w:t>
            </w:r>
          </w:p>
          <w:p w14:paraId="21A6702E">
            <w:pPr>
              <w:keepNext w:val="0"/>
              <w:keepLines w:val="0"/>
              <w:pageBreakBefore w:val="0"/>
              <w:numPr>
                <w:ilvl w:val="0"/>
                <w:numId w:val="7"/>
              </w:numPr>
              <w:kinsoku/>
              <w:wordWrap/>
              <w:overflowPunct/>
              <w:topLinePunct w:val="0"/>
              <w:bidi w:val="0"/>
              <w:adjustRightInd/>
              <w:snapToGrid/>
              <w:spacing w:line="400" w:lineRule="exact"/>
              <w:ind w:left="0" w:leftChars="0" w:right="0" w:firstLine="0" w:firstLine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评审标准： </w:t>
            </w:r>
          </w:p>
          <w:p w14:paraId="77840F67">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完整性：方案须全面，对评审内容中的各项要求有详细描述； </w:t>
            </w:r>
          </w:p>
          <w:p w14:paraId="31782215">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可实施性：切合本项目实际情况，实施步骤清晰、合理； </w:t>
            </w:r>
          </w:p>
          <w:p w14:paraId="562CF7B2">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针对性：方案能够紧扣项目实际情况，内容科学合理。 </w:t>
            </w:r>
          </w:p>
        </w:tc>
      </w:tr>
      <w:tr w14:paraId="1C128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0" w:hRule="atLeast"/>
        </w:trPr>
        <w:tc>
          <w:tcPr>
            <w:tcW w:w="789" w:type="dxa"/>
            <w:vMerge w:val="continue"/>
            <w:noWrap w:val="0"/>
            <w:vAlign w:val="center"/>
          </w:tcPr>
          <w:p w14:paraId="29713FCC">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noWrap w:val="0"/>
            <w:vAlign w:val="center"/>
          </w:tcPr>
          <w:p w14:paraId="41136632">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467" w:type="dxa"/>
            <w:noWrap w:val="0"/>
            <w:vAlign w:val="center"/>
          </w:tcPr>
          <w:p w14:paraId="71125F03">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售后服务</w:t>
            </w:r>
          </w:p>
          <w:p w14:paraId="1C852B6F">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r>
              <w:rPr>
                <w:rFonts w:hint="eastAsia" w:cs="宋体"/>
                <w:color w:val="auto"/>
                <w:sz w:val="24"/>
                <w:szCs w:val="24"/>
                <w:highlight w:val="none"/>
                <w:lang w:val="en-US" w:eastAsia="zh-CN"/>
              </w:rPr>
              <w:t>）</w:t>
            </w:r>
          </w:p>
        </w:tc>
        <w:tc>
          <w:tcPr>
            <w:tcW w:w="6529" w:type="dxa"/>
            <w:noWrap w:val="0"/>
            <w:vAlign w:val="center"/>
          </w:tcPr>
          <w:p w14:paraId="2A71A802">
            <w:pPr>
              <w:keepNext w:val="0"/>
              <w:keepLines w:val="0"/>
              <w:pageBreakBefore w:val="0"/>
              <w:numPr>
                <w:ilvl w:val="0"/>
                <w:numId w:val="8"/>
              </w:numPr>
              <w:kinsoku/>
              <w:wordWrap/>
              <w:overflowPunct/>
              <w:topLinePunct w:val="0"/>
              <w:bidi w:val="0"/>
              <w:adjustRightInd/>
              <w:snapToGrid/>
              <w:spacing w:line="400" w:lineRule="exact"/>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制定在验货时出现问题的方案：包括但不限于①</w:t>
            </w:r>
            <w:r>
              <w:rPr>
                <w:rFonts w:hint="eastAsia" w:cs="宋体"/>
                <w:color w:val="auto"/>
                <w:sz w:val="24"/>
                <w:szCs w:val="24"/>
                <w:highlight w:val="none"/>
                <w:lang w:val="en-US" w:eastAsia="zh-CN"/>
              </w:rPr>
              <w:t>应急方案措施；</w:t>
            </w:r>
            <w:r>
              <w:rPr>
                <w:rFonts w:hint="eastAsia" w:ascii="宋体" w:hAnsi="宋体" w:eastAsia="宋体" w:cs="宋体"/>
                <w:color w:val="auto"/>
                <w:sz w:val="24"/>
                <w:szCs w:val="24"/>
                <w:highlight w:val="none"/>
                <w:lang w:val="en-US" w:eastAsia="zh-CN"/>
              </w:rPr>
              <w:t>②响应速度快；③退换货服务方案描述无缺漏；</w:t>
            </w:r>
            <w:r>
              <w:rPr>
                <w:rFonts w:hint="eastAsia" w:cs="宋体"/>
                <w:color w:val="auto"/>
                <w:sz w:val="24"/>
                <w:szCs w:val="24"/>
                <w:highlight w:val="none"/>
                <w:lang w:val="en-US" w:eastAsia="zh-CN"/>
              </w:rPr>
              <w:t>④</w:t>
            </w:r>
            <w:r>
              <w:rPr>
                <w:rFonts w:hint="eastAsia" w:ascii="宋体" w:hAnsi="宋体" w:eastAsia="宋体" w:cs="宋体"/>
                <w:color w:val="auto"/>
                <w:sz w:val="24"/>
                <w:szCs w:val="24"/>
                <w:highlight w:val="none"/>
                <w:lang w:val="en-US" w:eastAsia="zh-CN"/>
              </w:rPr>
              <w:t>联系人员及电话。</w:t>
            </w:r>
          </w:p>
          <w:p w14:paraId="3AD9F7AA">
            <w:pPr>
              <w:keepNext w:val="0"/>
              <w:keepLines w:val="0"/>
              <w:pageBreakBefore w:val="0"/>
              <w:numPr>
                <w:ilvl w:val="0"/>
                <w:numId w:val="8"/>
              </w:numPr>
              <w:kinsoku/>
              <w:wordWrap/>
              <w:overflowPunct/>
              <w:topLinePunct w:val="0"/>
              <w:bidi w:val="0"/>
              <w:adjustRightInd/>
              <w:snapToGrid/>
              <w:spacing w:line="400" w:lineRule="exact"/>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以上</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项内容齐全，针对性强、条理清晰、表述准确得分</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分。每缺少一项内容扣</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分，每一项存在缺陷扣0.</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分（缺陷是指在完整性、可实施性和针对性等方面存在瑕疵或实用性不强）。</w:t>
            </w:r>
          </w:p>
          <w:p w14:paraId="669B7CB1">
            <w:pPr>
              <w:keepNext w:val="0"/>
              <w:keepLines w:val="0"/>
              <w:pageBreakBefore w:val="0"/>
              <w:numPr>
                <w:ilvl w:val="0"/>
                <w:numId w:val="8"/>
              </w:numPr>
              <w:kinsoku/>
              <w:wordWrap/>
              <w:overflowPunct/>
              <w:topLinePunct w:val="0"/>
              <w:bidi w:val="0"/>
              <w:adjustRightInd/>
              <w:snapToGrid/>
              <w:spacing w:line="400" w:lineRule="exact"/>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评审标准： </w:t>
            </w:r>
          </w:p>
          <w:p w14:paraId="6E76CFC6">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完整性：方案须全面，对评审内容中的各项要求有详细描述； </w:t>
            </w:r>
          </w:p>
          <w:p w14:paraId="0653170A">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可实施性：切合本项目实际情况，实施步骤清晰、合理； </w:t>
            </w:r>
          </w:p>
          <w:p w14:paraId="7BC00334">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针对性：方案能够紧扣项目实际情况，内容科学合理。</w:t>
            </w:r>
          </w:p>
        </w:tc>
      </w:tr>
      <w:tr w14:paraId="68B58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50" w:hRule="atLeast"/>
        </w:trPr>
        <w:tc>
          <w:tcPr>
            <w:tcW w:w="789" w:type="dxa"/>
            <w:noWrap w:val="0"/>
            <w:vAlign w:val="center"/>
          </w:tcPr>
          <w:p w14:paraId="53E3F816">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w:t>
            </w:r>
          </w:p>
          <w:p w14:paraId="4FD0FE55">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743" w:type="dxa"/>
            <w:noWrap w:val="0"/>
            <w:vAlign w:val="center"/>
          </w:tcPr>
          <w:p w14:paraId="4AD001BE">
            <w:pPr>
              <w:keepNext w:val="0"/>
              <w:keepLines w:val="0"/>
              <w:pageBreakBefore w:val="0"/>
              <w:kinsoku/>
              <w:wordWrap/>
              <w:overflowPunct/>
              <w:topLinePunct w:val="0"/>
              <w:bidi w:val="0"/>
              <w:adjustRightInd/>
              <w:snapToGrid/>
              <w:spacing w:line="400" w:lineRule="exact"/>
              <w:ind w:left="0" w:right="0"/>
              <w:jc w:val="center"/>
              <w:textAlignment w:val="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5</w:t>
            </w:r>
          </w:p>
        </w:tc>
        <w:tc>
          <w:tcPr>
            <w:tcW w:w="1467" w:type="dxa"/>
            <w:noWrap w:val="0"/>
            <w:vAlign w:val="center"/>
          </w:tcPr>
          <w:p w14:paraId="0137C9DD">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业绩</w:t>
            </w:r>
          </w:p>
          <w:p w14:paraId="3D681B2F">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r>
              <w:rPr>
                <w:rFonts w:hint="eastAsia" w:cs="宋体"/>
                <w:color w:val="auto"/>
                <w:sz w:val="24"/>
                <w:szCs w:val="24"/>
                <w:highlight w:val="none"/>
                <w:lang w:val="en-US" w:eastAsia="zh-CN"/>
              </w:rPr>
              <w:t>）</w:t>
            </w:r>
          </w:p>
        </w:tc>
        <w:tc>
          <w:tcPr>
            <w:tcW w:w="6529" w:type="dxa"/>
            <w:noWrap w:val="0"/>
            <w:vAlign w:val="center"/>
          </w:tcPr>
          <w:p w14:paraId="3C3DFE66">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供应商提供自2023年7月至今，具有同类项目业绩（</w:t>
            </w:r>
            <w:r>
              <w:rPr>
                <w:rFonts w:hint="eastAsia" w:cs="宋体"/>
                <w:color w:val="auto"/>
                <w:sz w:val="24"/>
                <w:szCs w:val="24"/>
                <w:highlight w:val="none"/>
                <w:lang w:val="en-US" w:eastAsia="zh-CN"/>
              </w:rPr>
              <w:t>包括但不限于各级各类学校、党政机关、企事业单位、医疗机构等食材配送服务项目</w:t>
            </w:r>
            <w:r>
              <w:rPr>
                <w:rFonts w:hint="eastAsia" w:ascii="宋体" w:hAnsi="宋体" w:eastAsia="宋体" w:cs="宋体"/>
                <w:color w:val="auto"/>
                <w:sz w:val="24"/>
                <w:szCs w:val="24"/>
                <w:highlight w:val="none"/>
                <w:lang w:val="en-US" w:eastAsia="zh-CN"/>
              </w:rPr>
              <w:t>），以合同复印件和中标通知书为准，每提供一个得</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分，满分</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tc>
      </w:tr>
      <w:tr w14:paraId="00FA10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19" w:hRule="atLeast"/>
        </w:trPr>
        <w:tc>
          <w:tcPr>
            <w:tcW w:w="2999" w:type="dxa"/>
            <w:gridSpan w:val="3"/>
            <w:noWrap w:val="0"/>
            <w:vAlign w:val="center"/>
          </w:tcPr>
          <w:p w14:paraId="051312AB">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评标程序</w:t>
            </w:r>
          </w:p>
          <w:p w14:paraId="30CA22FB">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p>
        </w:tc>
        <w:tc>
          <w:tcPr>
            <w:tcW w:w="6529" w:type="dxa"/>
            <w:noWrap w:val="0"/>
            <w:vAlign w:val="top"/>
          </w:tcPr>
          <w:p w14:paraId="3C98827A">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1.开标后，由</w:t>
            </w:r>
            <w:r>
              <w:rPr>
                <w:rFonts w:hint="eastAsia" w:cs="宋体"/>
                <w:color w:val="auto"/>
                <w:sz w:val="24"/>
                <w:szCs w:val="24"/>
                <w:highlight w:val="none"/>
                <w:lang w:val="en-US" w:eastAsia="zh-CN"/>
              </w:rPr>
              <w:t>采购人或代理机构</w:t>
            </w:r>
            <w:r>
              <w:rPr>
                <w:rFonts w:hint="eastAsia" w:ascii="宋体" w:hAnsi="宋体" w:eastAsia="宋体" w:cs="宋体"/>
                <w:color w:val="auto"/>
                <w:sz w:val="24"/>
                <w:szCs w:val="24"/>
                <w:highlight w:val="none"/>
                <w:lang w:val="en-US" w:eastAsia="zh-CN"/>
              </w:rPr>
              <w:t xml:space="preserve">对投标单位进行资格性评审，资格性评审合格的响应文件进行符合性评审。不合格的单位，不再对其进行后续评审与分值评定。 </w:t>
            </w:r>
          </w:p>
          <w:p w14:paraId="0257FEC5">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2.如经过对所有供应商的响应文件进行评审，有效投标不足三个使得投标明显缺乏竞</w:t>
            </w:r>
            <w:r>
              <w:rPr>
                <w:rFonts w:hint="eastAsia" w:cs="宋体"/>
                <w:color w:val="auto"/>
                <w:sz w:val="24"/>
                <w:szCs w:val="24"/>
                <w:highlight w:val="none"/>
                <w:lang w:val="en-US" w:eastAsia="zh-CN"/>
              </w:rPr>
              <w:t>争性</w:t>
            </w:r>
            <w:r>
              <w:rPr>
                <w:rFonts w:hint="eastAsia" w:ascii="宋体" w:hAnsi="宋体" w:eastAsia="宋体" w:cs="宋体"/>
                <w:color w:val="auto"/>
                <w:sz w:val="24"/>
                <w:szCs w:val="24"/>
                <w:highlight w:val="none"/>
                <w:lang w:val="en-US" w:eastAsia="zh-CN"/>
              </w:rPr>
              <w:t>的，</w:t>
            </w:r>
            <w:r>
              <w:rPr>
                <w:rFonts w:hint="eastAsia" w:cs="宋体"/>
                <w:color w:val="auto"/>
                <w:sz w:val="24"/>
                <w:szCs w:val="24"/>
                <w:highlight w:val="none"/>
                <w:lang w:val="en-US" w:eastAsia="zh-CN"/>
              </w:rPr>
              <w:t>评标委员会</w:t>
            </w:r>
            <w:r>
              <w:rPr>
                <w:rFonts w:hint="eastAsia" w:ascii="宋体" w:hAnsi="宋体" w:eastAsia="宋体" w:cs="宋体"/>
                <w:color w:val="auto"/>
                <w:sz w:val="24"/>
                <w:szCs w:val="24"/>
                <w:highlight w:val="none"/>
                <w:lang w:val="en-US" w:eastAsia="zh-CN"/>
              </w:rPr>
              <w:t xml:space="preserve">可以否决全部投标。 </w:t>
            </w:r>
          </w:p>
          <w:p w14:paraId="43237443">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cs="宋体"/>
                <w:color w:val="auto"/>
                <w:sz w:val="24"/>
                <w:szCs w:val="24"/>
                <w:highlight w:val="none"/>
                <w:lang w:val="en-US" w:eastAsia="zh-CN"/>
              </w:rPr>
              <w:t>评标委员会</w:t>
            </w:r>
            <w:r>
              <w:rPr>
                <w:rFonts w:hint="eastAsia" w:ascii="宋体" w:hAnsi="宋体" w:eastAsia="宋体" w:cs="宋体"/>
                <w:color w:val="auto"/>
                <w:sz w:val="24"/>
                <w:szCs w:val="24"/>
                <w:highlight w:val="none"/>
                <w:lang w:val="en-US" w:eastAsia="zh-CN"/>
              </w:rPr>
              <w:t>应当根据综合评分情况，按照评审得分由高到低顺序推荐 3 名以上成交候选供应商，并编写评审报告报采购人。评审得分相同的，按照最后报价由低到高的顺序推荐。评审得分且最后报价相同的，按照</w:t>
            </w:r>
            <w:r>
              <w:rPr>
                <w:rFonts w:hint="eastAsia" w:cs="宋体"/>
                <w:color w:val="auto"/>
                <w:sz w:val="24"/>
                <w:szCs w:val="24"/>
                <w:highlight w:val="none"/>
                <w:lang w:val="en-US" w:eastAsia="zh-CN"/>
              </w:rPr>
              <w:t>投标</w:t>
            </w:r>
            <w:r>
              <w:rPr>
                <w:rFonts w:hint="eastAsia" w:ascii="宋体" w:hAnsi="宋体" w:eastAsia="宋体" w:cs="宋体"/>
                <w:color w:val="auto"/>
                <w:sz w:val="24"/>
                <w:szCs w:val="24"/>
                <w:highlight w:val="none"/>
                <w:lang w:val="en-US" w:eastAsia="zh-CN"/>
              </w:rPr>
              <w:t>方案优劣顺序推荐。</w:t>
            </w:r>
          </w:p>
        </w:tc>
      </w:tr>
    </w:tbl>
    <w:p w14:paraId="61D41017">
      <w:pPr>
        <w:rPr>
          <w:rFonts w:hint="eastAsia"/>
          <w:lang w:val="en-US" w:eastAsia="zh-CN"/>
        </w:rPr>
      </w:pPr>
    </w:p>
    <w:p w14:paraId="11AEDCE3">
      <w:pPr>
        <w:pStyle w:val="11"/>
        <w:rPr>
          <w:rFonts w:hint="eastAsia"/>
          <w:lang w:val="en-US" w:eastAsia="zh-CN"/>
        </w:rPr>
      </w:pPr>
    </w:p>
    <w:p w14:paraId="30AA654A">
      <w:pPr>
        <w:pStyle w:val="11"/>
        <w:rPr>
          <w:rFonts w:hint="eastAsia"/>
          <w:lang w:val="en-US" w:eastAsia="zh-CN"/>
        </w:rPr>
      </w:pPr>
    </w:p>
    <w:p w14:paraId="4B198BBD">
      <w:pPr>
        <w:pStyle w:val="11"/>
        <w:rPr>
          <w:rFonts w:hint="eastAsia"/>
          <w:lang w:val="en-US" w:eastAsia="zh-CN"/>
        </w:rPr>
      </w:pPr>
    </w:p>
    <w:p w14:paraId="6E69DE0E">
      <w:pPr>
        <w:pStyle w:val="11"/>
        <w:rPr>
          <w:rFonts w:hint="eastAsia"/>
          <w:lang w:val="en-US" w:eastAsia="zh-CN"/>
        </w:rPr>
      </w:pPr>
    </w:p>
    <w:p w14:paraId="6479707A">
      <w:pPr>
        <w:pStyle w:val="7"/>
        <w:keepNext w:val="0"/>
        <w:keepLines w:val="0"/>
        <w:pageBreakBefore w:val="0"/>
        <w:kinsoku/>
        <w:wordWrap/>
        <w:overflowPunct/>
        <w:topLinePunct w:val="0"/>
        <w:bidi w:val="0"/>
        <w:adjustRightInd/>
        <w:snapToGrid/>
        <w:spacing w:line="400" w:lineRule="exact"/>
        <w:ind w:left="0" w:leftChars="0" w:right="0" w:rightChars="0" w:firstLine="0" w:firstLineChars="0"/>
        <w:textAlignment w:val="auto"/>
        <w:rPr>
          <w:rFonts w:hint="eastAsia"/>
          <w:color w:val="auto"/>
          <w:lang w:val="en-US" w:eastAsia="zh-CN"/>
        </w:rPr>
      </w:pPr>
    </w:p>
    <w:p w14:paraId="23A913E2">
      <w:pPr>
        <w:rPr>
          <w:rFonts w:hint="eastAsia"/>
          <w:color w:val="auto"/>
          <w:lang w:val="en-US" w:eastAsia="zh-CN"/>
        </w:rPr>
      </w:pPr>
    </w:p>
    <w:p w14:paraId="7DE79939">
      <w:pPr>
        <w:pStyle w:val="11"/>
        <w:rPr>
          <w:rFonts w:hint="eastAsia"/>
          <w:color w:val="auto"/>
          <w:lang w:val="en-US" w:eastAsia="zh-CN"/>
        </w:rPr>
      </w:pPr>
    </w:p>
    <w:p w14:paraId="528CCB39">
      <w:pPr>
        <w:pStyle w:val="11"/>
        <w:rPr>
          <w:rFonts w:hint="eastAsia"/>
          <w:color w:val="auto"/>
          <w:lang w:val="en-US" w:eastAsia="zh-CN"/>
        </w:rPr>
      </w:pPr>
    </w:p>
    <w:p w14:paraId="5E762EF8">
      <w:pPr>
        <w:pStyle w:val="11"/>
        <w:rPr>
          <w:rFonts w:hint="eastAsia"/>
          <w:color w:val="auto"/>
          <w:lang w:val="en-US" w:eastAsia="zh-CN"/>
        </w:rPr>
      </w:pPr>
    </w:p>
    <w:p w14:paraId="789135C5">
      <w:pPr>
        <w:pStyle w:val="11"/>
        <w:rPr>
          <w:rFonts w:hint="eastAsia"/>
          <w:color w:val="auto"/>
          <w:lang w:val="en-US" w:eastAsia="zh-CN"/>
        </w:rPr>
      </w:pPr>
    </w:p>
    <w:p w14:paraId="35FA3266">
      <w:pPr>
        <w:pStyle w:val="11"/>
        <w:rPr>
          <w:rFonts w:hint="eastAsia"/>
          <w:color w:val="auto"/>
          <w:lang w:val="en-US" w:eastAsia="zh-CN"/>
        </w:rPr>
      </w:pPr>
    </w:p>
    <w:p w14:paraId="6F369E70">
      <w:pPr>
        <w:pStyle w:val="11"/>
        <w:rPr>
          <w:rFonts w:hint="eastAsia"/>
          <w:color w:val="auto"/>
          <w:lang w:val="en-US" w:eastAsia="zh-CN"/>
        </w:rPr>
      </w:pPr>
    </w:p>
    <w:p w14:paraId="2DE55D83">
      <w:pPr>
        <w:pStyle w:val="11"/>
        <w:rPr>
          <w:rFonts w:hint="eastAsia"/>
          <w:color w:val="auto"/>
          <w:lang w:val="en-US" w:eastAsia="zh-CN"/>
        </w:rPr>
      </w:pPr>
    </w:p>
    <w:p w14:paraId="5BEECE8E">
      <w:pPr>
        <w:pStyle w:val="11"/>
        <w:rPr>
          <w:rFonts w:hint="eastAsia"/>
          <w:color w:val="auto"/>
          <w:lang w:val="en-US" w:eastAsia="zh-CN"/>
        </w:rPr>
      </w:pPr>
    </w:p>
    <w:p w14:paraId="2F39D4D9">
      <w:pPr>
        <w:pStyle w:val="11"/>
        <w:rPr>
          <w:rFonts w:hint="eastAsia"/>
          <w:color w:val="auto"/>
          <w:lang w:val="en-US" w:eastAsia="zh-CN"/>
        </w:rPr>
      </w:pPr>
    </w:p>
    <w:p w14:paraId="359DFB37">
      <w:pPr>
        <w:pStyle w:val="11"/>
        <w:rPr>
          <w:rFonts w:hint="eastAsia"/>
          <w:color w:val="auto"/>
          <w:lang w:val="en-US" w:eastAsia="zh-CN"/>
        </w:rPr>
      </w:pPr>
    </w:p>
    <w:p w14:paraId="707A4483">
      <w:pPr>
        <w:pStyle w:val="11"/>
        <w:rPr>
          <w:rFonts w:hint="eastAsia"/>
          <w:color w:val="auto"/>
          <w:lang w:val="en-US" w:eastAsia="zh-CN"/>
        </w:rPr>
      </w:pPr>
    </w:p>
    <w:p w14:paraId="61607E3F">
      <w:pPr>
        <w:pStyle w:val="11"/>
        <w:rPr>
          <w:rFonts w:hint="eastAsia"/>
          <w:lang w:val="en-US" w:eastAsia="zh-CN"/>
        </w:rPr>
      </w:pPr>
    </w:p>
    <w:p w14:paraId="7CCF5223">
      <w:pPr>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br w:type="page"/>
      </w:r>
    </w:p>
    <w:p w14:paraId="5BE9B50F">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b/>
          <w:bCs/>
          <w:color w:val="auto"/>
          <w:sz w:val="24"/>
          <w:szCs w:val="24"/>
          <w:highlight w:val="none"/>
          <w:lang w:val="en-US" w:eastAsia="zh-CN" w:bidi="zh-CN"/>
        </w:rPr>
      </w:pPr>
      <w:r>
        <w:rPr>
          <w:rFonts w:hint="eastAsia" w:cs="宋体"/>
          <w:b/>
          <w:bCs/>
          <w:color w:val="auto"/>
          <w:sz w:val="24"/>
          <w:szCs w:val="24"/>
          <w:highlight w:val="none"/>
          <w:lang w:val="en-US" w:eastAsia="zh-CN" w:bidi="zh-CN"/>
        </w:rPr>
        <w:t>合同包三</w:t>
      </w:r>
      <w:r>
        <w:rPr>
          <w:rFonts w:hint="eastAsia" w:ascii="宋体" w:hAnsi="宋体" w:eastAsia="宋体" w:cs="宋体"/>
          <w:b/>
          <w:bCs/>
          <w:color w:val="auto"/>
          <w:sz w:val="24"/>
          <w:szCs w:val="24"/>
          <w:highlight w:val="none"/>
          <w:lang w:val="en-US" w:eastAsia="zh-CN" w:bidi="zh-CN"/>
        </w:rPr>
        <w:t>：</w:t>
      </w:r>
      <w:r>
        <w:rPr>
          <w:rFonts w:hint="eastAsia" w:cs="宋体"/>
          <w:b/>
          <w:bCs/>
          <w:color w:val="auto"/>
          <w:sz w:val="24"/>
          <w:szCs w:val="24"/>
          <w:highlight w:val="none"/>
          <w:lang w:val="en-US" w:eastAsia="zh-CN" w:bidi="zh-CN"/>
        </w:rPr>
        <w:t>B片区肉蛋禽采购</w:t>
      </w:r>
    </w:p>
    <w:tbl>
      <w:tblPr>
        <w:tblStyle w:val="23"/>
        <w:tblW w:w="9528"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
        <w:gridCol w:w="743"/>
        <w:gridCol w:w="1467"/>
        <w:gridCol w:w="6529"/>
      </w:tblGrid>
      <w:tr w14:paraId="04DFF7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55" w:hRule="atLeast"/>
        </w:trPr>
        <w:tc>
          <w:tcPr>
            <w:tcW w:w="789" w:type="dxa"/>
            <w:noWrap w:val="0"/>
            <w:vAlign w:val="center"/>
          </w:tcPr>
          <w:p w14:paraId="5BD45F85">
            <w:pPr>
              <w:pStyle w:val="49"/>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类别</w:t>
            </w:r>
          </w:p>
        </w:tc>
        <w:tc>
          <w:tcPr>
            <w:tcW w:w="743" w:type="dxa"/>
            <w:noWrap w:val="0"/>
            <w:vAlign w:val="center"/>
          </w:tcPr>
          <w:p w14:paraId="04B88451">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1467" w:type="dxa"/>
            <w:noWrap w:val="0"/>
            <w:vAlign w:val="center"/>
          </w:tcPr>
          <w:p w14:paraId="0453F020">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评审要素及分值</w:t>
            </w:r>
          </w:p>
        </w:tc>
        <w:tc>
          <w:tcPr>
            <w:tcW w:w="6529" w:type="dxa"/>
            <w:noWrap w:val="0"/>
            <w:vAlign w:val="center"/>
          </w:tcPr>
          <w:p w14:paraId="41B1E7BD">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赋分标准</w:t>
            </w:r>
          </w:p>
        </w:tc>
      </w:tr>
      <w:tr w14:paraId="7A9E6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54" w:hRule="atLeast"/>
        </w:trPr>
        <w:tc>
          <w:tcPr>
            <w:tcW w:w="789" w:type="dxa"/>
            <w:noWrap w:val="0"/>
            <w:vAlign w:val="center"/>
          </w:tcPr>
          <w:p w14:paraId="3B93594B">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w:t>
            </w:r>
          </w:p>
          <w:p w14:paraId="7B7D6E32">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30分</w:t>
            </w:r>
          </w:p>
        </w:tc>
        <w:tc>
          <w:tcPr>
            <w:tcW w:w="743" w:type="dxa"/>
            <w:noWrap w:val="0"/>
            <w:vAlign w:val="center"/>
          </w:tcPr>
          <w:p w14:paraId="66ABF25B">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467" w:type="dxa"/>
            <w:noWrap w:val="0"/>
            <w:vAlign w:val="center"/>
          </w:tcPr>
          <w:p w14:paraId="247D0565">
            <w:pPr>
              <w:keepNext w:val="0"/>
              <w:keepLines w:val="0"/>
              <w:pageBreakBefore w:val="0"/>
              <w:widowControl/>
              <w:kinsoku/>
              <w:wordWrap/>
              <w:overflowPunct/>
              <w:topLinePunct w:val="0"/>
              <w:bidi w:val="0"/>
              <w:adjustRightInd/>
              <w:snapToGrid/>
              <w:spacing w:line="400" w:lineRule="exact"/>
              <w:ind w:left="0" w:right="0" w:hanging="2"/>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价格</w:t>
            </w:r>
          </w:p>
          <w:p w14:paraId="23D00616">
            <w:pPr>
              <w:keepNext w:val="0"/>
              <w:keepLines w:val="0"/>
              <w:pageBreakBefore w:val="0"/>
              <w:widowControl/>
              <w:kinsoku/>
              <w:wordWrap/>
              <w:overflowPunct/>
              <w:topLinePunct w:val="0"/>
              <w:bidi w:val="0"/>
              <w:adjustRightInd/>
              <w:snapToGrid/>
              <w:spacing w:line="400" w:lineRule="exact"/>
              <w:ind w:left="0" w:right="0" w:hanging="2"/>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30分</w:t>
            </w:r>
            <w:r>
              <w:rPr>
                <w:rFonts w:hint="eastAsia" w:cs="宋体"/>
                <w:color w:val="auto"/>
                <w:sz w:val="24"/>
                <w:szCs w:val="24"/>
                <w:highlight w:val="none"/>
                <w:lang w:val="en-US" w:eastAsia="zh-CN"/>
              </w:rPr>
              <w:t>）</w:t>
            </w:r>
          </w:p>
        </w:tc>
        <w:tc>
          <w:tcPr>
            <w:tcW w:w="6529" w:type="dxa"/>
            <w:noWrap w:val="0"/>
            <w:vAlign w:val="center"/>
          </w:tcPr>
          <w:p w14:paraId="31CB387A">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以满足招标文件要求且投标报价最低的为评标基准价，其价格分为满分 30 分，其他供应商的价格分按照下列公式计算：投标报价得分=（评标基准价/投标报价）×30。</w:t>
            </w:r>
            <w:r>
              <w:rPr>
                <w:rFonts w:hint="eastAsia" w:cs="宋体"/>
                <w:color w:val="auto"/>
                <w:sz w:val="24"/>
                <w:szCs w:val="24"/>
                <w:highlight w:val="none"/>
                <w:lang w:val="en-US" w:eastAsia="zh-CN"/>
              </w:rPr>
              <w:t>（</w:t>
            </w:r>
            <w:r>
              <w:rPr>
                <w:rFonts w:hint="eastAsia"/>
                <w:b/>
                <w:bCs/>
                <w:color w:val="auto"/>
                <w:sz w:val="24"/>
                <w:szCs w:val="24"/>
                <w:lang w:val="en-US" w:eastAsia="zh-CN"/>
              </w:rPr>
              <w:t>符合招标文件规定的小微企业、监狱企业或残疾人福利性单位优惠条件的供应商，价格给予10%的扣除（不重复优惠，最高为10%），用扣除后的价格参与评审。</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 xml:space="preserve"> </w:t>
            </w:r>
          </w:p>
        </w:tc>
      </w:tr>
      <w:tr w14:paraId="3FC32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89" w:type="dxa"/>
            <w:vMerge w:val="restart"/>
            <w:noWrap w:val="0"/>
            <w:vAlign w:val="center"/>
          </w:tcPr>
          <w:p w14:paraId="6E0099C0">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w:t>
            </w:r>
          </w:p>
          <w:p w14:paraId="55D4A7A2">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64</w:t>
            </w:r>
            <w:r>
              <w:rPr>
                <w:rFonts w:hint="eastAsia" w:ascii="宋体" w:hAnsi="宋体" w:eastAsia="宋体" w:cs="宋体"/>
                <w:color w:val="auto"/>
                <w:sz w:val="24"/>
                <w:szCs w:val="24"/>
                <w:highlight w:val="none"/>
              </w:rPr>
              <w:t>分</w:t>
            </w:r>
          </w:p>
        </w:tc>
        <w:tc>
          <w:tcPr>
            <w:tcW w:w="743" w:type="dxa"/>
            <w:vMerge w:val="restart"/>
            <w:noWrap w:val="0"/>
            <w:vAlign w:val="center"/>
          </w:tcPr>
          <w:p w14:paraId="7D568BD5">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467" w:type="dxa"/>
            <w:vMerge w:val="restart"/>
            <w:noWrap w:val="0"/>
            <w:vAlign w:val="center"/>
          </w:tcPr>
          <w:p w14:paraId="25EE6462">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技术方案</w:t>
            </w:r>
          </w:p>
          <w:p w14:paraId="116D49E8">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w:t>
            </w:r>
            <w:r>
              <w:rPr>
                <w:rFonts w:hint="eastAsia" w:cs="宋体"/>
                <w:bCs/>
                <w:color w:val="auto"/>
                <w:sz w:val="24"/>
                <w:szCs w:val="24"/>
                <w:highlight w:val="none"/>
                <w:lang w:val="en-US" w:eastAsia="zh-CN"/>
              </w:rPr>
              <w:t>50</w:t>
            </w:r>
            <w:r>
              <w:rPr>
                <w:rFonts w:hint="eastAsia" w:ascii="宋体" w:hAnsi="宋体" w:eastAsia="宋体" w:cs="宋体"/>
                <w:bCs/>
                <w:color w:val="auto"/>
                <w:sz w:val="24"/>
                <w:szCs w:val="24"/>
                <w:highlight w:val="none"/>
              </w:rPr>
              <w:t>分）</w:t>
            </w:r>
          </w:p>
        </w:tc>
        <w:tc>
          <w:tcPr>
            <w:tcW w:w="6529" w:type="dxa"/>
            <w:noWrap w:val="0"/>
            <w:vAlign w:val="center"/>
          </w:tcPr>
          <w:p w14:paraId="60F09346">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cs="宋体"/>
                <w:b/>
                <w:bCs/>
                <w:color w:val="auto"/>
                <w:sz w:val="24"/>
                <w:szCs w:val="24"/>
                <w:highlight w:val="none"/>
                <w:lang w:val="en-US" w:eastAsia="zh-CN"/>
              </w:rPr>
            </w:pPr>
            <w:r>
              <w:rPr>
                <w:rFonts w:hint="eastAsia" w:cs="宋体"/>
                <w:b/>
                <w:bCs/>
                <w:color w:val="auto"/>
                <w:sz w:val="24"/>
                <w:szCs w:val="24"/>
                <w:highlight w:val="none"/>
                <w:lang w:val="en-US" w:eastAsia="zh-CN"/>
              </w:rPr>
              <w:t>产品渠道（5分）：</w:t>
            </w:r>
          </w:p>
          <w:p w14:paraId="50A6D0E4">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1.产品来源渠道合法且相关证明材料（包括但不限于销售协议、代理协议、原厂授权等）符合要求的得3分，提供但不完整的得2分，未提供或存在明显问题的得0分。</w:t>
            </w:r>
          </w:p>
          <w:p w14:paraId="302711DD">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2.核心产品生产厂家连带质量责任承担承诺，符合规范的得 2分，承诺不规范的得1分，无有效承诺的得0分。</w:t>
            </w:r>
          </w:p>
          <w:p w14:paraId="4662F7C4">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技术指标（1</w:t>
            </w:r>
            <w:r>
              <w:rPr>
                <w:rFonts w:hint="eastAsia"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color w:val="auto"/>
                <w:sz w:val="24"/>
                <w:szCs w:val="24"/>
                <w:highlight w:val="none"/>
                <w:lang w:val="en-US" w:eastAsia="zh-CN"/>
              </w:rPr>
              <w:t>提供所投产品执行</w:t>
            </w:r>
            <w:r>
              <w:rPr>
                <w:rFonts w:hint="eastAsia" w:cs="宋体"/>
                <w:color w:val="auto"/>
                <w:sz w:val="24"/>
                <w:szCs w:val="24"/>
                <w:highlight w:val="none"/>
                <w:lang w:val="en-US" w:eastAsia="zh-CN"/>
              </w:rPr>
              <w:t>国家</w:t>
            </w:r>
            <w:r>
              <w:rPr>
                <w:rFonts w:hint="eastAsia" w:ascii="宋体" w:hAnsi="宋体" w:eastAsia="宋体" w:cs="宋体"/>
                <w:color w:val="auto"/>
                <w:sz w:val="24"/>
                <w:szCs w:val="24"/>
                <w:highlight w:val="none"/>
                <w:lang w:val="en-US" w:eastAsia="zh-CN"/>
              </w:rPr>
              <w:t>标准所检测的本年度产品技术参数及质检报告，参数清晰明确，技术指标和规格完全满足招标文件要求，检测报告等印证资料齐全。</w:t>
            </w:r>
          </w:p>
          <w:p w14:paraId="37B3B315">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1.产品完全满足要求、质量优良，印证资料完善、符合标准规范、能充分佐证产品质量的，得1</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045BB0AF">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2.产品满足要求、质量优良，印证资料较为完善、符合标准规范、能佐证产品质量的，得</w:t>
            </w:r>
            <w:r>
              <w:rPr>
                <w:rFonts w:hint="eastAsia"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w:t>
            </w:r>
          </w:p>
          <w:p w14:paraId="2219B97E">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3.产品基本满足要求、质量合格，印证资料较为完善、基本符合标准规范、能佐证产品质量的，得</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0F162D62">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4.产品不能满足要求，印证资料不完善、不符合标准规范、难以佐证产品质量的，得0分。</w:t>
            </w:r>
          </w:p>
          <w:p w14:paraId="3992E488">
            <w:pPr>
              <w:keepNext w:val="0"/>
              <w:keepLines w:val="0"/>
              <w:pageBreakBefore w:val="0"/>
              <w:widowControl/>
              <w:kinsoku/>
              <w:wordWrap/>
              <w:overflowPunct/>
              <w:topLinePunct w:val="0"/>
              <w:bidi w:val="0"/>
              <w:adjustRightInd/>
              <w:snapToGrid/>
              <w:spacing w:line="400" w:lineRule="exact"/>
              <w:ind w:left="0" w:right="0" w:hanging="2"/>
              <w:jc w:val="left"/>
              <w:textAlignment w:val="auto"/>
              <w:rPr>
                <w:rFonts w:hint="eastAsia" w:ascii="宋体" w:hAnsi="宋体" w:eastAsia="宋体" w:cs="宋体"/>
                <w:b/>
                <w:bCs/>
                <w:color w:val="auto"/>
                <w:sz w:val="24"/>
                <w:szCs w:val="24"/>
                <w:highlight w:val="none"/>
                <w:lang w:val="en-US"/>
              </w:rPr>
            </w:pPr>
            <w:r>
              <w:rPr>
                <w:rFonts w:hint="eastAsia" w:cs="宋体"/>
                <w:b/>
                <w:bCs/>
                <w:color w:val="auto"/>
                <w:sz w:val="24"/>
                <w:szCs w:val="24"/>
                <w:highlight w:val="none"/>
                <w:lang w:val="en-US" w:eastAsia="zh-CN"/>
              </w:rPr>
              <w:t>（所有材料需提供原件的扫描件）</w:t>
            </w:r>
          </w:p>
        </w:tc>
      </w:tr>
      <w:tr w14:paraId="20F963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589" w:hRule="atLeast"/>
        </w:trPr>
        <w:tc>
          <w:tcPr>
            <w:tcW w:w="789" w:type="dxa"/>
            <w:vMerge w:val="continue"/>
            <w:noWrap w:val="0"/>
            <w:vAlign w:val="center"/>
          </w:tcPr>
          <w:p w14:paraId="799543FE">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vMerge w:val="continue"/>
            <w:noWrap w:val="0"/>
            <w:vAlign w:val="center"/>
          </w:tcPr>
          <w:p w14:paraId="69ABE908">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p>
        </w:tc>
        <w:tc>
          <w:tcPr>
            <w:tcW w:w="1467" w:type="dxa"/>
            <w:vMerge w:val="continue"/>
            <w:noWrap w:val="0"/>
            <w:vAlign w:val="center"/>
          </w:tcPr>
          <w:p w14:paraId="61B3A078">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p>
        </w:tc>
        <w:tc>
          <w:tcPr>
            <w:tcW w:w="6529" w:type="dxa"/>
            <w:noWrap w:val="0"/>
            <w:vAlign w:val="center"/>
          </w:tcPr>
          <w:p w14:paraId="76EE39D8">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总体方案（</w:t>
            </w:r>
            <w:r>
              <w:rPr>
                <w:rFonts w:hint="eastAsia"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color w:val="auto"/>
                <w:sz w:val="24"/>
                <w:szCs w:val="24"/>
                <w:highlight w:val="none"/>
                <w:lang w:val="en-US" w:eastAsia="zh-CN"/>
              </w:rPr>
              <w:t>：</w:t>
            </w:r>
          </w:p>
          <w:p w14:paraId="6462DB48">
            <w:pPr>
              <w:rPr>
                <w:rFonts w:hint="eastAsia" w:ascii="宋体" w:hAnsi="宋体" w:eastAsia="宋体" w:cs="宋体"/>
                <w:sz w:val="24"/>
                <w:szCs w:val="24"/>
              </w:rPr>
            </w:pPr>
            <w:r>
              <w:rPr>
                <w:rFonts w:hint="eastAsia" w:ascii="宋体" w:hAnsi="宋体" w:eastAsia="宋体" w:cs="宋体"/>
                <w:sz w:val="24"/>
                <w:szCs w:val="24"/>
              </w:rPr>
              <w:t>根据项目需求编制</w:t>
            </w:r>
            <w:r>
              <w:rPr>
                <w:rFonts w:hint="eastAsia" w:ascii="宋体" w:hAnsi="宋体" w:eastAsia="宋体" w:cs="宋体"/>
                <w:sz w:val="24"/>
                <w:szCs w:val="24"/>
                <w:lang w:eastAsia="zh-CN"/>
              </w:rPr>
              <w:t>实施</w:t>
            </w:r>
            <w:r>
              <w:rPr>
                <w:rFonts w:hint="eastAsia" w:ascii="宋体" w:hAnsi="宋体" w:eastAsia="宋体" w:cs="宋体"/>
                <w:sz w:val="24"/>
                <w:szCs w:val="24"/>
              </w:rPr>
              <w:t>方案</w:t>
            </w:r>
            <w:r>
              <w:rPr>
                <w:rFonts w:hint="eastAsia" w:ascii="宋体" w:hAnsi="宋体" w:cs="宋体"/>
                <w:sz w:val="24"/>
                <w:szCs w:val="24"/>
                <w:lang w:eastAsia="zh-CN"/>
              </w:rPr>
              <w:t>：</w:t>
            </w:r>
            <w:r>
              <w:rPr>
                <w:rFonts w:hint="eastAsia" w:ascii="宋体" w:hAnsi="宋体" w:cs="宋体"/>
                <w:sz w:val="24"/>
                <w:szCs w:val="24"/>
                <w:lang w:val="en-US" w:eastAsia="zh-CN"/>
              </w:rPr>
              <w:t>方案至少包括</w:t>
            </w:r>
            <w:r>
              <w:rPr>
                <w:rFonts w:hint="eastAsia" w:ascii="宋体" w:hAnsi="宋体" w:eastAsia="宋体" w:cs="宋体"/>
                <w:sz w:val="24"/>
                <w:szCs w:val="24"/>
              </w:rPr>
              <w:t>①供货保障</w:t>
            </w:r>
            <w:r>
              <w:rPr>
                <w:rFonts w:hint="eastAsia" w:ascii="宋体" w:hAnsi="宋体" w:cs="宋体"/>
                <w:sz w:val="24"/>
                <w:szCs w:val="24"/>
                <w:lang w:eastAsia="zh-CN"/>
              </w:rPr>
              <w:t>；</w:t>
            </w:r>
            <w:r>
              <w:rPr>
                <w:rFonts w:hint="eastAsia" w:ascii="宋体" w:hAnsi="宋体" w:eastAsia="宋体" w:cs="宋体"/>
                <w:sz w:val="24"/>
                <w:szCs w:val="24"/>
              </w:rPr>
              <w:t>②管理制度</w:t>
            </w:r>
            <w:r>
              <w:rPr>
                <w:rFonts w:hint="eastAsia" w:ascii="宋体" w:hAnsi="宋体" w:cs="宋体"/>
                <w:sz w:val="24"/>
                <w:szCs w:val="24"/>
                <w:lang w:eastAsia="zh-CN"/>
              </w:rPr>
              <w:t>；</w:t>
            </w:r>
            <w:r>
              <w:rPr>
                <w:rFonts w:hint="eastAsia" w:ascii="宋体" w:hAnsi="宋体" w:eastAsia="宋体" w:cs="宋体"/>
                <w:sz w:val="24"/>
                <w:szCs w:val="24"/>
              </w:rPr>
              <w:t>③运行模式</w:t>
            </w:r>
            <w:r>
              <w:rPr>
                <w:rFonts w:hint="eastAsia" w:ascii="宋体" w:hAnsi="宋体" w:cs="宋体"/>
                <w:sz w:val="24"/>
                <w:szCs w:val="24"/>
                <w:lang w:eastAsia="zh-CN"/>
              </w:rPr>
              <w:t>。</w:t>
            </w:r>
            <w:r>
              <w:rPr>
                <w:rFonts w:hint="eastAsia" w:ascii="宋体" w:hAnsi="宋体" w:eastAsia="宋体" w:cs="宋体"/>
                <w:sz w:val="24"/>
                <w:szCs w:val="24"/>
                <w:lang w:eastAsia="zh-CN"/>
              </w:rPr>
              <w:t>以上</w:t>
            </w:r>
            <w:r>
              <w:rPr>
                <w:rFonts w:hint="eastAsia" w:ascii="宋体" w:hAnsi="宋体" w:eastAsia="宋体" w:cs="宋体"/>
                <w:sz w:val="24"/>
                <w:szCs w:val="24"/>
                <w:lang w:val="en-US" w:eastAsia="zh-CN"/>
              </w:rPr>
              <w:t>3项内容齐全，针对性强、条理清晰、表述准确得分</w:t>
            </w:r>
            <w:r>
              <w:rPr>
                <w:rFonts w:hint="eastAsia" w:cs="宋体"/>
                <w:sz w:val="24"/>
                <w:szCs w:val="24"/>
                <w:lang w:val="en-US" w:eastAsia="zh-CN"/>
              </w:rPr>
              <w:t>6</w:t>
            </w:r>
            <w:r>
              <w:rPr>
                <w:rFonts w:hint="eastAsia" w:ascii="宋体" w:hAnsi="宋体" w:eastAsia="宋体" w:cs="宋体"/>
                <w:sz w:val="24"/>
                <w:szCs w:val="24"/>
                <w:lang w:val="en-US" w:eastAsia="zh-CN"/>
              </w:rPr>
              <w:t>分。每缺少一项内容扣</w:t>
            </w:r>
            <w:r>
              <w:rPr>
                <w:rFonts w:hint="eastAsia" w:cs="宋体"/>
                <w:sz w:val="24"/>
                <w:szCs w:val="24"/>
                <w:lang w:val="en-US" w:eastAsia="zh-CN"/>
              </w:rPr>
              <w:t>2</w:t>
            </w:r>
            <w:r>
              <w:rPr>
                <w:rFonts w:hint="eastAsia" w:ascii="宋体" w:hAnsi="宋体" w:eastAsia="宋体" w:cs="宋体"/>
                <w:sz w:val="24"/>
                <w:szCs w:val="24"/>
                <w:lang w:val="en-US" w:eastAsia="zh-CN"/>
              </w:rPr>
              <w:t>分（缺陷是指在完整性、可实施性和针对性等方面存在瑕疵或实用性不强）</w:t>
            </w:r>
            <w:r>
              <w:rPr>
                <w:rFonts w:hint="eastAsia" w:ascii="宋体" w:hAnsi="宋体" w:eastAsia="宋体" w:cs="宋体"/>
                <w:sz w:val="24"/>
                <w:szCs w:val="24"/>
              </w:rPr>
              <w:t>。</w:t>
            </w:r>
          </w:p>
          <w:p w14:paraId="18B431B2">
            <w:pPr>
              <w:rPr>
                <w:rFonts w:hint="eastAsia" w:ascii="宋体" w:hAnsi="宋体" w:eastAsia="宋体" w:cs="宋体"/>
                <w:sz w:val="24"/>
                <w:szCs w:val="24"/>
              </w:rPr>
            </w:pPr>
            <w:r>
              <w:rPr>
                <w:rFonts w:hint="eastAsia" w:ascii="宋体" w:hAnsi="宋体" w:eastAsia="宋体" w:cs="宋体"/>
                <w:sz w:val="24"/>
                <w:szCs w:val="24"/>
              </w:rPr>
              <w:t>根据评审标准对供应商技术方案进行评审，每一条不符合本项目特点和实际需求，存在缺陷或实用性不强的扣1分，扣完为止。</w:t>
            </w:r>
          </w:p>
          <w:p w14:paraId="1BA33BF4">
            <w:pPr>
              <w:rPr>
                <w:rFonts w:hint="eastAsia" w:ascii="宋体" w:hAnsi="宋体" w:eastAsia="宋体" w:cs="宋体"/>
                <w:sz w:val="24"/>
                <w:szCs w:val="24"/>
              </w:rPr>
            </w:pPr>
            <w:r>
              <w:rPr>
                <w:rFonts w:hint="eastAsia" w:ascii="宋体" w:hAnsi="宋体" w:eastAsia="宋体" w:cs="宋体"/>
                <w:sz w:val="24"/>
                <w:szCs w:val="24"/>
              </w:rPr>
              <w:t xml:space="preserve">评审标准： </w:t>
            </w:r>
          </w:p>
          <w:p w14:paraId="414B28A6">
            <w:pPr>
              <w:rPr>
                <w:rFonts w:hint="eastAsia" w:ascii="宋体" w:hAnsi="宋体" w:eastAsia="宋体" w:cs="宋体"/>
                <w:sz w:val="24"/>
                <w:szCs w:val="24"/>
              </w:rPr>
            </w:pPr>
            <w:r>
              <w:rPr>
                <w:rFonts w:hint="eastAsia" w:ascii="宋体" w:hAnsi="宋体" w:eastAsia="宋体" w:cs="宋体"/>
                <w:sz w:val="24"/>
                <w:szCs w:val="24"/>
              </w:rPr>
              <w:t xml:space="preserve">完整性：方案须全面，对评审内容中的各项要求有详细描述； </w:t>
            </w:r>
          </w:p>
          <w:p w14:paraId="1A068F87">
            <w:pPr>
              <w:rPr>
                <w:rFonts w:hint="eastAsia" w:ascii="宋体" w:hAnsi="宋体" w:eastAsia="宋体" w:cs="宋体"/>
                <w:sz w:val="24"/>
                <w:szCs w:val="24"/>
              </w:rPr>
            </w:pPr>
            <w:r>
              <w:rPr>
                <w:rFonts w:hint="eastAsia" w:ascii="宋体" w:hAnsi="宋体" w:eastAsia="宋体" w:cs="宋体"/>
                <w:sz w:val="24"/>
                <w:szCs w:val="24"/>
              </w:rPr>
              <w:t xml:space="preserve">可实施性：切合本项目实际情况，实施步骤清晰、合理； </w:t>
            </w:r>
          </w:p>
          <w:p w14:paraId="06288E7A">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rPr>
              <w:t xml:space="preserve">针对性：方案能够紧扣项目实际情况，内容科学合理。 </w:t>
            </w:r>
          </w:p>
        </w:tc>
      </w:tr>
      <w:tr w14:paraId="28C83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89" w:type="dxa"/>
            <w:vMerge w:val="continue"/>
            <w:noWrap w:val="0"/>
            <w:vAlign w:val="center"/>
          </w:tcPr>
          <w:p w14:paraId="3FC61683">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vMerge w:val="continue"/>
            <w:noWrap w:val="0"/>
            <w:vAlign w:val="center"/>
          </w:tcPr>
          <w:p w14:paraId="7DF4A5A5">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1467" w:type="dxa"/>
            <w:vMerge w:val="continue"/>
            <w:noWrap w:val="0"/>
            <w:vAlign w:val="center"/>
          </w:tcPr>
          <w:p w14:paraId="2855F207">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6529" w:type="dxa"/>
            <w:noWrap w:val="0"/>
            <w:vAlign w:val="center"/>
          </w:tcPr>
          <w:p w14:paraId="1ECF17E0">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仓储</w:t>
            </w:r>
            <w:r>
              <w:rPr>
                <w:rFonts w:hint="eastAsia" w:ascii="宋体" w:hAnsi="宋体" w:eastAsia="宋体" w:cs="宋体"/>
                <w:b/>
                <w:bCs/>
                <w:color w:val="auto"/>
                <w:sz w:val="24"/>
                <w:szCs w:val="24"/>
                <w:highlight w:val="none"/>
              </w:rPr>
              <w:t>和冷藏</w:t>
            </w:r>
            <w:r>
              <w:rPr>
                <w:rFonts w:hint="eastAsia" w:ascii="宋体" w:hAnsi="宋体" w:eastAsia="宋体" w:cs="宋体"/>
                <w:b/>
                <w:bCs/>
                <w:color w:val="auto"/>
                <w:sz w:val="24"/>
                <w:szCs w:val="24"/>
                <w:highlight w:val="none"/>
                <w:lang w:eastAsia="zh-CN"/>
              </w:rPr>
              <w:t>保</w:t>
            </w:r>
            <w:r>
              <w:rPr>
                <w:rFonts w:hint="eastAsia" w:ascii="宋体" w:hAnsi="宋体" w:eastAsia="宋体" w:cs="宋体"/>
                <w:b/>
                <w:bCs/>
                <w:color w:val="auto"/>
                <w:sz w:val="24"/>
                <w:szCs w:val="24"/>
                <w:highlight w:val="none"/>
              </w:rPr>
              <w:t>鲜</w:t>
            </w:r>
            <w:r>
              <w:rPr>
                <w:rFonts w:hint="eastAsia" w:ascii="宋体" w:hAnsi="宋体" w:eastAsia="宋体" w:cs="宋体"/>
                <w:b/>
                <w:bCs/>
                <w:color w:val="auto"/>
                <w:sz w:val="24"/>
                <w:szCs w:val="24"/>
                <w:highlight w:val="none"/>
                <w:lang w:val="en-US" w:eastAsia="zh-CN"/>
              </w:rPr>
              <w:t>能力（</w:t>
            </w:r>
            <w:r>
              <w:rPr>
                <w:rFonts w:hint="eastAsia" w:cs="宋体"/>
                <w:b/>
                <w:bCs/>
                <w:color w:val="auto"/>
                <w:sz w:val="24"/>
                <w:szCs w:val="24"/>
                <w:highlight w:val="none"/>
                <w:lang w:val="en-US" w:eastAsia="zh-CN"/>
              </w:rPr>
              <w:t>12</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color w:val="auto"/>
                <w:kern w:val="2"/>
                <w:sz w:val="24"/>
                <w:szCs w:val="24"/>
                <w:highlight w:val="none"/>
                <w:lang w:val="en-US" w:eastAsia="zh-CN" w:bidi="ar-SA"/>
              </w:rPr>
              <w:t>：有独立的</w:t>
            </w:r>
            <w:r>
              <w:rPr>
                <w:rFonts w:hint="eastAsia" w:cs="宋体"/>
                <w:color w:val="auto"/>
                <w:kern w:val="2"/>
                <w:sz w:val="24"/>
                <w:szCs w:val="24"/>
                <w:highlight w:val="none"/>
                <w:lang w:val="en-US" w:eastAsia="zh-CN" w:bidi="ar-SA"/>
              </w:rPr>
              <w:t>冷藏库</w:t>
            </w:r>
            <w:r>
              <w:rPr>
                <w:rFonts w:hint="eastAsia" w:ascii="宋体" w:hAnsi="宋体" w:eastAsia="宋体" w:cs="宋体"/>
                <w:color w:val="auto"/>
                <w:kern w:val="2"/>
                <w:sz w:val="24"/>
                <w:szCs w:val="24"/>
                <w:highlight w:val="none"/>
                <w:lang w:val="en-US" w:eastAsia="zh-CN" w:bidi="ar-SA"/>
              </w:rPr>
              <w:t>，且为</w:t>
            </w:r>
            <w:r>
              <w:rPr>
                <w:rFonts w:hint="eastAsia" w:cs="宋体"/>
                <w:color w:val="auto"/>
                <w:kern w:val="2"/>
                <w:sz w:val="24"/>
                <w:szCs w:val="24"/>
                <w:highlight w:val="none"/>
                <w:lang w:val="en-US" w:eastAsia="zh-CN" w:bidi="ar-SA"/>
              </w:rPr>
              <w:t>食品</w:t>
            </w:r>
            <w:r>
              <w:rPr>
                <w:rFonts w:hint="eastAsia" w:ascii="宋体" w:hAnsi="宋体" w:eastAsia="宋体" w:cs="宋体"/>
                <w:color w:val="auto"/>
                <w:kern w:val="2"/>
                <w:sz w:val="24"/>
                <w:szCs w:val="24"/>
                <w:highlight w:val="none"/>
                <w:lang w:val="en-US" w:eastAsia="zh-CN" w:bidi="ar-SA"/>
              </w:rPr>
              <w:t>材料存储专用库</w:t>
            </w:r>
            <w:r>
              <w:rPr>
                <w:rFonts w:hint="eastAsia"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提供库房自有证明或租赁合同和仓储设备及其他能反映出其适合产品储存、周转的证明材料，满足相关食材所要求的存储要求</w:t>
            </w:r>
            <w:r>
              <w:rPr>
                <w:rFonts w:hint="eastAsia" w:cs="宋体"/>
                <w:color w:val="auto"/>
                <w:kern w:val="2"/>
                <w:sz w:val="24"/>
                <w:szCs w:val="24"/>
                <w:highlight w:val="none"/>
                <w:lang w:val="en-US" w:eastAsia="zh-CN" w:bidi="ar-SA"/>
              </w:rPr>
              <w:t>（</w:t>
            </w:r>
            <w:r>
              <w:rPr>
                <w:rFonts w:hint="eastAsia" w:ascii="宋体" w:hAnsi="宋体" w:eastAsia="宋体" w:cs="宋体"/>
                <w:b/>
                <w:bCs/>
                <w:color w:val="auto"/>
                <w:kern w:val="2"/>
                <w:sz w:val="24"/>
                <w:szCs w:val="24"/>
                <w:highlight w:val="none"/>
                <w:lang w:val="en-US" w:eastAsia="zh-CN" w:bidi="ar-SA"/>
              </w:rPr>
              <w:t>证明材料中所用的照片必须为清晰的全方位彩色照片</w:t>
            </w:r>
            <w:r>
              <w:rPr>
                <w:rFonts w:hint="eastAsia" w:cs="宋体"/>
                <w:b/>
                <w:bCs/>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 xml:space="preserve">： </w:t>
            </w:r>
          </w:p>
          <w:p w14:paraId="26EE8B87">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1.库房面积（</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分）：根据投标人提供的有效证明材料，库房面积≥100㎡，得</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分，库房面积＜100㎡，得</w:t>
            </w: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r>
              <w:rPr>
                <w:rFonts w:hint="eastAsia" w:cs="宋体"/>
                <w:color w:val="auto"/>
                <w:sz w:val="24"/>
                <w:szCs w:val="24"/>
                <w:highlight w:val="none"/>
                <w:lang w:val="en-US" w:eastAsia="zh-CN"/>
              </w:rPr>
              <w:t>，</w:t>
            </w:r>
            <w:r>
              <w:rPr>
                <w:rFonts w:hint="eastAsia" w:ascii="宋体" w:hAnsi="宋体" w:eastAsia="宋体" w:cs="宋体"/>
                <w:color w:val="auto"/>
                <w:kern w:val="2"/>
                <w:sz w:val="24"/>
                <w:szCs w:val="24"/>
                <w:highlight w:val="none"/>
                <w:lang w:val="en-US" w:eastAsia="zh-CN" w:bidi="ar-SA"/>
              </w:rPr>
              <w:t>无独立专用库</w:t>
            </w:r>
            <w:r>
              <w:rPr>
                <w:rFonts w:hint="eastAsia" w:cs="宋体"/>
                <w:color w:val="auto"/>
                <w:kern w:val="2"/>
                <w:sz w:val="24"/>
                <w:szCs w:val="24"/>
                <w:highlight w:val="none"/>
                <w:lang w:val="en-US" w:eastAsia="zh-CN" w:bidi="ar-SA"/>
              </w:rPr>
              <w:t>房得0分</w:t>
            </w:r>
            <w:r>
              <w:rPr>
                <w:rFonts w:hint="eastAsia" w:ascii="宋体" w:hAnsi="宋体" w:eastAsia="宋体" w:cs="宋体"/>
                <w:color w:val="auto"/>
                <w:sz w:val="24"/>
                <w:szCs w:val="24"/>
                <w:highlight w:val="none"/>
                <w:lang w:val="en-US" w:eastAsia="zh-CN"/>
              </w:rPr>
              <w:t>。</w:t>
            </w:r>
          </w:p>
          <w:p w14:paraId="474CC354">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2.仓储设备（</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shd w:val="clear" w:color="auto" w:fill="auto"/>
                <w:lang w:val="en-US" w:eastAsia="zh-CN"/>
              </w:rPr>
              <w:t>有冻货专用</w:t>
            </w:r>
            <w:r>
              <w:rPr>
                <w:rFonts w:hint="eastAsia" w:cs="宋体"/>
                <w:color w:val="auto"/>
                <w:sz w:val="24"/>
                <w:szCs w:val="24"/>
                <w:highlight w:val="none"/>
                <w:shd w:val="clear" w:color="auto" w:fill="auto"/>
                <w:lang w:val="en-US" w:eastAsia="zh-CN"/>
              </w:rPr>
              <w:t>设备，有</w:t>
            </w:r>
            <w:r>
              <w:rPr>
                <w:rFonts w:hint="eastAsia" w:ascii="宋体" w:hAnsi="宋体" w:eastAsia="宋体" w:cs="宋体"/>
                <w:color w:val="auto"/>
                <w:sz w:val="24"/>
                <w:szCs w:val="24"/>
                <w:highlight w:val="none"/>
                <w:shd w:val="clear" w:color="auto" w:fill="auto"/>
                <w:lang w:val="en-US" w:eastAsia="zh-CN"/>
              </w:rPr>
              <w:t>通风、</w:t>
            </w:r>
            <w:r>
              <w:rPr>
                <w:rFonts w:hint="eastAsia" w:cs="宋体"/>
                <w:color w:val="auto"/>
                <w:sz w:val="24"/>
                <w:szCs w:val="24"/>
                <w:highlight w:val="none"/>
                <w:shd w:val="clear" w:color="auto" w:fill="auto"/>
                <w:lang w:val="en-US" w:eastAsia="zh-CN"/>
              </w:rPr>
              <w:t>温度</w:t>
            </w:r>
            <w:r>
              <w:rPr>
                <w:rFonts w:hint="eastAsia" w:ascii="宋体" w:hAnsi="宋体" w:eastAsia="宋体" w:cs="宋体"/>
                <w:color w:val="auto"/>
                <w:sz w:val="24"/>
                <w:szCs w:val="24"/>
                <w:highlight w:val="none"/>
                <w:shd w:val="clear" w:color="auto" w:fill="auto"/>
                <w:lang w:val="en-US" w:eastAsia="zh-CN"/>
              </w:rPr>
              <w:t>、</w:t>
            </w:r>
            <w:r>
              <w:rPr>
                <w:rFonts w:hint="eastAsia" w:cs="宋体"/>
                <w:color w:val="auto"/>
                <w:sz w:val="24"/>
                <w:szCs w:val="24"/>
                <w:highlight w:val="none"/>
                <w:shd w:val="clear" w:color="auto" w:fill="auto"/>
                <w:lang w:val="en-US" w:eastAsia="zh-CN"/>
              </w:rPr>
              <w:t>湿度控制</w:t>
            </w:r>
            <w:r>
              <w:rPr>
                <w:rFonts w:hint="eastAsia" w:ascii="宋体" w:hAnsi="宋体" w:eastAsia="宋体" w:cs="宋体"/>
                <w:color w:val="auto"/>
                <w:sz w:val="24"/>
                <w:szCs w:val="24"/>
                <w:highlight w:val="none"/>
                <w:shd w:val="clear" w:color="auto" w:fill="auto"/>
                <w:lang w:val="en-US" w:eastAsia="zh-CN"/>
              </w:rPr>
              <w:t>设备，能满足相关食材存储所要求的温</w:t>
            </w:r>
            <w:r>
              <w:rPr>
                <w:rFonts w:hint="eastAsia" w:cs="宋体"/>
                <w:color w:val="auto"/>
                <w:sz w:val="24"/>
                <w:szCs w:val="24"/>
                <w:highlight w:val="none"/>
                <w:shd w:val="clear" w:color="auto" w:fill="auto"/>
                <w:lang w:val="en-US" w:eastAsia="zh-CN"/>
              </w:rPr>
              <w:t>度</w:t>
            </w:r>
            <w:r>
              <w:rPr>
                <w:rFonts w:hint="eastAsia" w:ascii="宋体" w:hAnsi="宋体" w:eastAsia="宋体" w:cs="宋体"/>
                <w:color w:val="auto"/>
                <w:sz w:val="24"/>
                <w:szCs w:val="24"/>
                <w:highlight w:val="none"/>
                <w:shd w:val="clear" w:color="auto" w:fill="auto"/>
                <w:lang w:val="en-US" w:eastAsia="zh-CN"/>
              </w:rPr>
              <w:t>、湿度、安全条件，设备齐全共得3分，缺少一项设备扣1分</w:t>
            </w:r>
            <w:r>
              <w:rPr>
                <w:rFonts w:hint="eastAsia" w:cs="宋体"/>
                <w:color w:val="auto"/>
                <w:sz w:val="24"/>
                <w:szCs w:val="24"/>
                <w:highlight w:val="none"/>
                <w:shd w:val="clear" w:color="auto" w:fill="auto"/>
                <w:lang w:val="en-US" w:eastAsia="zh-CN"/>
              </w:rPr>
              <w:t>。</w:t>
            </w:r>
          </w:p>
          <w:p w14:paraId="3B9E5070">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 库房“七防”设施（防火、防盗、防潮、防投毒、防鼠、防蝇、防尘）设施图片及制度齐全，得3分；不全得0分。</w:t>
            </w:r>
          </w:p>
          <w:p w14:paraId="40D0958E">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sz w:val="24"/>
                <w:szCs w:val="24"/>
                <w:highlight w:val="none"/>
              </w:rPr>
            </w:pPr>
            <w:r>
              <w:rPr>
                <w:rFonts w:hint="eastAsia"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 xml:space="preserve"> 库房</w:t>
            </w:r>
            <w:r>
              <w:rPr>
                <w:rFonts w:hint="eastAsia" w:cs="宋体"/>
                <w:color w:val="auto"/>
                <w:kern w:val="2"/>
                <w:sz w:val="24"/>
                <w:szCs w:val="24"/>
                <w:highlight w:val="none"/>
                <w:lang w:val="en-US" w:eastAsia="zh-CN" w:bidi="ar-SA"/>
              </w:rPr>
              <w:t>内</w:t>
            </w:r>
            <w:r>
              <w:rPr>
                <w:rFonts w:hint="eastAsia" w:ascii="宋体" w:hAnsi="宋体" w:eastAsia="宋体" w:cs="宋体"/>
                <w:color w:val="auto"/>
                <w:kern w:val="2"/>
                <w:sz w:val="24"/>
                <w:szCs w:val="24"/>
                <w:highlight w:val="none"/>
                <w:lang w:val="en-US" w:eastAsia="zh-CN" w:bidi="ar-SA"/>
              </w:rPr>
              <w:t>外安装有监控设备且全方位覆盖，得2分；未达到上述要求，得0分</w:t>
            </w:r>
            <w:r>
              <w:rPr>
                <w:rFonts w:hint="eastAsia" w:ascii="宋体" w:hAnsi="宋体" w:eastAsia="宋体" w:cs="宋体"/>
                <w:color w:val="auto"/>
                <w:kern w:val="0"/>
                <w:sz w:val="24"/>
                <w:szCs w:val="24"/>
                <w:lang w:val="en-US" w:eastAsia="zh-CN" w:bidi="ar"/>
              </w:rPr>
              <w:t>。</w:t>
            </w:r>
          </w:p>
        </w:tc>
      </w:tr>
      <w:tr w14:paraId="098F8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89" w:type="dxa"/>
            <w:vMerge w:val="continue"/>
            <w:noWrap w:val="0"/>
            <w:vAlign w:val="center"/>
          </w:tcPr>
          <w:p w14:paraId="37F71718">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vMerge w:val="continue"/>
            <w:noWrap w:val="0"/>
            <w:vAlign w:val="center"/>
          </w:tcPr>
          <w:p w14:paraId="0CB7D97F">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1467" w:type="dxa"/>
            <w:vMerge w:val="continue"/>
            <w:noWrap w:val="0"/>
            <w:vAlign w:val="center"/>
          </w:tcPr>
          <w:p w14:paraId="6ACD55C7">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6529" w:type="dxa"/>
            <w:noWrap w:val="0"/>
            <w:vAlign w:val="center"/>
          </w:tcPr>
          <w:p w14:paraId="77D7BF5E">
            <w:pPr>
              <w:pStyle w:val="52"/>
              <w:jc w:val="left"/>
              <w:rPr>
                <w:rFonts w:hint="eastAsia" w:ascii="宋体" w:hAnsi="宋体" w:eastAsia="宋体" w:cs="宋体"/>
                <w:b/>
                <w:bCs/>
                <w:sz w:val="24"/>
                <w:szCs w:val="24"/>
                <w:lang w:eastAsia="zh-CN"/>
              </w:rPr>
            </w:pPr>
            <w:r>
              <w:rPr>
                <w:rFonts w:hint="eastAsia" w:ascii="宋体" w:hAnsi="宋体" w:eastAsia="宋体" w:cs="宋体"/>
                <w:b/>
                <w:bCs/>
                <w:sz w:val="24"/>
                <w:szCs w:val="24"/>
              </w:rPr>
              <w:t>人员配备</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5分</w:t>
            </w:r>
            <w:r>
              <w:rPr>
                <w:rFonts w:hint="eastAsia" w:ascii="宋体" w:hAnsi="宋体" w:eastAsia="宋体" w:cs="宋体"/>
                <w:b/>
                <w:bCs/>
                <w:sz w:val="24"/>
                <w:szCs w:val="24"/>
                <w:lang w:eastAsia="zh-CN"/>
              </w:rPr>
              <w:t>）</w:t>
            </w:r>
          </w:p>
          <w:p w14:paraId="22A1DDFB">
            <w:pPr>
              <w:pStyle w:val="52"/>
              <w:jc w:val="left"/>
              <w:rPr>
                <w:rFonts w:hint="eastAsia" w:ascii="宋体" w:hAnsi="宋体" w:cs="宋体"/>
                <w:sz w:val="24"/>
                <w:szCs w:val="24"/>
                <w:lang w:eastAsia="zh-CN"/>
              </w:rPr>
            </w:pPr>
            <w:r>
              <w:rPr>
                <w:rFonts w:hint="eastAsia" w:ascii="宋体" w:hAnsi="宋体" w:eastAsia="宋体" w:cs="宋体"/>
                <w:sz w:val="24"/>
                <w:szCs w:val="24"/>
              </w:rPr>
              <w:t>岗位设置齐全、职责明确、人员配置合理充足，</w:t>
            </w:r>
            <w:r>
              <w:rPr>
                <w:rFonts w:hint="eastAsia" w:ascii="宋体" w:hAnsi="宋体" w:eastAsia="宋体" w:cs="宋体"/>
                <w:sz w:val="24"/>
                <w:szCs w:val="24"/>
                <w:lang w:val="en-US" w:eastAsia="zh-CN"/>
              </w:rPr>
              <w:t>相关</w:t>
            </w:r>
            <w:r>
              <w:rPr>
                <w:rFonts w:hint="eastAsia" w:ascii="宋体" w:hAnsi="宋体" w:eastAsia="宋体" w:cs="宋体"/>
                <w:sz w:val="24"/>
                <w:szCs w:val="24"/>
              </w:rPr>
              <w:t>人员提供人员身份证、健康证</w:t>
            </w:r>
            <w:r>
              <w:rPr>
                <w:rFonts w:hint="eastAsia" w:ascii="宋体" w:hAnsi="宋体" w:eastAsia="宋体" w:cs="宋体"/>
                <w:sz w:val="24"/>
                <w:szCs w:val="24"/>
                <w:lang w:eastAsia="zh-CN"/>
              </w:rPr>
              <w:t>、</w:t>
            </w:r>
            <w:r>
              <w:rPr>
                <w:rFonts w:hint="eastAsia" w:ascii="宋体" w:hAnsi="宋体" w:eastAsia="宋体" w:cs="宋体"/>
                <w:sz w:val="24"/>
                <w:szCs w:val="24"/>
              </w:rPr>
              <w:t>劳务合同</w:t>
            </w:r>
            <w:r>
              <w:rPr>
                <w:rFonts w:hint="eastAsia" w:ascii="宋体" w:hAnsi="宋体" w:eastAsia="宋体" w:cs="宋体"/>
                <w:sz w:val="24"/>
                <w:szCs w:val="24"/>
                <w:lang w:val="en-US" w:eastAsia="zh-CN"/>
              </w:rPr>
              <w:t>及无犯罪证明</w:t>
            </w:r>
            <w:r>
              <w:rPr>
                <w:rFonts w:hint="eastAsia" w:ascii="宋体" w:hAnsi="宋体" w:eastAsia="宋体" w:cs="宋体"/>
                <w:sz w:val="24"/>
                <w:szCs w:val="24"/>
              </w:rPr>
              <w:t>等</w:t>
            </w:r>
            <w:r>
              <w:rPr>
                <w:rFonts w:hint="eastAsia" w:ascii="宋体" w:hAnsi="宋体" w:cs="宋体"/>
                <w:sz w:val="24"/>
                <w:szCs w:val="24"/>
                <w:lang w:eastAsia="zh-CN"/>
              </w:rPr>
              <w:t>；</w:t>
            </w:r>
            <w:r>
              <w:rPr>
                <w:rFonts w:hint="eastAsia" w:ascii="宋体" w:hAnsi="宋体" w:eastAsia="宋体" w:cs="宋体"/>
                <w:sz w:val="24"/>
                <w:szCs w:val="24"/>
              </w:rPr>
              <w:t>司机</w:t>
            </w:r>
            <w:r>
              <w:rPr>
                <w:rFonts w:hint="eastAsia" w:ascii="宋体" w:hAnsi="宋体" w:eastAsia="宋体" w:cs="宋体"/>
                <w:sz w:val="24"/>
                <w:szCs w:val="24"/>
                <w:lang w:val="en-US" w:eastAsia="zh-CN"/>
              </w:rPr>
              <w:t>还须提供</w:t>
            </w:r>
            <w:r>
              <w:rPr>
                <w:rFonts w:hint="eastAsia" w:ascii="宋体" w:hAnsi="宋体" w:eastAsia="宋体" w:cs="宋体"/>
                <w:sz w:val="24"/>
                <w:szCs w:val="24"/>
              </w:rPr>
              <w:t>驾驶证</w:t>
            </w:r>
            <w:r>
              <w:rPr>
                <w:rFonts w:hint="eastAsia" w:ascii="宋体" w:hAnsi="宋体" w:cs="宋体"/>
                <w:sz w:val="24"/>
                <w:szCs w:val="24"/>
                <w:lang w:eastAsia="zh-CN"/>
              </w:rPr>
              <w:t>。</w:t>
            </w:r>
          </w:p>
          <w:p w14:paraId="64833C6B">
            <w:pPr>
              <w:pStyle w:val="52"/>
              <w:jc w:val="left"/>
              <w:rPr>
                <w:rFonts w:hint="eastAsia" w:ascii="宋体" w:hAnsi="宋体" w:eastAsia="宋体" w:cs="宋体"/>
                <w:sz w:val="24"/>
                <w:szCs w:val="24"/>
              </w:rPr>
            </w:pPr>
            <w:r>
              <w:rPr>
                <w:rFonts w:hint="eastAsia" w:ascii="宋体" w:hAnsi="宋体" w:eastAsia="宋体" w:cs="宋体"/>
                <w:sz w:val="24"/>
                <w:szCs w:val="24"/>
              </w:rPr>
              <w:t>①为本项目配备的服务团队人员上述条件齐全有效且达到</w:t>
            </w:r>
            <w:r>
              <w:rPr>
                <w:rFonts w:hint="eastAsia" w:ascii="宋体" w:hAnsi="宋体" w:cs="宋体"/>
                <w:sz w:val="24"/>
                <w:szCs w:val="24"/>
                <w:lang w:val="en-US" w:eastAsia="zh-CN"/>
              </w:rPr>
              <w:t>5</w:t>
            </w:r>
            <w:r>
              <w:rPr>
                <w:rFonts w:hint="eastAsia" w:ascii="宋体" w:hAnsi="宋体" w:eastAsia="宋体" w:cs="宋体"/>
                <w:sz w:val="24"/>
                <w:szCs w:val="24"/>
              </w:rPr>
              <w:t>人以上得5分；</w:t>
            </w:r>
          </w:p>
          <w:p w14:paraId="4F879875">
            <w:pPr>
              <w:pStyle w:val="52"/>
              <w:jc w:val="left"/>
              <w:rPr>
                <w:rFonts w:hint="eastAsia" w:ascii="宋体" w:hAnsi="宋体" w:eastAsia="宋体" w:cs="宋体"/>
                <w:sz w:val="24"/>
                <w:szCs w:val="24"/>
              </w:rPr>
            </w:pPr>
            <w:r>
              <w:rPr>
                <w:rFonts w:hint="eastAsia" w:ascii="宋体" w:hAnsi="宋体" w:eastAsia="宋体" w:cs="宋体"/>
                <w:sz w:val="24"/>
                <w:szCs w:val="24"/>
              </w:rPr>
              <w:t>②为本项目配备的服务团队人员上述条件齐全有效且达到</w:t>
            </w:r>
            <w:r>
              <w:rPr>
                <w:rFonts w:hint="eastAsia" w:ascii="宋体" w:hAnsi="宋体" w:cs="宋体"/>
                <w:sz w:val="24"/>
                <w:szCs w:val="24"/>
                <w:lang w:val="en-US" w:eastAsia="zh-CN"/>
              </w:rPr>
              <w:t>3</w:t>
            </w:r>
            <w:r>
              <w:rPr>
                <w:rFonts w:hint="eastAsia" w:ascii="宋体" w:hAnsi="宋体" w:eastAsia="宋体" w:cs="宋体"/>
                <w:sz w:val="24"/>
                <w:szCs w:val="24"/>
              </w:rPr>
              <w:t>～</w:t>
            </w:r>
            <w:r>
              <w:rPr>
                <w:rFonts w:hint="eastAsia" w:ascii="宋体" w:hAnsi="宋体" w:cs="宋体"/>
                <w:sz w:val="24"/>
                <w:szCs w:val="24"/>
                <w:lang w:val="en-US" w:eastAsia="zh-CN"/>
              </w:rPr>
              <w:t>4</w:t>
            </w:r>
            <w:r>
              <w:rPr>
                <w:rFonts w:hint="eastAsia" w:ascii="宋体" w:hAnsi="宋体" w:eastAsia="宋体" w:cs="宋体"/>
                <w:sz w:val="24"/>
                <w:szCs w:val="24"/>
              </w:rPr>
              <w:t>人分得</w:t>
            </w:r>
            <w:r>
              <w:rPr>
                <w:rFonts w:hint="eastAsia" w:ascii="宋体" w:hAnsi="宋体" w:eastAsia="宋体" w:cs="宋体"/>
                <w:sz w:val="24"/>
                <w:szCs w:val="24"/>
                <w:lang w:val="en-US" w:eastAsia="zh-CN"/>
              </w:rPr>
              <w:t>2</w:t>
            </w:r>
            <w:r>
              <w:rPr>
                <w:rFonts w:hint="eastAsia" w:ascii="宋体" w:hAnsi="宋体" w:eastAsia="宋体" w:cs="宋体"/>
                <w:sz w:val="24"/>
                <w:szCs w:val="24"/>
              </w:rPr>
              <w:t>分；</w:t>
            </w:r>
          </w:p>
          <w:p w14:paraId="09BF75C2">
            <w:pPr>
              <w:keepNext w:val="0"/>
              <w:keepLines w:val="0"/>
              <w:pageBreakBefore w:val="0"/>
              <w:kinsoku/>
              <w:wordWrap/>
              <w:overflowPunct/>
              <w:topLinePunct w:val="0"/>
              <w:bidi w:val="0"/>
              <w:adjustRightInd/>
              <w:snapToGrid/>
              <w:spacing w:line="400" w:lineRule="exact"/>
              <w:ind w:left="0" w:right="0"/>
              <w:jc w:val="left"/>
              <w:textAlignment w:val="auto"/>
              <w:rPr>
                <w:rFonts w:hint="eastAsia" w:cs="宋体"/>
                <w:color w:val="auto"/>
                <w:kern w:val="2"/>
                <w:sz w:val="24"/>
                <w:szCs w:val="24"/>
                <w:highlight w:val="none"/>
                <w:lang w:val="en-US" w:eastAsia="zh-CN" w:bidi="ar-SA"/>
              </w:rPr>
            </w:pPr>
            <w:r>
              <w:rPr>
                <w:rFonts w:hint="eastAsia" w:ascii="宋体" w:hAnsi="宋体" w:eastAsia="宋体" w:cs="宋体"/>
                <w:sz w:val="24"/>
                <w:szCs w:val="24"/>
              </w:rPr>
              <w:t>③人员配置</w:t>
            </w:r>
            <w:r>
              <w:rPr>
                <w:rFonts w:hint="eastAsia" w:ascii="宋体" w:hAnsi="宋体" w:cs="宋体"/>
                <w:sz w:val="24"/>
                <w:szCs w:val="24"/>
                <w:lang w:val="en-US" w:eastAsia="zh-CN"/>
              </w:rPr>
              <w:t>不足3人得1分，少于2人得0分</w:t>
            </w:r>
            <w:r>
              <w:rPr>
                <w:rFonts w:hint="eastAsia" w:ascii="宋体" w:hAnsi="宋体" w:eastAsia="宋体" w:cs="宋体"/>
                <w:sz w:val="24"/>
                <w:szCs w:val="24"/>
              </w:rPr>
              <w:t>。</w:t>
            </w:r>
          </w:p>
        </w:tc>
      </w:tr>
      <w:tr w14:paraId="41710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64" w:hRule="atLeast"/>
        </w:trPr>
        <w:tc>
          <w:tcPr>
            <w:tcW w:w="789" w:type="dxa"/>
            <w:vMerge w:val="continue"/>
            <w:noWrap w:val="0"/>
            <w:vAlign w:val="center"/>
          </w:tcPr>
          <w:p w14:paraId="3077163A">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vMerge w:val="continue"/>
            <w:noWrap w:val="0"/>
            <w:vAlign w:val="center"/>
          </w:tcPr>
          <w:p w14:paraId="1EA480BF">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1467" w:type="dxa"/>
            <w:vMerge w:val="continue"/>
            <w:noWrap w:val="0"/>
            <w:vAlign w:val="center"/>
          </w:tcPr>
          <w:p w14:paraId="499D0692">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6529" w:type="dxa"/>
            <w:noWrap w:val="0"/>
            <w:vAlign w:val="center"/>
          </w:tcPr>
          <w:p w14:paraId="5E750BAA">
            <w:pPr>
              <w:keepNext w:val="0"/>
              <w:keepLines w:val="0"/>
              <w:pageBreakBefore w:val="0"/>
              <w:kinsoku/>
              <w:wordWrap/>
              <w:overflowPunct/>
              <w:topLinePunct w:val="0"/>
              <w:bidi w:val="0"/>
              <w:adjustRightInd/>
              <w:snapToGrid/>
              <w:spacing w:line="400" w:lineRule="exact"/>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kern w:val="2"/>
                <w:sz w:val="24"/>
                <w:szCs w:val="24"/>
                <w:highlight w:val="none"/>
                <w:lang w:val="en-US" w:eastAsia="zh-CN" w:bidi="ar-SA"/>
              </w:rPr>
              <w:t>配送车辆（6分）</w:t>
            </w:r>
            <w:r>
              <w:rPr>
                <w:rFonts w:hint="eastAsia" w:ascii="宋体" w:hAnsi="宋体" w:eastAsia="宋体" w:cs="宋体"/>
                <w:color w:val="auto"/>
                <w:kern w:val="2"/>
                <w:sz w:val="24"/>
                <w:szCs w:val="24"/>
                <w:highlight w:val="none"/>
                <w:lang w:val="en-US" w:eastAsia="zh-CN" w:bidi="ar-SA"/>
              </w:rPr>
              <w:t>：投标人须具有</w:t>
            </w:r>
            <w:r>
              <w:rPr>
                <w:rFonts w:hint="eastAsia"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辆以上自有或租赁（租赁车辆须提供租赁合同等证明材料）符合安全运输标准的厢式运输专用车辆等相关配送设备，须提供车辆</w:t>
            </w:r>
            <w:r>
              <w:rPr>
                <w:rFonts w:hint="eastAsia" w:cs="宋体"/>
                <w:color w:val="auto"/>
                <w:kern w:val="2"/>
                <w:sz w:val="24"/>
                <w:szCs w:val="24"/>
                <w:highlight w:val="none"/>
                <w:lang w:val="en-US" w:eastAsia="zh-CN" w:bidi="ar-SA"/>
              </w:rPr>
              <w:t>（车辆照片彩页）、</w:t>
            </w:r>
            <w:r>
              <w:rPr>
                <w:rFonts w:hint="eastAsia" w:ascii="宋体" w:hAnsi="宋体" w:eastAsia="宋体" w:cs="宋体"/>
                <w:color w:val="auto"/>
                <w:kern w:val="2"/>
                <w:sz w:val="24"/>
                <w:szCs w:val="24"/>
                <w:highlight w:val="none"/>
                <w:lang w:val="en-US" w:eastAsia="zh-CN" w:bidi="ar-SA"/>
              </w:rPr>
              <w:t>行驶证满足项目基本配送车辆要求得3分（少于</w:t>
            </w:r>
            <w:r>
              <w:rPr>
                <w:rFonts w:hint="eastAsia"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辆不得分），车辆数量每增加1辆加1分，最多加3分，满分6分。</w:t>
            </w:r>
          </w:p>
        </w:tc>
      </w:tr>
      <w:tr w14:paraId="5C138A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78" w:hRule="atLeast"/>
        </w:trPr>
        <w:tc>
          <w:tcPr>
            <w:tcW w:w="789" w:type="dxa"/>
            <w:vMerge w:val="continue"/>
            <w:noWrap w:val="0"/>
            <w:vAlign w:val="center"/>
          </w:tcPr>
          <w:p w14:paraId="7398984E">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noWrap w:val="0"/>
            <w:vAlign w:val="center"/>
          </w:tcPr>
          <w:p w14:paraId="063F1585">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467" w:type="dxa"/>
            <w:noWrap w:val="0"/>
            <w:vAlign w:val="center"/>
          </w:tcPr>
          <w:p w14:paraId="48705507">
            <w:pPr>
              <w:pStyle w:val="50"/>
              <w:keepNext w:val="0"/>
              <w:keepLines w:val="0"/>
              <w:pageBreakBefore w:val="0"/>
              <w:tabs>
                <w:tab w:val="clear" w:pos="4153"/>
                <w:tab w:val="clear" w:pos="8306"/>
              </w:tabs>
              <w:kinsoku/>
              <w:wordWrap/>
              <w:overflowPunct/>
              <w:topLinePunct w:val="0"/>
              <w:bidi w:val="0"/>
              <w:adjustRightInd/>
              <w:snapToGrid/>
              <w:spacing w:line="400" w:lineRule="exact"/>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质量及安全控制措施</w:t>
            </w:r>
            <w:r>
              <w:rPr>
                <w:rFonts w:hint="eastAsia" w:ascii="宋体" w:hAnsi="宋体" w:eastAsia="宋体" w:cs="宋体"/>
                <w:bCs/>
                <w:color w:val="auto"/>
                <w:sz w:val="24"/>
                <w:szCs w:val="24"/>
                <w:highlight w:val="none"/>
              </w:rPr>
              <w:t>（</w:t>
            </w:r>
            <w:r>
              <w:rPr>
                <w:rFonts w:hint="eastAsia" w:cs="宋体"/>
                <w:bCs/>
                <w:color w:val="auto"/>
                <w:sz w:val="24"/>
                <w:szCs w:val="24"/>
                <w:highlight w:val="none"/>
                <w:lang w:val="en-US" w:eastAsia="zh-CN"/>
              </w:rPr>
              <w:t>10</w:t>
            </w:r>
            <w:r>
              <w:rPr>
                <w:rFonts w:hint="eastAsia" w:ascii="宋体" w:hAnsi="宋体" w:eastAsia="宋体" w:cs="宋体"/>
                <w:bCs/>
                <w:color w:val="auto"/>
                <w:sz w:val="24"/>
                <w:szCs w:val="24"/>
                <w:highlight w:val="none"/>
              </w:rPr>
              <w:t>分）</w:t>
            </w:r>
          </w:p>
        </w:tc>
        <w:tc>
          <w:tcPr>
            <w:tcW w:w="6529" w:type="dxa"/>
            <w:noWrap w:val="0"/>
            <w:vAlign w:val="center"/>
          </w:tcPr>
          <w:p w14:paraId="1600B1F1">
            <w:pPr>
              <w:keepNext w:val="0"/>
              <w:keepLines w:val="0"/>
              <w:pageBreakBefore w:val="0"/>
              <w:numPr>
                <w:ilvl w:val="0"/>
                <w:numId w:val="9"/>
              </w:numPr>
              <w:kinsoku/>
              <w:wordWrap/>
              <w:overflowPunct/>
              <w:topLinePunct w:val="0"/>
              <w:bidi w:val="0"/>
              <w:adjustRightInd/>
              <w:snapToGrid/>
              <w:spacing w:line="400" w:lineRule="exact"/>
              <w:ind w:left="0" w:leftChars="0" w:right="0" w:firstLine="0" w:firstLine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根据项目需求内容制定整体质量保证措施：方案至少包括①质量安全保证具体措施；②卫生安全；③货物的来源；④采购环节控制；⑤加工包装保存运输等环节。提供必要的证明材料复印件或扫描件（包括但不限于销售协议、代理商授权、检测报告等）。以上5项内容齐全，针对性强、条理清晰、表述准确得分10分。每缺少一项内容扣2分（缺陷是指在完整性、可实施性和针对性等方面存在瑕疵或实用性不强）。</w:t>
            </w:r>
          </w:p>
          <w:p w14:paraId="59AC3624">
            <w:pPr>
              <w:keepNext w:val="0"/>
              <w:keepLines w:val="0"/>
              <w:pageBreakBefore w:val="0"/>
              <w:numPr>
                <w:ilvl w:val="0"/>
                <w:numId w:val="9"/>
              </w:numPr>
              <w:kinsoku/>
              <w:wordWrap/>
              <w:overflowPunct/>
              <w:topLinePunct w:val="0"/>
              <w:bidi w:val="0"/>
              <w:adjustRightInd/>
              <w:snapToGrid/>
              <w:spacing w:line="400" w:lineRule="exact"/>
              <w:ind w:left="0" w:leftChars="0" w:right="0" w:firstLine="0" w:firstLine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根据评审标准对供应商技术方案进行评审，每一条不符合本项目特点和实际需求，存在缺陷或实用性不强的扣1分，扣完为止。</w:t>
            </w:r>
          </w:p>
          <w:p w14:paraId="152867B4">
            <w:pPr>
              <w:keepNext w:val="0"/>
              <w:keepLines w:val="0"/>
              <w:pageBreakBefore w:val="0"/>
              <w:numPr>
                <w:ilvl w:val="0"/>
                <w:numId w:val="9"/>
              </w:numPr>
              <w:kinsoku/>
              <w:wordWrap/>
              <w:overflowPunct/>
              <w:topLinePunct w:val="0"/>
              <w:bidi w:val="0"/>
              <w:adjustRightInd/>
              <w:snapToGrid/>
              <w:spacing w:line="400" w:lineRule="exact"/>
              <w:ind w:left="0" w:leftChars="0" w:right="0" w:firstLine="0" w:firstLine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评审标准： </w:t>
            </w:r>
          </w:p>
          <w:p w14:paraId="0B1E0B62">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完整性：方案须全面，对评审内容中的各项要求有详细描述； </w:t>
            </w:r>
          </w:p>
          <w:p w14:paraId="38ABB9C3">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可实施性：切合本项目实际情况，实施步骤清晰、合理； </w:t>
            </w:r>
          </w:p>
          <w:p w14:paraId="3EFB9718">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针对性：方案能够紧扣项目实际情况，内容科学合理。 </w:t>
            </w:r>
          </w:p>
        </w:tc>
      </w:tr>
      <w:tr w14:paraId="5AF71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0" w:hRule="atLeast"/>
        </w:trPr>
        <w:tc>
          <w:tcPr>
            <w:tcW w:w="789" w:type="dxa"/>
            <w:vMerge w:val="continue"/>
            <w:noWrap w:val="0"/>
            <w:vAlign w:val="center"/>
          </w:tcPr>
          <w:p w14:paraId="0B7A8082">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p>
        </w:tc>
        <w:tc>
          <w:tcPr>
            <w:tcW w:w="743" w:type="dxa"/>
            <w:noWrap w:val="0"/>
            <w:vAlign w:val="center"/>
          </w:tcPr>
          <w:p w14:paraId="7D59CEAB">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467" w:type="dxa"/>
            <w:noWrap w:val="0"/>
            <w:vAlign w:val="center"/>
          </w:tcPr>
          <w:p w14:paraId="1B0FA2CF">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售后服务</w:t>
            </w:r>
          </w:p>
          <w:p w14:paraId="16E3FEBE">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r>
              <w:rPr>
                <w:rFonts w:hint="eastAsia" w:cs="宋体"/>
                <w:color w:val="auto"/>
                <w:sz w:val="24"/>
                <w:szCs w:val="24"/>
                <w:highlight w:val="none"/>
                <w:lang w:val="en-US" w:eastAsia="zh-CN"/>
              </w:rPr>
              <w:t>）</w:t>
            </w:r>
          </w:p>
        </w:tc>
        <w:tc>
          <w:tcPr>
            <w:tcW w:w="6529" w:type="dxa"/>
            <w:noWrap w:val="0"/>
            <w:vAlign w:val="center"/>
          </w:tcPr>
          <w:p w14:paraId="44ED04CC">
            <w:pPr>
              <w:keepNext w:val="0"/>
              <w:keepLines w:val="0"/>
              <w:pageBreakBefore w:val="0"/>
              <w:numPr>
                <w:ilvl w:val="0"/>
                <w:numId w:val="10"/>
              </w:numPr>
              <w:kinsoku/>
              <w:wordWrap/>
              <w:overflowPunct/>
              <w:topLinePunct w:val="0"/>
              <w:bidi w:val="0"/>
              <w:adjustRightInd/>
              <w:snapToGrid/>
              <w:spacing w:line="400" w:lineRule="exact"/>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制定在验货时出现问题的方案：包括但不限于①</w:t>
            </w:r>
            <w:r>
              <w:rPr>
                <w:rFonts w:hint="eastAsia" w:cs="宋体"/>
                <w:color w:val="auto"/>
                <w:sz w:val="24"/>
                <w:szCs w:val="24"/>
                <w:highlight w:val="none"/>
                <w:lang w:val="en-US" w:eastAsia="zh-CN"/>
              </w:rPr>
              <w:t>应急方案措施；</w:t>
            </w:r>
            <w:r>
              <w:rPr>
                <w:rFonts w:hint="eastAsia" w:ascii="宋体" w:hAnsi="宋体" w:eastAsia="宋体" w:cs="宋体"/>
                <w:color w:val="auto"/>
                <w:sz w:val="24"/>
                <w:szCs w:val="24"/>
                <w:highlight w:val="none"/>
                <w:lang w:val="en-US" w:eastAsia="zh-CN"/>
              </w:rPr>
              <w:t>②响应速度快；③退换货服务方案描述无缺漏；</w:t>
            </w:r>
            <w:r>
              <w:rPr>
                <w:rFonts w:hint="eastAsia" w:cs="宋体"/>
                <w:color w:val="auto"/>
                <w:sz w:val="24"/>
                <w:szCs w:val="24"/>
                <w:highlight w:val="none"/>
                <w:lang w:val="en-US" w:eastAsia="zh-CN"/>
              </w:rPr>
              <w:t>④</w:t>
            </w:r>
            <w:r>
              <w:rPr>
                <w:rFonts w:hint="eastAsia" w:ascii="宋体" w:hAnsi="宋体" w:eastAsia="宋体" w:cs="宋体"/>
                <w:color w:val="auto"/>
                <w:sz w:val="24"/>
                <w:szCs w:val="24"/>
                <w:highlight w:val="none"/>
                <w:lang w:val="en-US" w:eastAsia="zh-CN"/>
              </w:rPr>
              <w:t>联系人员及电话。</w:t>
            </w:r>
          </w:p>
          <w:p w14:paraId="5E52E5D9">
            <w:pPr>
              <w:keepNext w:val="0"/>
              <w:keepLines w:val="0"/>
              <w:pageBreakBefore w:val="0"/>
              <w:numPr>
                <w:ilvl w:val="0"/>
                <w:numId w:val="10"/>
              </w:numPr>
              <w:kinsoku/>
              <w:wordWrap/>
              <w:overflowPunct/>
              <w:topLinePunct w:val="0"/>
              <w:bidi w:val="0"/>
              <w:adjustRightInd/>
              <w:snapToGrid/>
              <w:spacing w:line="400" w:lineRule="exact"/>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以上</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项内容齐全，针对性强、条理清晰、表述准确得分</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分。每缺少一项内容扣</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分，每一项存在缺陷扣0.</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分（缺陷是指在完整性、可实施性和针对性等方面存在瑕疵或实用性不强）。</w:t>
            </w:r>
          </w:p>
          <w:p w14:paraId="2379BD70">
            <w:pPr>
              <w:keepNext w:val="0"/>
              <w:keepLines w:val="0"/>
              <w:pageBreakBefore w:val="0"/>
              <w:numPr>
                <w:ilvl w:val="0"/>
                <w:numId w:val="10"/>
              </w:numPr>
              <w:kinsoku/>
              <w:wordWrap/>
              <w:overflowPunct/>
              <w:topLinePunct w:val="0"/>
              <w:bidi w:val="0"/>
              <w:adjustRightInd/>
              <w:snapToGrid/>
              <w:spacing w:line="400" w:lineRule="exact"/>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评审标准： </w:t>
            </w:r>
          </w:p>
          <w:p w14:paraId="3CA68F45">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完整性：方案须全面，对评审内容中的各项要求有详细描述； </w:t>
            </w:r>
          </w:p>
          <w:p w14:paraId="1C6CD634">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可实施性：切合本项目实际情况，实施步骤清晰、合理； </w:t>
            </w:r>
          </w:p>
          <w:p w14:paraId="11F985B2">
            <w:pPr>
              <w:keepNext w:val="0"/>
              <w:keepLines w:val="0"/>
              <w:pageBreakBefore w:val="0"/>
              <w:numPr>
                <w:ilvl w:val="0"/>
                <w:numId w:val="0"/>
              </w:numPr>
              <w:kinsoku/>
              <w:wordWrap/>
              <w:overflowPunct/>
              <w:topLinePunct w:val="0"/>
              <w:bidi w:val="0"/>
              <w:adjustRightInd/>
              <w:snapToGrid/>
              <w:spacing w:line="400" w:lineRule="exact"/>
              <w:ind w:leftChars="0" w:right="0" w:righ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针对性：方案能够紧扣项目实际情况，内容科学合理。</w:t>
            </w:r>
          </w:p>
        </w:tc>
      </w:tr>
      <w:tr w14:paraId="3FC56A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50" w:hRule="atLeast"/>
        </w:trPr>
        <w:tc>
          <w:tcPr>
            <w:tcW w:w="789" w:type="dxa"/>
            <w:noWrap w:val="0"/>
            <w:vAlign w:val="center"/>
          </w:tcPr>
          <w:p w14:paraId="46013DEF">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w:t>
            </w:r>
          </w:p>
          <w:p w14:paraId="60DFD878">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743" w:type="dxa"/>
            <w:noWrap w:val="0"/>
            <w:vAlign w:val="center"/>
          </w:tcPr>
          <w:p w14:paraId="6ECDE8A5">
            <w:pPr>
              <w:keepNext w:val="0"/>
              <w:keepLines w:val="0"/>
              <w:pageBreakBefore w:val="0"/>
              <w:kinsoku/>
              <w:wordWrap/>
              <w:overflowPunct/>
              <w:topLinePunct w:val="0"/>
              <w:bidi w:val="0"/>
              <w:adjustRightInd/>
              <w:snapToGrid/>
              <w:spacing w:line="400" w:lineRule="exact"/>
              <w:ind w:left="0" w:right="0"/>
              <w:jc w:val="center"/>
              <w:textAlignment w:val="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5</w:t>
            </w:r>
          </w:p>
        </w:tc>
        <w:tc>
          <w:tcPr>
            <w:tcW w:w="1467" w:type="dxa"/>
            <w:noWrap w:val="0"/>
            <w:vAlign w:val="center"/>
          </w:tcPr>
          <w:p w14:paraId="591ED04D">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业绩</w:t>
            </w:r>
          </w:p>
          <w:p w14:paraId="6C5F6395">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r>
              <w:rPr>
                <w:rFonts w:hint="eastAsia" w:cs="宋体"/>
                <w:color w:val="auto"/>
                <w:sz w:val="24"/>
                <w:szCs w:val="24"/>
                <w:highlight w:val="none"/>
                <w:lang w:val="en-US" w:eastAsia="zh-CN"/>
              </w:rPr>
              <w:t>）</w:t>
            </w:r>
          </w:p>
        </w:tc>
        <w:tc>
          <w:tcPr>
            <w:tcW w:w="6529" w:type="dxa"/>
            <w:noWrap w:val="0"/>
            <w:vAlign w:val="center"/>
          </w:tcPr>
          <w:p w14:paraId="08A9D95E">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供应商提供自2023年7月至今，具有同类项目业绩（</w:t>
            </w:r>
            <w:r>
              <w:rPr>
                <w:rFonts w:hint="eastAsia" w:cs="宋体"/>
                <w:color w:val="auto"/>
                <w:sz w:val="24"/>
                <w:szCs w:val="24"/>
                <w:highlight w:val="none"/>
                <w:lang w:val="en-US" w:eastAsia="zh-CN"/>
              </w:rPr>
              <w:t>包括但不限于各级各类学校、党政机关、企事业单位、医疗机构等食材配送服务项目</w:t>
            </w:r>
            <w:r>
              <w:rPr>
                <w:rFonts w:hint="eastAsia" w:ascii="宋体" w:hAnsi="宋体" w:eastAsia="宋体" w:cs="宋体"/>
                <w:color w:val="auto"/>
                <w:sz w:val="24"/>
                <w:szCs w:val="24"/>
                <w:highlight w:val="none"/>
                <w:lang w:val="en-US" w:eastAsia="zh-CN"/>
              </w:rPr>
              <w:t>），以合同复印件和中标通知书为准，每提供一个得</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分，满分</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tc>
      </w:tr>
      <w:tr w14:paraId="1532FE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19" w:hRule="atLeast"/>
        </w:trPr>
        <w:tc>
          <w:tcPr>
            <w:tcW w:w="2999" w:type="dxa"/>
            <w:gridSpan w:val="3"/>
            <w:noWrap w:val="0"/>
            <w:vAlign w:val="center"/>
          </w:tcPr>
          <w:p w14:paraId="13BF85FE">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评标程序</w:t>
            </w:r>
          </w:p>
          <w:p w14:paraId="5A6EB9EF">
            <w:pPr>
              <w:keepNext w:val="0"/>
              <w:keepLines w:val="0"/>
              <w:pageBreakBefore w:val="0"/>
              <w:kinsoku/>
              <w:wordWrap/>
              <w:overflowPunct/>
              <w:topLinePunct w:val="0"/>
              <w:bidi w:val="0"/>
              <w:adjustRightInd/>
              <w:snapToGrid/>
              <w:spacing w:line="400" w:lineRule="exact"/>
              <w:ind w:left="0" w:right="0"/>
              <w:jc w:val="center"/>
              <w:textAlignment w:val="auto"/>
              <w:rPr>
                <w:rFonts w:hint="eastAsia" w:ascii="宋体" w:hAnsi="宋体" w:eastAsia="宋体" w:cs="宋体"/>
                <w:color w:val="auto"/>
                <w:sz w:val="24"/>
                <w:szCs w:val="24"/>
                <w:highlight w:val="none"/>
                <w:lang w:val="en-US" w:eastAsia="zh-CN"/>
              </w:rPr>
            </w:pPr>
          </w:p>
        </w:tc>
        <w:tc>
          <w:tcPr>
            <w:tcW w:w="6529" w:type="dxa"/>
            <w:noWrap w:val="0"/>
            <w:vAlign w:val="top"/>
          </w:tcPr>
          <w:p w14:paraId="4E60FA7B">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1.开标后，由</w:t>
            </w:r>
            <w:r>
              <w:rPr>
                <w:rFonts w:hint="eastAsia" w:cs="宋体"/>
                <w:color w:val="auto"/>
                <w:sz w:val="24"/>
                <w:szCs w:val="24"/>
                <w:highlight w:val="none"/>
                <w:lang w:val="en-US" w:eastAsia="zh-CN"/>
              </w:rPr>
              <w:t>采购人或代理机构</w:t>
            </w:r>
            <w:r>
              <w:rPr>
                <w:rFonts w:hint="eastAsia" w:ascii="宋体" w:hAnsi="宋体" w:eastAsia="宋体" w:cs="宋体"/>
                <w:color w:val="auto"/>
                <w:sz w:val="24"/>
                <w:szCs w:val="24"/>
                <w:highlight w:val="none"/>
                <w:lang w:val="en-US" w:eastAsia="zh-CN"/>
              </w:rPr>
              <w:t xml:space="preserve">对投标单位进行资格性评审，资格性评审合格的响应文件进行符合性评审。不合格的单位，不再对其进行后续评审与分值评定。 </w:t>
            </w:r>
          </w:p>
          <w:p w14:paraId="39823C55">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2.如经过对所有供应商的响应文件进行评审，有效投标不足三个使得投标明显缺乏竞</w:t>
            </w:r>
            <w:r>
              <w:rPr>
                <w:rFonts w:hint="eastAsia" w:cs="宋体"/>
                <w:color w:val="auto"/>
                <w:sz w:val="24"/>
                <w:szCs w:val="24"/>
                <w:highlight w:val="none"/>
                <w:lang w:val="en-US" w:eastAsia="zh-CN"/>
              </w:rPr>
              <w:t>争性</w:t>
            </w:r>
            <w:r>
              <w:rPr>
                <w:rFonts w:hint="eastAsia" w:ascii="宋体" w:hAnsi="宋体" w:eastAsia="宋体" w:cs="宋体"/>
                <w:color w:val="auto"/>
                <w:sz w:val="24"/>
                <w:szCs w:val="24"/>
                <w:highlight w:val="none"/>
                <w:lang w:val="en-US" w:eastAsia="zh-CN"/>
              </w:rPr>
              <w:t>的，</w:t>
            </w:r>
            <w:r>
              <w:rPr>
                <w:rFonts w:hint="eastAsia" w:cs="宋体"/>
                <w:color w:val="auto"/>
                <w:sz w:val="24"/>
                <w:szCs w:val="24"/>
                <w:highlight w:val="none"/>
                <w:lang w:val="en-US" w:eastAsia="zh-CN"/>
              </w:rPr>
              <w:t>评标委员会</w:t>
            </w:r>
            <w:r>
              <w:rPr>
                <w:rFonts w:hint="eastAsia" w:ascii="宋体" w:hAnsi="宋体" w:eastAsia="宋体" w:cs="宋体"/>
                <w:color w:val="auto"/>
                <w:sz w:val="24"/>
                <w:szCs w:val="24"/>
                <w:highlight w:val="none"/>
                <w:lang w:val="en-US" w:eastAsia="zh-CN"/>
              </w:rPr>
              <w:t xml:space="preserve">可以否决全部投标。 </w:t>
            </w:r>
          </w:p>
          <w:p w14:paraId="53BF3C51">
            <w:pPr>
              <w:keepNext w:val="0"/>
              <w:keepLines w:val="0"/>
              <w:pageBreakBefore w:val="0"/>
              <w:kinsoku/>
              <w:wordWrap/>
              <w:overflowPunct/>
              <w:topLinePunct w:val="0"/>
              <w:bidi w:val="0"/>
              <w:adjustRightInd/>
              <w:snapToGrid/>
              <w:spacing w:line="400" w:lineRule="exact"/>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cs="宋体"/>
                <w:color w:val="auto"/>
                <w:sz w:val="24"/>
                <w:szCs w:val="24"/>
                <w:highlight w:val="none"/>
                <w:lang w:val="en-US" w:eastAsia="zh-CN"/>
              </w:rPr>
              <w:t>评标委员会</w:t>
            </w:r>
            <w:r>
              <w:rPr>
                <w:rFonts w:hint="eastAsia" w:ascii="宋体" w:hAnsi="宋体" w:eastAsia="宋体" w:cs="宋体"/>
                <w:color w:val="auto"/>
                <w:sz w:val="24"/>
                <w:szCs w:val="24"/>
                <w:highlight w:val="none"/>
                <w:lang w:val="en-US" w:eastAsia="zh-CN"/>
              </w:rPr>
              <w:t>应当根据综合评分情况，按照评审得分由高到低顺序推荐 3 名以上成交候选供应商，并编写评审报告报采购人。评审得分相同的，按照最后报价由低到高的顺序推荐。评审得分且最后报价相同的，按照</w:t>
            </w:r>
            <w:r>
              <w:rPr>
                <w:rFonts w:hint="eastAsia" w:cs="宋体"/>
                <w:color w:val="auto"/>
                <w:sz w:val="24"/>
                <w:szCs w:val="24"/>
                <w:highlight w:val="none"/>
                <w:lang w:val="en-US" w:eastAsia="zh-CN"/>
              </w:rPr>
              <w:t>投标</w:t>
            </w:r>
            <w:r>
              <w:rPr>
                <w:rFonts w:hint="eastAsia" w:ascii="宋体" w:hAnsi="宋体" w:eastAsia="宋体" w:cs="宋体"/>
                <w:color w:val="auto"/>
                <w:sz w:val="24"/>
                <w:szCs w:val="24"/>
                <w:highlight w:val="none"/>
                <w:lang w:val="en-US" w:eastAsia="zh-CN"/>
              </w:rPr>
              <w:t>方案优劣顺序推荐。</w:t>
            </w:r>
          </w:p>
        </w:tc>
      </w:tr>
    </w:tbl>
    <w:p w14:paraId="5D8C7C1E">
      <w:pPr>
        <w:pStyle w:val="12"/>
        <w:rPr>
          <w:rFonts w:hint="eastAsia"/>
          <w:color w:val="auto"/>
          <w:lang w:val="en-US" w:eastAsia="zh-CN"/>
        </w:rPr>
      </w:pPr>
    </w:p>
    <w:p w14:paraId="1D22DA4C">
      <w:pPr>
        <w:pStyle w:val="7"/>
        <w:keepNext w:val="0"/>
        <w:keepLines w:val="0"/>
        <w:pageBreakBefore w:val="0"/>
        <w:kinsoku/>
        <w:wordWrap/>
        <w:overflowPunct/>
        <w:topLinePunct w:val="0"/>
        <w:bidi w:val="0"/>
        <w:adjustRightInd/>
        <w:snapToGrid/>
        <w:spacing w:line="400" w:lineRule="exact"/>
        <w:ind w:left="0" w:leftChars="0" w:right="0" w:rightChars="0" w:firstLine="482" w:firstLineChars="200"/>
        <w:textAlignment w:val="auto"/>
        <w:rPr>
          <w:rFonts w:hint="eastAsia"/>
          <w:color w:val="auto"/>
          <w:lang w:val="en-US" w:eastAsia="zh-CN"/>
        </w:rPr>
      </w:pPr>
    </w:p>
    <w:p w14:paraId="46CE630A">
      <w:pPr>
        <w:pStyle w:val="7"/>
        <w:keepNext w:val="0"/>
        <w:keepLines w:val="0"/>
        <w:pageBreakBefore w:val="0"/>
        <w:kinsoku/>
        <w:wordWrap/>
        <w:overflowPunct/>
        <w:topLinePunct w:val="0"/>
        <w:bidi w:val="0"/>
        <w:adjustRightInd/>
        <w:snapToGrid/>
        <w:spacing w:line="400" w:lineRule="exact"/>
        <w:ind w:left="0" w:leftChars="0" w:right="0" w:rightChars="0" w:firstLine="482" w:firstLineChars="200"/>
        <w:textAlignment w:val="auto"/>
        <w:rPr>
          <w:rFonts w:hint="eastAsia"/>
          <w:color w:val="auto"/>
          <w:lang w:val="en-US" w:eastAsia="zh-CN"/>
        </w:rPr>
      </w:pPr>
    </w:p>
    <w:p w14:paraId="6FE7E3AB">
      <w:pPr>
        <w:pStyle w:val="7"/>
        <w:keepNext w:val="0"/>
        <w:keepLines w:val="0"/>
        <w:pageBreakBefore w:val="0"/>
        <w:kinsoku/>
        <w:wordWrap/>
        <w:overflowPunct/>
        <w:topLinePunct w:val="0"/>
        <w:bidi w:val="0"/>
        <w:adjustRightInd/>
        <w:snapToGrid/>
        <w:spacing w:line="400" w:lineRule="exact"/>
        <w:ind w:left="0" w:leftChars="0" w:right="0" w:rightChars="0" w:firstLine="482" w:firstLineChars="200"/>
        <w:textAlignment w:val="auto"/>
        <w:rPr>
          <w:rFonts w:hint="eastAsia"/>
          <w:color w:val="auto"/>
          <w:lang w:val="en-US" w:eastAsia="zh-CN"/>
        </w:rPr>
      </w:pPr>
    </w:p>
    <w:p w14:paraId="7D3C9630">
      <w:pPr>
        <w:pStyle w:val="7"/>
        <w:keepNext w:val="0"/>
        <w:keepLines w:val="0"/>
        <w:pageBreakBefore w:val="0"/>
        <w:kinsoku/>
        <w:wordWrap/>
        <w:overflowPunct/>
        <w:topLinePunct w:val="0"/>
        <w:bidi w:val="0"/>
        <w:adjustRightInd/>
        <w:snapToGrid/>
        <w:spacing w:line="400" w:lineRule="exact"/>
        <w:ind w:left="0" w:leftChars="0" w:right="0" w:rightChars="0" w:firstLine="482" w:firstLineChars="200"/>
        <w:textAlignment w:val="auto"/>
        <w:rPr>
          <w:rFonts w:hint="eastAsia"/>
          <w:color w:val="auto"/>
          <w:lang w:val="en-US" w:eastAsia="zh-CN"/>
        </w:rPr>
      </w:pPr>
    </w:p>
    <w:p w14:paraId="5739933E">
      <w:pPr>
        <w:pStyle w:val="7"/>
        <w:keepNext w:val="0"/>
        <w:keepLines w:val="0"/>
        <w:pageBreakBefore w:val="0"/>
        <w:kinsoku/>
        <w:wordWrap/>
        <w:overflowPunct/>
        <w:topLinePunct w:val="0"/>
        <w:bidi w:val="0"/>
        <w:adjustRightInd/>
        <w:snapToGrid/>
        <w:spacing w:line="400" w:lineRule="exact"/>
        <w:ind w:left="0" w:leftChars="0" w:right="0" w:rightChars="0" w:firstLine="482" w:firstLineChars="200"/>
        <w:textAlignment w:val="auto"/>
        <w:rPr>
          <w:rFonts w:hint="eastAsia"/>
          <w:color w:val="auto"/>
          <w:lang w:val="en-US" w:eastAsia="zh-CN"/>
        </w:rPr>
      </w:pPr>
    </w:p>
    <w:p w14:paraId="3AC8BB09">
      <w:pPr>
        <w:pStyle w:val="7"/>
        <w:keepNext w:val="0"/>
        <w:keepLines w:val="0"/>
        <w:pageBreakBefore w:val="0"/>
        <w:kinsoku/>
        <w:wordWrap/>
        <w:overflowPunct/>
        <w:topLinePunct w:val="0"/>
        <w:bidi w:val="0"/>
        <w:adjustRightInd/>
        <w:snapToGrid/>
        <w:spacing w:line="400" w:lineRule="exact"/>
        <w:ind w:left="0" w:leftChars="0" w:right="0" w:rightChars="0" w:firstLine="482" w:firstLineChars="200"/>
        <w:textAlignment w:val="auto"/>
        <w:rPr>
          <w:rFonts w:hint="eastAsia"/>
          <w:color w:val="auto"/>
          <w:lang w:val="en-US" w:eastAsia="zh-CN"/>
        </w:rPr>
      </w:pPr>
    </w:p>
    <w:p w14:paraId="4ED47674">
      <w:pPr>
        <w:pStyle w:val="7"/>
        <w:keepNext w:val="0"/>
        <w:keepLines w:val="0"/>
        <w:pageBreakBefore w:val="0"/>
        <w:kinsoku/>
        <w:wordWrap/>
        <w:overflowPunct/>
        <w:topLinePunct w:val="0"/>
        <w:bidi w:val="0"/>
        <w:adjustRightInd/>
        <w:snapToGrid/>
        <w:spacing w:line="400" w:lineRule="exact"/>
        <w:ind w:left="0" w:leftChars="0" w:right="0" w:rightChars="0" w:firstLine="482" w:firstLineChars="200"/>
        <w:textAlignment w:val="auto"/>
        <w:rPr>
          <w:rFonts w:hint="eastAsia"/>
          <w:color w:val="auto"/>
          <w:lang w:val="en-US" w:eastAsia="zh-CN"/>
        </w:rPr>
      </w:pPr>
    </w:p>
    <w:p w14:paraId="48D13135">
      <w:pPr>
        <w:pStyle w:val="7"/>
        <w:keepNext w:val="0"/>
        <w:keepLines w:val="0"/>
        <w:pageBreakBefore w:val="0"/>
        <w:kinsoku/>
        <w:wordWrap/>
        <w:overflowPunct/>
        <w:topLinePunct w:val="0"/>
        <w:bidi w:val="0"/>
        <w:adjustRightInd/>
        <w:snapToGrid/>
        <w:spacing w:line="400" w:lineRule="exact"/>
        <w:ind w:left="0" w:leftChars="0" w:right="0" w:rightChars="0" w:firstLine="482" w:firstLineChars="200"/>
        <w:textAlignment w:val="auto"/>
        <w:rPr>
          <w:rFonts w:hint="eastAsia"/>
          <w:color w:val="auto"/>
          <w:lang w:val="en-US" w:eastAsia="zh-CN"/>
        </w:rPr>
      </w:pPr>
    </w:p>
    <w:p w14:paraId="0F0A1E88">
      <w:pPr>
        <w:pStyle w:val="7"/>
        <w:keepNext w:val="0"/>
        <w:keepLines w:val="0"/>
        <w:pageBreakBefore w:val="0"/>
        <w:kinsoku/>
        <w:wordWrap/>
        <w:overflowPunct/>
        <w:topLinePunct w:val="0"/>
        <w:bidi w:val="0"/>
        <w:adjustRightInd/>
        <w:snapToGrid/>
        <w:spacing w:line="400" w:lineRule="exact"/>
        <w:ind w:left="0" w:leftChars="0" w:right="0" w:rightChars="0" w:firstLine="482" w:firstLineChars="200"/>
        <w:textAlignment w:val="auto"/>
        <w:rPr>
          <w:rFonts w:hint="eastAsia"/>
          <w:color w:val="auto"/>
          <w:lang w:val="en-US" w:eastAsia="zh-CN"/>
        </w:rPr>
      </w:pPr>
    </w:p>
    <w:p w14:paraId="147130ED">
      <w:pPr>
        <w:pStyle w:val="7"/>
        <w:keepNext w:val="0"/>
        <w:keepLines w:val="0"/>
        <w:pageBreakBefore w:val="0"/>
        <w:kinsoku/>
        <w:wordWrap/>
        <w:overflowPunct/>
        <w:topLinePunct w:val="0"/>
        <w:bidi w:val="0"/>
        <w:adjustRightInd/>
        <w:snapToGrid/>
        <w:spacing w:line="400" w:lineRule="exact"/>
        <w:ind w:left="0" w:leftChars="0" w:right="0" w:rightChars="0" w:firstLine="482" w:firstLineChars="200"/>
        <w:textAlignment w:val="auto"/>
        <w:rPr>
          <w:rFonts w:hint="eastAsia"/>
          <w:color w:val="auto"/>
          <w:lang w:val="en-US" w:eastAsia="zh-CN"/>
        </w:rPr>
      </w:pPr>
    </w:p>
    <w:p w14:paraId="4599D99D">
      <w:pPr>
        <w:pStyle w:val="7"/>
        <w:keepNext w:val="0"/>
        <w:keepLines w:val="0"/>
        <w:pageBreakBefore w:val="0"/>
        <w:kinsoku/>
        <w:wordWrap/>
        <w:overflowPunct/>
        <w:topLinePunct w:val="0"/>
        <w:bidi w:val="0"/>
        <w:adjustRightInd/>
        <w:snapToGrid/>
        <w:spacing w:line="400" w:lineRule="exact"/>
        <w:ind w:left="0" w:leftChars="0" w:right="0" w:rightChars="0" w:firstLine="482" w:firstLineChars="200"/>
        <w:textAlignment w:val="auto"/>
        <w:rPr>
          <w:rFonts w:hint="eastAsia"/>
          <w:color w:val="auto"/>
          <w:lang w:val="en-US" w:eastAsia="zh-CN"/>
        </w:rPr>
      </w:pPr>
    </w:p>
    <w:p w14:paraId="6585A485">
      <w:pPr>
        <w:pStyle w:val="7"/>
        <w:keepNext w:val="0"/>
        <w:keepLines w:val="0"/>
        <w:pageBreakBefore w:val="0"/>
        <w:kinsoku/>
        <w:wordWrap/>
        <w:overflowPunct/>
        <w:topLinePunct w:val="0"/>
        <w:bidi w:val="0"/>
        <w:adjustRightInd/>
        <w:snapToGrid/>
        <w:spacing w:line="400" w:lineRule="exact"/>
        <w:ind w:left="0" w:leftChars="0" w:right="0" w:rightChars="0" w:firstLine="482" w:firstLineChars="200"/>
        <w:textAlignment w:val="auto"/>
        <w:rPr>
          <w:rFonts w:hint="eastAsia"/>
          <w:color w:val="auto"/>
          <w:lang w:val="en-US" w:eastAsia="zh-CN"/>
        </w:rPr>
      </w:pPr>
    </w:p>
    <w:p w14:paraId="7C6B58EB">
      <w:pPr>
        <w:pStyle w:val="7"/>
        <w:keepNext w:val="0"/>
        <w:keepLines w:val="0"/>
        <w:pageBreakBefore w:val="0"/>
        <w:kinsoku/>
        <w:wordWrap/>
        <w:overflowPunct/>
        <w:topLinePunct w:val="0"/>
        <w:bidi w:val="0"/>
        <w:adjustRightInd/>
        <w:snapToGrid/>
        <w:spacing w:line="400" w:lineRule="exact"/>
        <w:ind w:left="0" w:leftChars="0" w:right="0" w:rightChars="0" w:firstLine="482" w:firstLineChars="200"/>
        <w:textAlignment w:val="auto"/>
        <w:rPr>
          <w:rFonts w:hint="eastAsia"/>
          <w:color w:val="auto"/>
          <w:lang w:val="en-US" w:eastAsia="zh-CN"/>
        </w:rPr>
      </w:pPr>
    </w:p>
    <w:p w14:paraId="4495966D">
      <w:pPr>
        <w:pStyle w:val="7"/>
        <w:keepNext w:val="0"/>
        <w:keepLines w:val="0"/>
        <w:pageBreakBefore w:val="0"/>
        <w:kinsoku/>
        <w:wordWrap/>
        <w:overflowPunct/>
        <w:topLinePunct w:val="0"/>
        <w:bidi w:val="0"/>
        <w:adjustRightInd/>
        <w:snapToGrid/>
        <w:spacing w:line="400" w:lineRule="exact"/>
        <w:ind w:left="0" w:leftChars="0" w:right="0" w:rightChars="0" w:firstLine="482" w:firstLineChars="200"/>
        <w:textAlignment w:val="auto"/>
        <w:rPr>
          <w:rFonts w:hint="eastAsia"/>
          <w:color w:val="auto"/>
          <w:lang w:val="en-US" w:eastAsia="zh-CN"/>
        </w:rPr>
      </w:pPr>
    </w:p>
    <w:p w14:paraId="6D7D2FB4">
      <w:pPr>
        <w:pStyle w:val="7"/>
        <w:keepNext w:val="0"/>
        <w:keepLines w:val="0"/>
        <w:pageBreakBefore w:val="0"/>
        <w:kinsoku/>
        <w:wordWrap/>
        <w:overflowPunct/>
        <w:topLinePunct w:val="0"/>
        <w:bidi w:val="0"/>
        <w:adjustRightInd/>
        <w:snapToGrid/>
        <w:spacing w:line="400" w:lineRule="exact"/>
        <w:ind w:left="0" w:leftChars="0" w:right="0" w:rightChars="0" w:firstLine="482" w:firstLineChars="200"/>
        <w:textAlignment w:val="auto"/>
        <w:rPr>
          <w:rFonts w:hint="eastAsia"/>
          <w:color w:val="auto"/>
          <w:lang w:val="en-US" w:eastAsia="zh-CN"/>
        </w:rPr>
      </w:pPr>
    </w:p>
    <w:p w14:paraId="6726E825">
      <w:pPr>
        <w:pStyle w:val="7"/>
        <w:keepNext w:val="0"/>
        <w:keepLines w:val="0"/>
        <w:pageBreakBefore w:val="0"/>
        <w:kinsoku/>
        <w:wordWrap/>
        <w:overflowPunct/>
        <w:topLinePunct w:val="0"/>
        <w:bidi w:val="0"/>
        <w:adjustRightInd/>
        <w:snapToGrid/>
        <w:spacing w:line="400" w:lineRule="exact"/>
        <w:ind w:left="0" w:leftChars="0" w:right="0" w:rightChars="0" w:firstLine="482" w:firstLineChars="200"/>
        <w:textAlignment w:val="auto"/>
        <w:rPr>
          <w:rFonts w:hint="eastAsia"/>
          <w:color w:val="auto"/>
          <w:lang w:val="en-US" w:eastAsia="zh-CN"/>
        </w:rPr>
      </w:pPr>
    </w:p>
    <w:p w14:paraId="5CDB46FB">
      <w:pPr>
        <w:pStyle w:val="7"/>
        <w:keepNext w:val="0"/>
        <w:keepLines w:val="0"/>
        <w:pageBreakBefore w:val="0"/>
        <w:kinsoku/>
        <w:wordWrap/>
        <w:overflowPunct/>
        <w:topLinePunct w:val="0"/>
        <w:bidi w:val="0"/>
        <w:adjustRightInd/>
        <w:snapToGrid/>
        <w:spacing w:line="400" w:lineRule="exact"/>
        <w:ind w:left="0" w:leftChars="0" w:right="0" w:rightChars="0" w:firstLine="482" w:firstLineChars="200"/>
        <w:textAlignment w:val="auto"/>
        <w:rPr>
          <w:rFonts w:hint="eastAsia"/>
          <w:color w:val="auto"/>
          <w:lang w:val="en-US" w:eastAsia="zh-CN"/>
        </w:rPr>
      </w:pPr>
    </w:p>
    <w:p w14:paraId="332B8BCF">
      <w:pPr>
        <w:pageBreakBefore w:val="0"/>
        <w:topLinePunct w:val="0"/>
        <w:bidi w:val="0"/>
        <w:spacing w:line="500" w:lineRule="exact"/>
        <w:ind w:right="0" w:rightChars="0"/>
        <w:rPr>
          <w:rFonts w:hint="eastAsia"/>
          <w:b/>
          <w:bCs/>
          <w:color w:val="auto"/>
          <w:sz w:val="24"/>
          <w:szCs w:val="24"/>
          <w:lang w:val="en-US" w:eastAsia="zh-CN"/>
        </w:rPr>
      </w:pPr>
    </w:p>
    <w:p w14:paraId="31268098">
      <w:pPr>
        <w:pageBreakBefore w:val="0"/>
        <w:topLinePunct w:val="0"/>
        <w:bidi w:val="0"/>
        <w:spacing w:line="500" w:lineRule="exact"/>
        <w:ind w:left="0" w:leftChars="0" w:right="0" w:rightChars="0" w:firstLine="482" w:firstLineChars="200"/>
        <w:rPr>
          <w:color w:val="auto"/>
          <w:sz w:val="24"/>
          <w:szCs w:val="24"/>
          <w:lang w:val="en-US"/>
        </w:rPr>
      </w:pPr>
      <w:r>
        <w:rPr>
          <w:rFonts w:hint="eastAsia"/>
          <w:b/>
          <w:bCs/>
          <w:color w:val="auto"/>
          <w:sz w:val="24"/>
          <w:szCs w:val="24"/>
          <w:lang w:val="en-US" w:eastAsia="zh-CN"/>
        </w:rPr>
        <w:t>注：</w:t>
      </w:r>
      <w:r>
        <w:rPr>
          <w:rFonts w:hint="eastAsia"/>
          <w:color w:val="auto"/>
          <w:sz w:val="24"/>
          <w:szCs w:val="24"/>
          <w:lang w:val="en-US"/>
        </w:rPr>
        <w:t>（1</w:t>
      </w:r>
      <w:r>
        <w:rPr>
          <w:rFonts w:hint="eastAsia"/>
          <w:color w:val="auto"/>
          <w:sz w:val="24"/>
          <w:szCs w:val="24"/>
          <w:lang w:val="en-US" w:eastAsia="zh-CN"/>
        </w:rPr>
        <w:t>）</w:t>
      </w:r>
      <w:r>
        <w:rPr>
          <w:rFonts w:hint="eastAsia"/>
          <w:color w:val="auto"/>
          <w:sz w:val="24"/>
          <w:szCs w:val="24"/>
          <w:lang w:val="en-US"/>
        </w:rPr>
        <w:t>若出现综合得分并列时，比较价格得分，此分项得分高者排序在前；若投标报价得分仍相同，则由评标委员会无记名投票，得票高者排序在前。</w:t>
      </w:r>
    </w:p>
    <w:p w14:paraId="5A69314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（2）评委打分超过得分界限或未按本方法赋分时，该评委的打分按废票处理。</w:t>
      </w:r>
    </w:p>
    <w:p w14:paraId="13F1BBCF">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（3）各种计算采用插入法，数字均保留两位小数，第三位“四舍五入”。</w:t>
      </w:r>
    </w:p>
    <w:p w14:paraId="3FCDFADC">
      <w:pPr>
        <w:pageBreakBefore w:val="0"/>
        <w:topLinePunct w:val="0"/>
        <w:bidi w:val="0"/>
        <w:spacing w:line="500" w:lineRule="exact"/>
        <w:ind w:left="0" w:leftChars="0" w:right="0" w:rightChars="0" w:firstLine="480" w:firstLineChars="200"/>
        <w:rPr>
          <w:b/>
          <w:bCs/>
          <w:color w:val="auto"/>
          <w:sz w:val="24"/>
          <w:szCs w:val="24"/>
          <w:lang w:val="en-US"/>
        </w:rPr>
      </w:pPr>
      <w:r>
        <w:rPr>
          <w:rFonts w:hint="eastAsia"/>
          <w:color w:val="auto"/>
          <w:sz w:val="24"/>
          <w:szCs w:val="24"/>
          <w:lang w:val="en-US"/>
        </w:rPr>
        <w:t>（4）</w:t>
      </w:r>
      <w:bookmarkStart w:id="10" w:name="_Toc5783"/>
      <w:r>
        <w:rPr>
          <w:rFonts w:hint="eastAsia"/>
          <w:color w:val="auto"/>
          <w:sz w:val="24"/>
          <w:szCs w:val="24"/>
          <w:lang w:val="en-US"/>
        </w:rPr>
        <w:t>政策性扣减范围</w:t>
      </w:r>
      <w:bookmarkEnd w:id="10"/>
    </w:p>
    <w:p w14:paraId="2D3946F6">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1.供应商符合小型、微型企业或监狱企业、残疾人福利性单位条件的，其投标报价价格评审时将按相应比例进行扣减。</w:t>
      </w:r>
    </w:p>
    <w:p w14:paraId="749D69C9">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2.依照关于印发《政府采购促进中小企业发展管理办法》（财库〔2020〕46号）的规定，小型、微型企业应当同时符合以下条件：</w:t>
      </w:r>
    </w:p>
    <w:p w14:paraId="3245F0C5">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（1）符合中小企业划分标准（中小企业划分标准是指国务院有关部门根据企业从业人员、营业收入、资产总额等指标制定的中小企业划型标准（工信部联企业〔2011〕300号））。</w:t>
      </w:r>
    </w:p>
    <w:p w14:paraId="17DBF9C0">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（2）提供本企业制造的货物、承担的工程或者服务，或者提供其他中小企业制造的货物，不包括提供或使用大型企业注册商标的货物。</w:t>
      </w:r>
    </w:p>
    <w:p w14:paraId="7FAB104F">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（3）小型、微型企业提供中型企业制造的货物的，视同为中型企业；小型、微型、中型企业提供大型企业制造的货物的，视同为大型企业。</w:t>
      </w:r>
    </w:p>
    <w:p w14:paraId="3086F51E">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3.采购人拟采购产品属于优先采购节能、环境标志产品范围的，应当优先采购节能、环境标志产品；拟采购产品符合政府采购强制采购政策的，实行强制采购。</w:t>
      </w:r>
    </w:p>
    <w:p w14:paraId="35C5A325">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（1）采购人依据节能产品、环境标志产品品目清单和节能、环境标志产品认证证书实施政府优先采购和强制采购。</w:t>
      </w:r>
    </w:p>
    <w:p w14:paraId="4459FBD4">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采购人拟采购的产品属于品目清单范围的，采购人及其委托的采购代理机构将依据国家确定的认证机构出具的、处于有效期之内的节能、环境标志产品认证证书，对获得证书的产品实施政府优先采购或强制采购。</w:t>
      </w:r>
    </w:p>
    <w:p w14:paraId="0F7FD08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4.监狱企业参加政府采购活动时，应当提供由省级以上监狱管理局、戒毒管理局</w:t>
      </w:r>
      <w:r>
        <w:rPr>
          <w:rFonts w:hint="eastAsia"/>
          <w:color w:val="auto"/>
          <w:sz w:val="24"/>
          <w:szCs w:val="24"/>
          <w:lang w:val="en-US" w:eastAsia="zh-CN"/>
        </w:rPr>
        <w:t>（</w:t>
      </w:r>
      <w:r>
        <w:rPr>
          <w:rFonts w:hint="eastAsia"/>
          <w:color w:val="auto"/>
          <w:sz w:val="24"/>
          <w:szCs w:val="24"/>
          <w:lang w:val="en-US"/>
        </w:rPr>
        <w:t>含新疆生产建设兵团</w:t>
      </w:r>
      <w:r>
        <w:rPr>
          <w:rFonts w:hint="eastAsia"/>
          <w:color w:val="auto"/>
          <w:sz w:val="24"/>
          <w:szCs w:val="24"/>
          <w:lang w:val="en-US" w:eastAsia="zh-CN"/>
        </w:rPr>
        <w:t>）</w:t>
      </w:r>
      <w:r>
        <w:rPr>
          <w:rFonts w:hint="eastAsia"/>
          <w:color w:val="auto"/>
          <w:sz w:val="24"/>
          <w:szCs w:val="24"/>
          <w:lang w:val="en-US"/>
        </w:rPr>
        <w:t>出具的属于监狱企业的证明文件。监狱企业参加政府采购活动时，视同小型、微型企业。</w:t>
      </w:r>
    </w:p>
    <w:p w14:paraId="36FF4E1A">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5.符合条件的残疾人福利性单位在参加政府采购活动时，应当提供本通知规定的《残疾人福利性单位声明函》，并对声明的真实性负责。残疾人福利性单位参加政府采购活动时，视同小型、微型企业；残疾人福利性单位属于小型、微型企业的，不重复享受政策。</w:t>
      </w:r>
    </w:p>
    <w:p w14:paraId="226DFACD">
      <w:pPr>
        <w:pageBreakBefore w:val="0"/>
        <w:topLinePunct w:val="0"/>
        <w:bidi w:val="0"/>
        <w:spacing w:line="500" w:lineRule="exact"/>
        <w:ind w:left="0" w:leftChars="0" w:right="0" w:rightChars="0" w:firstLine="480" w:firstLineChars="200"/>
        <w:rPr>
          <w:color w:val="auto"/>
          <w:sz w:val="24"/>
          <w:szCs w:val="24"/>
          <w:lang w:val="en-US"/>
        </w:rPr>
      </w:pPr>
      <w:bookmarkStart w:id="11" w:name="_Toc9727"/>
      <w:r>
        <w:rPr>
          <w:rFonts w:hint="eastAsia"/>
          <w:color w:val="auto"/>
          <w:sz w:val="24"/>
          <w:szCs w:val="24"/>
          <w:lang w:val="en-US"/>
        </w:rPr>
        <w:t>6.政策性扣减方式：</w:t>
      </w:r>
      <w:bookmarkEnd w:id="11"/>
    </w:p>
    <w:p w14:paraId="2A95EB95">
      <w:pPr>
        <w:pageBreakBefore w:val="0"/>
        <w:topLinePunct w:val="0"/>
        <w:bidi w:val="0"/>
        <w:spacing w:line="500" w:lineRule="exact"/>
        <w:ind w:left="0" w:leftChars="0" w:right="0" w:rightChars="0" w:firstLine="482" w:firstLineChars="200"/>
        <w:rPr>
          <w:rFonts w:hint="eastAsia"/>
          <w:b/>
          <w:bCs/>
          <w:color w:val="auto"/>
          <w:sz w:val="24"/>
          <w:szCs w:val="24"/>
          <w:lang w:val="en-US" w:eastAsia="zh-CN"/>
        </w:rPr>
      </w:pPr>
      <w:r>
        <w:rPr>
          <w:rFonts w:hint="eastAsia"/>
          <w:b/>
          <w:bCs/>
          <w:color w:val="auto"/>
          <w:sz w:val="24"/>
          <w:szCs w:val="24"/>
          <w:lang w:val="en-US" w:eastAsia="zh-CN"/>
        </w:rPr>
        <w:t>（1）符合招标文件规定的小微企业、监狱企业或残疾人福利性单位优惠条件的供应商，价格给予10%的扣除（不重复优惠，最高为10%），用扣除后的价格参与评审；</w:t>
      </w:r>
    </w:p>
    <w:p w14:paraId="6EDAC056">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w:t>
      </w:r>
      <w:r>
        <w:rPr>
          <w:rFonts w:hint="eastAsia"/>
          <w:color w:val="auto"/>
          <w:sz w:val="24"/>
          <w:szCs w:val="24"/>
          <w:lang w:val="en-US" w:eastAsia="zh-CN"/>
        </w:rPr>
        <w:t>2</w:t>
      </w:r>
      <w:r>
        <w:rPr>
          <w:rFonts w:hint="eastAsia"/>
          <w:color w:val="auto"/>
          <w:sz w:val="24"/>
          <w:szCs w:val="24"/>
          <w:lang w:val="en-US"/>
        </w:rPr>
        <w:t>）供应商享受支持中小型企业发展政策优惠的，可以同时享受节能、环境标志产品优先采购政策。</w:t>
      </w:r>
    </w:p>
    <w:p w14:paraId="2D7145E2">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7.为支持和促进中小企业发展，进一步发挥政府采购政策功能作用，有效缓解中小企业融资难等问题，根据财政部财库</w:t>
      </w:r>
      <w:r>
        <w:rPr>
          <w:rFonts w:hint="eastAsia"/>
          <w:color w:val="auto"/>
          <w:sz w:val="24"/>
          <w:szCs w:val="24"/>
          <w:lang w:val="en-US" w:eastAsia="zh-CN"/>
        </w:rPr>
        <w:t>〔2011〕124号</w:t>
      </w:r>
      <w:r>
        <w:rPr>
          <w:rFonts w:hint="eastAsia"/>
          <w:color w:val="auto"/>
          <w:sz w:val="24"/>
          <w:szCs w:val="24"/>
          <w:lang w:val="en-US"/>
        </w:rPr>
        <w:t>文件的精神，陕西省财政厅制订了《陕西省政府采购信用担保试点工作实施方案（试行）》，为参与陕西省政府采购项目的</w:t>
      </w:r>
      <w:r>
        <w:rPr>
          <w:rFonts w:hint="eastAsia"/>
          <w:color w:val="auto"/>
          <w:sz w:val="24"/>
          <w:szCs w:val="24"/>
          <w:lang w:val="en-US" w:eastAsia="zh-CN"/>
        </w:rPr>
        <w:t>供应商</w:t>
      </w:r>
      <w:r>
        <w:rPr>
          <w:rFonts w:hint="eastAsia"/>
          <w:color w:val="auto"/>
          <w:sz w:val="24"/>
          <w:szCs w:val="24"/>
          <w:lang w:val="en-US"/>
        </w:rPr>
        <w:t>提供政府采购信用担保，并按照程序确定了合作的担保机构。中标（成交）</w:t>
      </w:r>
      <w:r>
        <w:rPr>
          <w:rFonts w:hint="eastAsia"/>
          <w:color w:val="auto"/>
          <w:sz w:val="24"/>
          <w:szCs w:val="24"/>
          <w:lang w:val="en-US" w:eastAsia="zh-CN"/>
        </w:rPr>
        <w:t>供应商</w:t>
      </w:r>
      <w:r>
        <w:rPr>
          <w:rFonts w:hint="eastAsia"/>
          <w:color w:val="auto"/>
          <w:sz w:val="24"/>
          <w:szCs w:val="24"/>
          <w:lang w:val="en-US"/>
        </w:rPr>
        <w:t>缴纳履约保证金时可自愿选择通过担保机构保函的形式缴纳</w:t>
      </w:r>
      <w:r>
        <w:rPr>
          <w:rFonts w:hint="eastAsia"/>
          <w:color w:val="auto"/>
          <w:sz w:val="24"/>
          <w:szCs w:val="24"/>
          <w:lang w:val="en-US" w:eastAsia="zh-CN"/>
        </w:rPr>
        <w:t>；供应商</w:t>
      </w:r>
      <w:r>
        <w:rPr>
          <w:rFonts w:hint="eastAsia"/>
          <w:color w:val="auto"/>
          <w:sz w:val="24"/>
          <w:szCs w:val="24"/>
          <w:lang w:val="en-US"/>
        </w:rPr>
        <w:t>如果需要融资贷款服务的，可凭成交通知书、政府采购合同等相关资料，按照文件规定的程序申请办理，具体规定</w:t>
      </w:r>
      <w:r>
        <w:rPr>
          <w:rFonts w:hint="eastAsia"/>
          <w:color w:val="auto"/>
          <w:sz w:val="24"/>
          <w:szCs w:val="24"/>
          <w:lang w:val="en-US" w:eastAsia="zh-CN"/>
        </w:rPr>
        <w:t>可登录</w:t>
      </w:r>
      <w:r>
        <w:rPr>
          <w:rFonts w:hint="eastAsia"/>
          <w:color w:val="auto"/>
          <w:sz w:val="24"/>
          <w:szCs w:val="24"/>
          <w:lang w:val="en-US"/>
        </w:rPr>
        <w:t>陕西省政府采购网（www.ccgp-shaanxi.gov.cn</w:t>
      </w:r>
      <w:r>
        <w:rPr>
          <w:rFonts w:hint="eastAsia"/>
          <w:color w:val="auto"/>
          <w:sz w:val="24"/>
          <w:szCs w:val="24"/>
          <w:lang w:val="en-US" w:eastAsia="zh-CN"/>
        </w:rPr>
        <w:t>）</w:t>
      </w:r>
      <w:r>
        <w:rPr>
          <w:rFonts w:hint="eastAsia"/>
          <w:color w:val="auto"/>
          <w:sz w:val="24"/>
          <w:szCs w:val="24"/>
          <w:lang w:val="en-US"/>
        </w:rPr>
        <w:t>重要通知专栏中查询了解。</w:t>
      </w:r>
    </w:p>
    <w:p w14:paraId="3678A66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8.供应商为中小企业的，可依据《陕西省中小企业政府采购信用融资办法》（陕财办采〔2018〕23号）申请信用融资，供应商获得政府采购合同后，凭政府采购合同向银行提出融资申请。并根据各银行提供的方案，自行选择符合自身情况的金融产品，银行根据供应商的申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具体</w:t>
      </w:r>
      <w:r>
        <w:rPr>
          <w:rFonts w:hint="eastAsia"/>
          <w:color w:val="auto"/>
          <w:sz w:val="24"/>
          <w:szCs w:val="24"/>
          <w:lang w:val="en-US" w:eastAsia="zh-CN"/>
        </w:rPr>
        <w:t>可登录</w:t>
      </w:r>
      <w:r>
        <w:rPr>
          <w:rFonts w:hint="eastAsia"/>
          <w:color w:val="auto"/>
          <w:sz w:val="24"/>
          <w:szCs w:val="24"/>
          <w:lang w:val="en-US"/>
        </w:rPr>
        <w:t>http∶//www.ccgpshaanxi.gov.cn/zcdservice/zcd/shananxi（陕西省政府采购信用融资平台）查看办理。</w:t>
      </w:r>
    </w:p>
    <w:p w14:paraId="6890CE42">
      <w:pPr>
        <w:pStyle w:val="5"/>
        <w:pageBreakBefore w:val="0"/>
        <w:topLinePunct w:val="0"/>
        <w:bidi w:val="0"/>
        <w:spacing w:line="500" w:lineRule="exact"/>
        <w:ind w:left="0" w:leftChars="0" w:right="0" w:rightChars="0" w:firstLine="562" w:firstLineChars="200"/>
        <w:rPr>
          <w:color w:val="auto"/>
        </w:rPr>
      </w:pPr>
      <w:r>
        <w:rPr>
          <w:color w:val="auto"/>
        </w:rPr>
        <w:t>七、确定中标</w:t>
      </w:r>
    </w:p>
    <w:p w14:paraId="45E3FCB0">
      <w:pPr>
        <w:pStyle w:val="7"/>
        <w:pageBreakBefore w:val="0"/>
        <w:topLinePunct w:val="0"/>
        <w:bidi w:val="0"/>
        <w:spacing w:line="500" w:lineRule="exact"/>
        <w:ind w:left="0" w:leftChars="0" w:right="0" w:rightChars="0" w:firstLine="482" w:firstLineChars="200"/>
        <w:rPr>
          <w:color w:val="auto"/>
        </w:rPr>
      </w:pPr>
      <w:r>
        <w:rPr>
          <w:rFonts w:hint="eastAsia"/>
          <w:color w:val="auto"/>
        </w:rPr>
        <w:t>1</w:t>
      </w:r>
      <w:r>
        <w:rPr>
          <w:rFonts w:hint="eastAsia"/>
          <w:color w:val="auto"/>
          <w:lang w:val="en-US" w:eastAsia="zh-CN"/>
        </w:rPr>
        <w:t>.</w:t>
      </w:r>
      <w:r>
        <w:rPr>
          <w:rFonts w:hint="eastAsia"/>
          <w:color w:val="auto"/>
        </w:rPr>
        <w:t>定标程序</w:t>
      </w:r>
    </w:p>
    <w:p w14:paraId="6EA3675F">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1.1评标委员会依据评标办法，经过初审、澄清、比较与评价等程序后，在最大限度满足招标文件实质性要求前提下进行综合评审，以评标总得分最高到低的顺序推荐 3 名中标候选人，并编写评标报告。</w:t>
      </w:r>
    </w:p>
    <w:p w14:paraId="42322FDF">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1.2采购代理机构应当自评审结束之日起 2 个工作日内将评审报告送交采购人。采购人在收到评审报告 5 个工作日内，从评审报告推荐的中标候选人中，以评标总分最高的</w:t>
      </w:r>
      <w:r>
        <w:rPr>
          <w:rFonts w:hint="eastAsia"/>
          <w:color w:val="auto"/>
          <w:sz w:val="24"/>
          <w:szCs w:val="24"/>
          <w:lang w:val="en-US" w:eastAsia="zh-CN"/>
        </w:rPr>
        <w:t>供应商</w:t>
      </w:r>
      <w:r>
        <w:rPr>
          <w:rFonts w:hint="eastAsia"/>
          <w:color w:val="auto"/>
          <w:sz w:val="24"/>
          <w:szCs w:val="24"/>
          <w:lang w:val="en-US"/>
        </w:rPr>
        <w:t>作为中标人，向采购代理机构出具《定标复函》；采购人逾期未确定中标单位且不提出异议的，视为确定评标报告推荐的评标得分最高的</w:t>
      </w:r>
      <w:r>
        <w:rPr>
          <w:rFonts w:hint="eastAsia"/>
          <w:color w:val="auto"/>
          <w:sz w:val="24"/>
          <w:szCs w:val="24"/>
          <w:lang w:val="en-US" w:eastAsia="zh-CN"/>
        </w:rPr>
        <w:t>供应商</w:t>
      </w:r>
      <w:r>
        <w:rPr>
          <w:rFonts w:hint="eastAsia"/>
          <w:color w:val="auto"/>
          <w:sz w:val="24"/>
          <w:szCs w:val="24"/>
          <w:lang w:val="en-US"/>
        </w:rPr>
        <w:t>为中标人。</w:t>
      </w:r>
    </w:p>
    <w:p w14:paraId="79EF8D7B">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1.3采购代理机构接到采购人的《定标复函》后，在 2 个工作日内，将中标结果在陕西省政府采购网上、全国公共资源交易中心网进行公告。公告发布 1 个工作日，其他</w:t>
      </w:r>
      <w:r>
        <w:rPr>
          <w:rFonts w:hint="eastAsia"/>
          <w:color w:val="auto"/>
          <w:sz w:val="24"/>
          <w:szCs w:val="24"/>
          <w:lang w:val="en-US" w:eastAsia="zh-CN"/>
        </w:rPr>
        <w:t>供应商</w:t>
      </w:r>
      <w:r>
        <w:rPr>
          <w:rFonts w:hint="eastAsia"/>
          <w:color w:val="auto"/>
          <w:sz w:val="24"/>
          <w:szCs w:val="24"/>
          <w:lang w:val="en-US"/>
        </w:rPr>
        <w:t>若有异议，按</w:t>
      </w:r>
      <w:r>
        <w:rPr>
          <w:rFonts w:hint="eastAsia"/>
          <w:color w:val="auto"/>
          <w:sz w:val="24"/>
          <w:szCs w:val="24"/>
          <w:lang w:val="en-US" w:eastAsia="zh-CN"/>
        </w:rPr>
        <w:t>《中华人民共和国政府采购法》及其实施条例、《政府采购货物和服务招标投标管理办法》（财政部令第87号）</w:t>
      </w:r>
      <w:r>
        <w:rPr>
          <w:rFonts w:hint="eastAsia"/>
          <w:color w:val="auto"/>
          <w:sz w:val="24"/>
          <w:szCs w:val="24"/>
          <w:lang w:val="en-US"/>
        </w:rPr>
        <w:t>执行。</w:t>
      </w:r>
    </w:p>
    <w:p w14:paraId="5C12E91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1.4采购人在开标结束后对第一中标候选人进行实地考察，若第一中标候选人实地考察结果与投标文件、</w:t>
      </w:r>
      <w:r>
        <w:rPr>
          <w:rFonts w:hint="eastAsia"/>
          <w:color w:val="auto"/>
          <w:sz w:val="24"/>
          <w:szCs w:val="24"/>
          <w:lang w:val="en-US" w:eastAsia="zh-CN"/>
        </w:rPr>
        <w:t>图片、</w:t>
      </w:r>
      <w:r>
        <w:rPr>
          <w:rFonts w:hint="eastAsia"/>
          <w:color w:val="auto"/>
          <w:sz w:val="24"/>
          <w:szCs w:val="24"/>
          <w:lang w:val="en-US"/>
        </w:rPr>
        <w:t>视频等资料信息不符，则取消其第一中标候选人资格。采购人在第二、第三中标候选人中实地考察后，择优选择。</w:t>
      </w:r>
    </w:p>
    <w:p w14:paraId="27764C9E">
      <w:pPr>
        <w:pStyle w:val="7"/>
        <w:pageBreakBefore w:val="0"/>
        <w:topLinePunct w:val="0"/>
        <w:bidi w:val="0"/>
        <w:spacing w:line="500" w:lineRule="exact"/>
        <w:ind w:left="0" w:leftChars="0" w:right="0" w:rightChars="0" w:firstLine="482" w:firstLineChars="200"/>
        <w:rPr>
          <w:color w:val="auto"/>
          <w:lang w:val="en-US"/>
        </w:rPr>
      </w:pPr>
      <w:r>
        <w:rPr>
          <w:rFonts w:hint="eastAsia"/>
          <w:color w:val="auto"/>
          <w:lang w:val="en-US"/>
        </w:rPr>
        <w:t>2</w:t>
      </w:r>
      <w:r>
        <w:rPr>
          <w:rFonts w:hint="eastAsia"/>
          <w:color w:val="auto"/>
          <w:lang w:val="en-US" w:eastAsia="zh-CN"/>
        </w:rPr>
        <w:t>.</w:t>
      </w:r>
      <w:r>
        <w:rPr>
          <w:rFonts w:hint="eastAsia"/>
          <w:color w:val="auto"/>
          <w:lang w:val="en-US"/>
        </w:rPr>
        <w:t>中标通知书</w:t>
      </w:r>
    </w:p>
    <w:p w14:paraId="2C678FB2">
      <w:pPr>
        <w:pageBreakBefore w:val="0"/>
        <w:topLinePunct w:val="0"/>
        <w:bidi w:val="0"/>
        <w:spacing w:line="500" w:lineRule="exact"/>
        <w:ind w:left="0" w:leftChars="0" w:right="0" w:rightChars="0" w:firstLine="480" w:firstLineChars="200"/>
        <w:rPr>
          <w:b/>
          <w:bCs/>
          <w:color w:val="auto"/>
          <w:lang w:val="en-US"/>
        </w:rPr>
      </w:pPr>
      <w:r>
        <w:rPr>
          <w:rFonts w:hint="eastAsia"/>
          <w:color w:val="auto"/>
          <w:sz w:val="24"/>
          <w:szCs w:val="24"/>
          <w:lang w:val="en-US"/>
        </w:rPr>
        <w:t>2.1采购代理机构在收到采购人的成交复函后，按规定时间向成交人发出中标通知书。</w:t>
      </w:r>
    </w:p>
    <w:p w14:paraId="6AD315EE">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2.2中标通知书是合同的组成部分。</w:t>
      </w:r>
    </w:p>
    <w:p w14:paraId="2E34B683">
      <w:pPr>
        <w:pStyle w:val="7"/>
        <w:pageBreakBefore w:val="0"/>
        <w:topLinePunct w:val="0"/>
        <w:bidi w:val="0"/>
        <w:spacing w:line="500" w:lineRule="exact"/>
        <w:ind w:left="0" w:leftChars="0" w:right="0" w:rightChars="0" w:firstLine="482" w:firstLineChars="200"/>
        <w:rPr>
          <w:color w:val="auto"/>
          <w:lang w:val="en-US"/>
        </w:rPr>
      </w:pPr>
      <w:r>
        <w:rPr>
          <w:rFonts w:hint="eastAsia"/>
          <w:color w:val="auto"/>
          <w:lang w:val="en-US"/>
        </w:rPr>
        <w:t>3</w:t>
      </w:r>
      <w:r>
        <w:rPr>
          <w:rFonts w:hint="eastAsia"/>
          <w:color w:val="auto"/>
          <w:lang w:val="en-US" w:eastAsia="zh-CN"/>
        </w:rPr>
        <w:t>.</w:t>
      </w:r>
      <w:r>
        <w:rPr>
          <w:rFonts w:hint="eastAsia"/>
          <w:color w:val="auto"/>
          <w:lang w:val="en-US"/>
        </w:rPr>
        <w:t>签订合同</w:t>
      </w:r>
    </w:p>
    <w:p w14:paraId="5DFEAC76">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3.1中标人在收到中标通知书后，应按招标文件的要求与采购人签订合同。中标人因自身原因不按规定与采购人签订合同或者拒绝与采购人签订合同的，则采购人将</w:t>
      </w:r>
      <w:r>
        <w:rPr>
          <w:rFonts w:hint="eastAsia"/>
          <w:color w:val="auto"/>
          <w:sz w:val="24"/>
          <w:szCs w:val="24"/>
          <w:lang w:val="en-US" w:eastAsia="zh-CN"/>
        </w:rPr>
        <w:t>取消其中标资格</w:t>
      </w:r>
      <w:r>
        <w:rPr>
          <w:rFonts w:hint="eastAsia"/>
          <w:color w:val="auto"/>
          <w:sz w:val="24"/>
          <w:szCs w:val="24"/>
          <w:lang w:val="en-US"/>
        </w:rPr>
        <w:t>。给采购人造成损失的，还应当予以相应赔偿，并依法承担相应法律责任。</w:t>
      </w:r>
    </w:p>
    <w:p w14:paraId="623EC23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3.2中标人因不可抗力或者自身原因不能履行政府采购合同的，采购人在第二、第三中标候选人中实地考察后，择优选择，也可以重新开展招标活动。因自身原因拒绝签订采购合同的或者未按合同约定进行履约的，中标人不得参加对该项目重新开展的招标活动。</w:t>
      </w:r>
    </w:p>
    <w:p w14:paraId="057A9DA2">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3.3中标通知书将是合同的重要组成部分。招标文件、中标人的投标文件及评议过程中有关的澄清文件均作为合同附件。</w:t>
      </w:r>
    </w:p>
    <w:p w14:paraId="7A36B99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3.4中标后，中标人应按照合同约定履行义务，完成招标项目的供货。中标人不得向他人转让中标项目，也不得将中标项目肢解后分别向他人转让。</w:t>
      </w:r>
    </w:p>
    <w:p w14:paraId="06390958">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3.5所签订的合同不得对招标文件确定的事项和中标人投标文件作实质性修改。</w:t>
      </w:r>
    </w:p>
    <w:p w14:paraId="18BA662A">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3.6采购人需追加与合同标的相同的货物、工程或服务的，在不改变合同其他条款的前提下，可以与中标人协商签订补充合同，但所有补充合同的采购金额不得超过原合同采购金额的</w:t>
      </w:r>
      <w:r>
        <w:rPr>
          <w:rFonts w:hint="eastAsia"/>
          <w:color w:val="auto"/>
          <w:sz w:val="24"/>
          <w:szCs w:val="24"/>
          <w:lang w:val="en-US" w:eastAsia="zh-CN"/>
        </w:rPr>
        <w:t>10%</w:t>
      </w:r>
      <w:r>
        <w:rPr>
          <w:rFonts w:hint="eastAsia"/>
          <w:color w:val="auto"/>
          <w:sz w:val="24"/>
          <w:szCs w:val="24"/>
          <w:lang w:val="en-US"/>
        </w:rPr>
        <w:t>。</w:t>
      </w:r>
    </w:p>
    <w:p w14:paraId="5CA36DD7">
      <w:pPr>
        <w:pageBreakBefore w:val="0"/>
        <w:topLinePunct w:val="0"/>
        <w:bidi w:val="0"/>
        <w:spacing w:line="500" w:lineRule="exact"/>
        <w:ind w:left="0" w:leftChars="0" w:right="0" w:rightChars="0" w:firstLine="440" w:firstLineChars="200"/>
        <w:rPr>
          <w:rFonts w:hint="eastAsia"/>
          <w:color w:val="auto"/>
        </w:rPr>
      </w:pPr>
      <w:bookmarkStart w:id="12" w:name="八、中标服务费"/>
      <w:bookmarkEnd w:id="12"/>
    </w:p>
    <w:p w14:paraId="71F685E9">
      <w:pPr>
        <w:pStyle w:val="5"/>
        <w:pageBreakBefore w:val="0"/>
        <w:topLinePunct w:val="0"/>
        <w:bidi w:val="0"/>
        <w:spacing w:line="500" w:lineRule="exact"/>
        <w:ind w:left="0" w:leftChars="0" w:right="0" w:rightChars="0" w:firstLine="562" w:firstLineChars="200"/>
        <w:rPr>
          <w:color w:val="auto"/>
        </w:rPr>
      </w:pPr>
      <w:r>
        <w:rPr>
          <w:rFonts w:hint="eastAsia"/>
          <w:color w:val="auto"/>
        </w:rPr>
        <w:t>八、</w:t>
      </w:r>
      <w:r>
        <w:rPr>
          <w:color w:val="auto"/>
        </w:rPr>
        <w:t>中标服务费</w:t>
      </w:r>
    </w:p>
    <w:p w14:paraId="34C23318">
      <w:pPr>
        <w:pageBreakBefore w:val="0"/>
        <w:topLinePunct w:val="0"/>
        <w:bidi w:val="0"/>
        <w:spacing w:line="500" w:lineRule="exact"/>
        <w:ind w:left="0" w:leftChars="0" w:right="0" w:rightChars="0" w:firstLine="440" w:firstLineChars="200"/>
        <w:rPr>
          <w:color w:val="auto"/>
        </w:rPr>
      </w:pPr>
    </w:p>
    <w:p w14:paraId="54BC1131">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1.中标单位在领取中标通知书前，须向采购代理机构支付中标服务费。</w:t>
      </w:r>
    </w:p>
    <w:p w14:paraId="648BD6E8">
      <w:pPr>
        <w:pageBreakBefore w:val="0"/>
        <w:topLinePunct w:val="0"/>
        <w:bidi w:val="0"/>
        <w:spacing w:line="500" w:lineRule="exact"/>
        <w:ind w:left="0" w:leftChars="0" w:right="0" w:rightChars="0" w:firstLine="480" w:firstLineChars="200"/>
        <w:rPr>
          <w:rFonts w:hint="eastAsia"/>
          <w:color w:val="auto"/>
          <w:sz w:val="24"/>
          <w:szCs w:val="24"/>
          <w:u w:val="single"/>
          <w:lang w:val="en-US"/>
        </w:rPr>
      </w:pPr>
      <w:r>
        <w:rPr>
          <w:rFonts w:hint="eastAsia"/>
          <w:color w:val="auto"/>
          <w:sz w:val="24"/>
          <w:szCs w:val="24"/>
          <w:lang w:val="en-US"/>
        </w:rPr>
        <w:t>2.</w:t>
      </w:r>
      <w:r>
        <w:rPr>
          <w:rFonts w:hint="eastAsia"/>
          <w:color w:val="auto"/>
          <w:sz w:val="24"/>
          <w:szCs w:val="24"/>
          <w:lang w:val="en-US" w:eastAsia="zh-CN"/>
        </w:rPr>
        <w:t>该招标代理服务费收费标准</w:t>
      </w:r>
      <w:r>
        <w:rPr>
          <w:rFonts w:hint="eastAsia"/>
          <w:color w:val="FF0000"/>
          <w:sz w:val="24"/>
          <w:szCs w:val="24"/>
          <w:lang w:val="en-US" w:eastAsia="zh-CN"/>
        </w:rPr>
        <w:t>：</w:t>
      </w:r>
      <w:r>
        <w:rPr>
          <w:rFonts w:hint="eastAsia"/>
          <w:color w:val="auto"/>
          <w:sz w:val="24"/>
          <w:szCs w:val="24"/>
          <w:u w:val="single"/>
          <w:lang w:val="en-US" w:eastAsia="zh-CN"/>
        </w:rPr>
        <w:t>参照国家计委关于印发《招标代理服务收费管理暂行办法》的通知 （计价格〔2002〕1980号），优惠后收取，将服务费按照各合同包的</w:t>
      </w:r>
      <w:r>
        <w:rPr>
          <w:rFonts w:hint="eastAsia"/>
          <w:color w:val="auto"/>
          <w:sz w:val="24"/>
          <w:szCs w:val="24"/>
          <w:highlight w:val="none"/>
          <w:u w:val="single"/>
          <w:lang w:val="en-US" w:eastAsia="zh-CN"/>
        </w:rPr>
        <w:t>中标</w:t>
      </w:r>
      <w:r>
        <w:rPr>
          <w:rFonts w:hint="eastAsia"/>
          <w:color w:val="auto"/>
          <w:sz w:val="24"/>
          <w:szCs w:val="24"/>
          <w:u w:val="single"/>
          <w:lang w:val="en-US" w:eastAsia="zh-CN"/>
        </w:rPr>
        <w:t>金额分摊至各采购包。</w:t>
      </w:r>
    </w:p>
    <w:p w14:paraId="15459761">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注：招标代理服务费由中标单位支付。</w:t>
      </w:r>
    </w:p>
    <w:p w14:paraId="3112459F">
      <w:pPr>
        <w:pStyle w:val="5"/>
        <w:pageBreakBefore w:val="0"/>
        <w:topLinePunct w:val="0"/>
        <w:bidi w:val="0"/>
        <w:spacing w:line="500" w:lineRule="exact"/>
        <w:ind w:left="0" w:leftChars="0" w:right="0" w:rightChars="0" w:firstLine="562" w:firstLineChars="200"/>
        <w:rPr>
          <w:b/>
          <w:color w:val="auto"/>
          <w:sz w:val="40"/>
        </w:rPr>
      </w:pPr>
      <w:bookmarkStart w:id="13" w:name="九、废标及变更采购方式"/>
      <w:bookmarkEnd w:id="13"/>
      <w:r>
        <w:rPr>
          <w:color w:val="auto"/>
        </w:rPr>
        <w:t>九、废标及变更采购方式</w:t>
      </w:r>
    </w:p>
    <w:p w14:paraId="29E437AB">
      <w:pPr>
        <w:pStyle w:val="7"/>
        <w:pageBreakBefore w:val="0"/>
        <w:topLinePunct w:val="0"/>
        <w:bidi w:val="0"/>
        <w:spacing w:line="500" w:lineRule="exact"/>
        <w:ind w:left="0" w:leftChars="0" w:right="0" w:rightChars="0" w:firstLine="482" w:firstLineChars="200"/>
        <w:rPr>
          <w:color w:val="auto"/>
        </w:rPr>
      </w:pPr>
      <w:r>
        <w:rPr>
          <w:color w:val="auto"/>
        </w:rPr>
        <w:t>1</w:t>
      </w:r>
      <w:r>
        <w:rPr>
          <w:rFonts w:hint="eastAsia"/>
          <w:color w:val="auto"/>
          <w:lang w:eastAsia="zh-CN"/>
        </w:rPr>
        <w:t>.</w:t>
      </w:r>
      <w:r>
        <w:rPr>
          <w:color w:val="auto"/>
        </w:rPr>
        <w:t>废标</w:t>
      </w:r>
    </w:p>
    <w:p w14:paraId="30B10175">
      <w:pPr>
        <w:pageBreakBefore w:val="0"/>
        <w:topLinePunct w:val="0"/>
        <w:bidi w:val="0"/>
        <w:spacing w:line="500" w:lineRule="exact"/>
        <w:ind w:left="0" w:leftChars="0" w:right="0" w:rightChars="0" w:firstLine="480" w:firstLineChars="200"/>
        <w:rPr>
          <w:rFonts w:hint="eastAsia" w:eastAsia="宋体"/>
          <w:color w:val="auto"/>
          <w:sz w:val="24"/>
          <w:szCs w:val="24"/>
          <w:lang w:val="en-US" w:eastAsia="zh-CN"/>
        </w:rPr>
      </w:pPr>
      <w:r>
        <w:rPr>
          <w:rFonts w:hint="eastAsia"/>
          <w:color w:val="auto"/>
          <w:sz w:val="24"/>
          <w:szCs w:val="24"/>
          <w:lang w:val="en-US"/>
        </w:rPr>
        <w:t>如果发生下列情况之一，采购人和采购代理机构将按</w:t>
      </w:r>
      <w:r>
        <w:rPr>
          <w:rFonts w:hint="eastAsia"/>
          <w:color w:val="auto"/>
          <w:sz w:val="24"/>
          <w:szCs w:val="24"/>
          <w:lang w:val="en-US" w:eastAsia="zh-CN"/>
        </w:rPr>
        <w:t>《中华人民共和国政府采购法》及其实施条例、《政府采购货物和服务招标投标管理办法》（财政部令第87号）、《</w:t>
      </w:r>
      <w:r>
        <w:rPr>
          <w:rFonts w:hint="eastAsia"/>
          <w:color w:val="auto"/>
          <w:sz w:val="24"/>
          <w:szCs w:val="24"/>
          <w:lang w:val="en-US"/>
        </w:rPr>
        <w:t>陕西省财政厅关于政府采购有关问题的通知》（陕财办采资</w:t>
      </w:r>
      <w:r>
        <w:rPr>
          <w:rFonts w:hint="eastAsia"/>
          <w:color w:val="auto"/>
          <w:sz w:val="24"/>
          <w:szCs w:val="24"/>
          <w:lang w:val="en-US" w:eastAsia="zh-CN"/>
        </w:rPr>
        <w:t>〔2016〕53号</w:t>
      </w:r>
      <w:r>
        <w:rPr>
          <w:rFonts w:hint="eastAsia"/>
          <w:color w:val="auto"/>
          <w:sz w:val="24"/>
          <w:szCs w:val="24"/>
          <w:lang w:val="en-US"/>
        </w:rPr>
        <w:t>）等有关规定重新组织采购或报请监督管理机构批准变更采购</w:t>
      </w:r>
      <w:r>
        <w:rPr>
          <w:rFonts w:hint="eastAsia"/>
          <w:color w:val="auto"/>
          <w:sz w:val="24"/>
          <w:szCs w:val="24"/>
          <w:lang w:val="en-US" w:eastAsia="zh-CN"/>
        </w:rPr>
        <w:t>方式：</w:t>
      </w:r>
    </w:p>
    <w:p w14:paraId="11774D81">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1.1因重大变故，采购任务取消的；</w:t>
      </w:r>
    </w:p>
    <w:p w14:paraId="7722986D">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1.2所有投标被评标委员会否决的；</w:t>
      </w:r>
    </w:p>
    <w:p w14:paraId="675568DD">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1.3所有</w:t>
      </w:r>
      <w:r>
        <w:rPr>
          <w:rFonts w:hint="eastAsia"/>
          <w:color w:val="auto"/>
          <w:sz w:val="24"/>
          <w:szCs w:val="24"/>
          <w:lang w:val="en-US" w:eastAsia="zh-CN"/>
        </w:rPr>
        <w:t>供应商</w:t>
      </w:r>
      <w:r>
        <w:rPr>
          <w:rFonts w:hint="eastAsia"/>
          <w:color w:val="auto"/>
          <w:sz w:val="24"/>
          <w:szCs w:val="24"/>
          <w:lang w:val="en-US"/>
        </w:rPr>
        <w:t>的报价均超出采购预算限额，采购人不能支付的；</w:t>
      </w:r>
    </w:p>
    <w:p w14:paraId="70B55A76">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1.4符合专业条件的</w:t>
      </w:r>
      <w:r>
        <w:rPr>
          <w:rFonts w:hint="eastAsia"/>
          <w:color w:val="auto"/>
          <w:sz w:val="24"/>
          <w:szCs w:val="24"/>
          <w:lang w:val="en-US" w:eastAsia="zh-CN"/>
        </w:rPr>
        <w:t>供应商</w:t>
      </w:r>
      <w:r>
        <w:rPr>
          <w:rFonts w:hint="eastAsia"/>
          <w:color w:val="auto"/>
          <w:sz w:val="24"/>
          <w:szCs w:val="24"/>
          <w:lang w:val="en-US"/>
        </w:rPr>
        <w:t>或者对招标文件实质响应的</w:t>
      </w:r>
      <w:r>
        <w:rPr>
          <w:rFonts w:hint="eastAsia"/>
          <w:color w:val="auto"/>
          <w:sz w:val="24"/>
          <w:szCs w:val="24"/>
          <w:lang w:val="en-US" w:eastAsia="zh-CN"/>
        </w:rPr>
        <w:t>供应商</w:t>
      </w:r>
      <w:r>
        <w:rPr>
          <w:rFonts w:hint="eastAsia"/>
          <w:color w:val="auto"/>
          <w:sz w:val="24"/>
          <w:szCs w:val="24"/>
          <w:lang w:val="en-US"/>
        </w:rPr>
        <w:t>不足三家的。</w:t>
      </w:r>
    </w:p>
    <w:p w14:paraId="3C53FB47">
      <w:pPr>
        <w:pStyle w:val="7"/>
        <w:pageBreakBefore w:val="0"/>
        <w:topLinePunct w:val="0"/>
        <w:bidi w:val="0"/>
        <w:spacing w:line="500" w:lineRule="exact"/>
        <w:ind w:left="0" w:leftChars="0" w:right="0" w:rightChars="0" w:firstLine="482" w:firstLineChars="200"/>
        <w:rPr>
          <w:color w:val="auto"/>
          <w:lang w:val="en-US"/>
        </w:rPr>
      </w:pPr>
      <w:r>
        <w:rPr>
          <w:rFonts w:hint="eastAsia"/>
          <w:color w:val="auto"/>
          <w:lang w:val="en-US"/>
        </w:rPr>
        <w:t>2.变更采购形式</w:t>
      </w:r>
    </w:p>
    <w:p w14:paraId="4F516EA1">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根据《政府采购货物和服务招标投标管理办法》（财政部第 87 号令）及《陕西省财政厅关于政府采购有关问题的通知》（陕财办采资【2016】53 号）的规定，若出现提交投标文件或经评审实质性响应招标文件要求的</w:t>
      </w:r>
      <w:r>
        <w:rPr>
          <w:rFonts w:hint="eastAsia"/>
          <w:color w:val="auto"/>
          <w:sz w:val="24"/>
          <w:szCs w:val="24"/>
          <w:lang w:val="en-US" w:eastAsia="zh-CN"/>
        </w:rPr>
        <w:t>供应商</w:t>
      </w:r>
      <w:r>
        <w:rPr>
          <w:rFonts w:hint="eastAsia"/>
          <w:color w:val="auto"/>
          <w:sz w:val="24"/>
          <w:szCs w:val="24"/>
          <w:lang w:val="en-US"/>
        </w:rPr>
        <w:t>只有 2 家时，经采购人书面请示政府采购管理机构同意，可现场转变为竞争性谈判。</w:t>
      </w:r>
    </w:p>
    <w:p w14:paraId="6DD09AE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2.1评标委员会自行转为谈判小组，谈判文件以招标文件为基础，若有重大变动，以书面形式通知参加谈判的全体谈判响应单位；</w:t>
      </w:r>
    </w:p>
    <w:p w14:paraId="5575F2FA">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2.2在谈判过程中采取二次报价的形式，即各</w:t>
      </w:r>
      <w:r>
        <w:rPr>
          <w:rFonts w:hint="eastAsia"/>
          <w:color w:val="auto"/>
          <w:sz w:val="24"/>
          <w:szCs w:val="24"/>
          <w:lang w:val="en-US" w:eastAsia="zh-CN"/>
        </w:rPr>
        <w:t>供应商</w:t>
      </w:r>
      <w:r>
        <w:rPr>
          <w:rFonts w:hint="eastAsia"/>
          <w:color w:val="auto"/>
          <w:sz w:val="24"/>
          <w:szCs w:val="24"/>
          <w:lang w:val="en-US"/>
        </w:rPr>
        <w:t>投标文件中的报价即为第一次报价，根据质量和服务均能满足招标文件实质性响应要求且最后报价最低的原则确定中标</w:t>
      </w:r>
      <w:r>
        <w:rPr>
          <w:rFonts w:hint="eastAsia"/>
          <w:color w:val="auto"/>
          <w:sz w:val="24"/>
          <w:szCs w:val="24"/>
          <w:lang w:val="en-US" w:eastAsia="zh-CN"/>
        </w:rPr>
        <w:t>供应商</w:t>
      </w:r>
      <w:r>
        <w:rPr>
          <w:rFonts w:hint="eastAsia"/>
          <w:color w:val="auto"/>
          <w:sz w:val="24"/>
          <w:szCs w:val="24"/>
          <w:lang w:val="en-US"/>
        </w:rPr>
        <w:t>。如采购需求没有实质性变化，各</w:t>
      </w:r>
      <w:r>
        <w:rPr>
          <w:rFonts w:hint="eastAsia"/>
          <w:color w:val="auto"/>
          <w:sz w:val="24"/>
          <w:szCs w:val="24"/>
          <w:lang w:val="en-US" w:eastAsia="zh-CN"/>
        </w:rPr>
        <w:t>供应商</w:t>
      </w:r>
      <w:r>
        <w:rPr>
          <w:rFonts w:hint="eastAsia"/>
          <w:color w:val="auto"/>
          <w:sz w:val="24"/>
          <w:szCs w:val="24"/>
          <w:lang w:val="en-US"/>
        </w:rPr>
        <w:t>报价应逐次降低，本次报价超过上次报价为无效报价，出现相同报价的，可再次报价，直至产生唯一最低报价。</w:t>
      </w:r>
    </w:p>
    <w:p w14:paraId="72B6D78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2.3若出现提交投标文件或经评审实质性响应招标文件要求的</w:t>
      </w:r>
      <w:r>
        <w:rPr>
          <w:rFonts w:hint="eastAsia"/>
          <w:color w:val="auto"/>
          <w:sz w:val="24"/>
          <w:szCs w:val="24"/>
          <w:lang w:val="en-US" w:eastAsia="zh-CN"/>
        </w:rPr>
        <w:t>供应商</w:t>
      </w:r>
      <w:r>
        <w:rPr>
          <w:rFonts w:hint="eastAsia"/>
          <w:color w:val="auto"/>
          <w:sz w:val="24"/>
          <w:szCs w:val="24"/>
          <w:lang w:val="en-US"/>
        </w:rPr>
        <w:t>只有1家时</w:t>
      </w:r>
      <w:r>
        <w:rPr>
          <w:rFonts w:hint="eastAsia"/>
          <w:color w:val="auto"/>
          <w:sz w:val="24"/>
          <w:szCs w:val="24"/>
          <w:lang w:val="en-US" w:eastAsia="zh-CN"/>
        </w:rPr>
        <w:t>，</w:t>
      </w:r>
      <w:r>
        <w:rPr>
          <w:rFonts w:hint="eastAsia"/>
          <w:color w:val="auto"/>
          <w:sz w:val="24"/>
          <w:szCs w:val="24"/>
          <w:lang w:val="en-US"/>
        </w:rPr>
        <w:t>按废标处理，重新开展采购活动。</w:t>
      </w:r>
    </w:p>
    <w:p w14:paraId="6211DFD7">
      <w:pPr>
        <w:pStyle w:val="12"/>
        <w:pageBreakBefore w:val="0"/>
        <w:topLinePunct w:val="0"/>
        <w:bidi w:val="0"/>
        <w:spacing w:line="500" w:lineRule="exact"/>
        <w:ind w:left="0" w:leftChars="0" w:right="0" w:rightChars="0" w:firstLine="380" w:firstLineChars="200"/>
        <w:rPr>
          <w:color w:val="auto"/>
          <w:sz w:val="19"/>
        </w:rPr>
      </w:pPr>
    </w:p>
    <w:p w14:paraId="11136BCB">
      <w:pPr>
        <w:pStyle w:val="5"/>
        <w:pageBreakBefore w:val="0"/>
        <w:topLinePunct w:val="0"/>
        <w:bidi w:val="0"/>
        <w:spacing w:line="500" w:lineRule="exact"/>
        <w:ind w:left="0" w:leftChars="0" w:right="0" w:rightChars="0" w:firstLine="562" w:firstLineChars="200"/>
        <w:rPr>
          <w:color w:val="auto"/>
        </w:rPr>
      </w:pPr>
      <w:bookmarkStart w:id="14" w:name="十、质疑与投诉"/>
      <w:bookmarkEnd w:id="14"/>
      <w:r>
        <w:rPr>
          <w:color w:val="auto"/>
        </w:rPr>
        <w:t>十、质疑与投诉</w:t>
      </w:r>
    </w:p>
    <w:p w14:paraId="400FBC72">
      <w:pPr>
        <w:pStyle w:val="12"/>
        <w:pageBreakBefore w:val="0"/>
        <w:topLinePunct w:val="0"/>
        <w:bidi w:val="0"/>
        <w:spacing w:line="500" w:lineRule="exact"/>
        <w:ind w:left="0" w:leftChars="0" w:right="0" w:rightChars="0" w:firstLine="803" w:firstLineChars="200"/>
        <w:rPr>
          <w:b/>
          <w:color w:val="auto"/>
          <w:sz w:val="40"/>
        </w:rPr>
      </w:pPr>
    </w:p>
    <w:p w14:paraId="3A91F09B">
      <w:pPr>
        <w:spacing w:line="48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lang w:val="en-US" w:eastAsia="zh-CN"/>
        </w:rPr>
        <w:t>1</w:t>
      </w:r>
      <w:r>
        <w:rPr>
          <w:rFonts w:hint="eastAsia" w:cs="宋体"/>
          <w:b/>
          <w:color w:val="auto"/>
          <w:sz w:val="24"/>
          <w:lang w:val="en-US" w:eastAsia="zh-CN"/>
        </w:rPr>
        <w:t>.</w:t>
      </w:r>
      <w:r>
        <w:rPr>
          <w:rFonts w:hint="eastAsia" w:ascii="宋体" w:hAnsi="宋体" w:eastAsia="宋体" w:cs="宋体"/>
          <w:b/>
          <w:color w:val="auto"/>
          <w:sz w:val="24"/>
        </w:rPr>
        <w:t>质疑及投诉</w:t>
      </w:r>
    </w:p>
    <w:p w14:paraId="3E2A317E">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1</w:t>
      </w:r>
      <w:r>
        <w:rPr>
          <w:rFonts w:hint="eastAsia" w:ascii="宋体" w:hAnsi="宋体" w:eastAsia="宋体" w:cs="宋体"/>
          <w:color w:val="auto"/>
          <w:sz w:val="24"/>
        </w:rPr>
        <w:t>.1 质疑</w:t>
      </w:r>
    </w:p>
    <w:p w14:paraId="0FCF2024">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（1）供应商认为</w:t>
      </w:r>
      <w:r>
        <w:rPr>
          <w:rFonts w:hint="eastAsia" w:ascii="宋体" w:hAnsi="宋体" w:eastAsia="宋体" w:cs="宋体"/>
          <w:color w:val="auto"/>
          <w:sz w:val="24"/>
          <w:lang w:val="en-US" w:eastAsia="zh-CN"/>
        </w:rPr>
        <w:t>招标</w:t>
      </w:r>
      <w:r>
        <w:rPr>
          <w:rFonts w:hint="eastAsia" w:ascii="宋体" w:hAnsi="宋体" w:eastAsia="宋体" w:cs="宋体"/>
          <w:color w:val="auto"/>
          <w:sz w:val="24"/>
        </w:rPr>
        <w:t>文件、</w:t>
      </w:r>
      <w:r>
        <w:rPr>
          <w:rFonts w:hint="eastAsia" w:ascii="宋体" w:hAnsi="宋体" w:eastAsia="宋体" w:cs="宋体"/>
          <w:color w:val="auto"/>
          <w:sz w:val="24"/>
          <w:lang w:val="en-US" w:eastAsia="zh-CN"/>
        </w:rPr>
        <w:t>招标</w:t>
      </w:r>
      <w:r>
        <w:rPr>
          <w:rFonts w:hint="eastAsia" w:ascii="宋体" w:hAnsi="宋体" w:eastAsia="宋体" w:cs="宋体"/>
          <w:color w:val="auto"/>
          <w:sz w:val="24"/>
        </w:rPr>
        <w:t>过程、中标或者成交结果使自己的权益受到损害的，可以在知道或者应知其权益受到损害之日起7个工作日内，以书面形式向采购人、采购代理机构提出质疑。针对同一采购程序环节的质疑应在法定质疑期内一次性提出。属于采购程序问题的，向采购代理机构提出质疑；属于采购需求的（包括资质要求、技术指标、参数、评分办法等），应向采购人提出质疑；</w:t>
      </w:r>
    </w:p>
    <w:p w14:paraId="05407A8F">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（2）提出质疑的供应商应当是参与本项目采购活动的供应商。</w:t>
      </w:r>
    </w:p>
    <w:p w14:paraId="18F252AF">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（3）潜在供应商已依法获取其可质疑的</w:t>
      </w:r>
      <w:r>
        <w:rPr>
          <w:rFonts w:hint="eastAsia" w:ascii="宋体" w:hAnsi="宋体" w:eastAsia="宋体" w:cs="宋体"/>
          <w:color w:val="auto"/>
          <w:sz w:val="24"/>
          <w:lang w:val="en-US" w:eastAsia="zh-CN"/>
        </w:rPr>
        <w:t>招标</w:t>
      </w:r>
      <w:r>
        <w:rPr>
          <w:rFonts w:hint="eastAsia" w:ascii="宋体" w:hAnsi="宋体" w:eastAsia="宋体" w:cs="宋体"/>
          <w:color w:val="auto"/>
          <w:sz w:val="24"/>
        </w:rPr>
        <w:t>文件的，可以对该文件提出质疑。对</w:t>
      </w:r>
      <w:r>
        <w:rPr>
          <w:rFonts w:hint="eastAsia" w:ascii="宋体" w:hAnsi="宋体" w:eastAsia="宋体" w:cs="宋体"/>
          <w:color w:val="auto"/>
          <w:sz w:val="24"/>
          <w:lang w:val="en-US" w:eastAsia="zh-CN"/>
        </w:rPr>
        <w:t>招标</w:t>
      </w:r>
      <w:r>
        <w:rPr>
          <w:rFonts w:hint="eastAsia" w:ascii="宋体" w:hAnsi="宋体" w:eastAsia="宋体" w:cs="宋体"/>
          <w:color w:val="auto"/>
          <w:sz w:val="24"/>
        </w:rPr>
        <w:t>文件提出质疑的，应当在获取</w:t>
      </w:r>
      <w:r>
        <w:rPr>
          <w:rFonts w:hint="eastAsia" w:ascii="宋体" w:hAnsi="宋体" w:eastAsia="宋体" w:cs="宋体"/>
          <w:color w:val="auto"/>
          <w:sz w:val="24"/>
          <w:lang w:val="en-US" w:eastAsia="zh-CN"/>
        </w:rPr>
        <w:t>招标</w:t>
      </w:r>
      <w:r>
        <w:rPr>
          <w:rFonts w:hint="eastAsia" w:ascii="宋体" w:hAnsi="宋体" w:eastAsia="宋体" w:cs="宋体"/>
          <w:color w:val="auto"/>
          <w:sz w:val="24"/>
        </w:rPr>
        <w:t>文件（以</w:t>
      </w:r>
      <w:r>
        <w:rPr>
          <w:rFonts w:hint="eastAsia" w:ascii="宋体" w:hAnsi="宋体" w:eastAsia="宋体" w:cs="宋体"/>
          <w:color w:val="auto"/>
          <w:sz w:val="24"/>
          <w:lang w:val="en-US" w:eastAsia="zh-CN"/>
        </w:rPr>
        <w:t>供应商</w:t>
      </w:r>
      <w:r>
        <w:rPr>
          <w:rFonts w:hint="eastAsia" w:ascii="宋体" w:hAnsi="宋体" w:eastAsia="宋体" w:cs="宋体"/>
          <w:color w:val="auto"/>
          <w:sz w:val="24"/>
        </w:rPr>
        <w:t>填写报名登记表的时间为准）起7个工作日内一次性提出。</w:t>
      </w:r>
    </w:p>
    <w:p w14:paraId="048E1CAB">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（4）供应商提出质疑应当提交质疑函和必要的证明材料，质疑函应包括下列内容：</w:t>
      </w:r>
    </w:p>
    <w:p w14:paraId="0B6B9826">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① 供应商的姓名或者名称、地址、邮编、联系人及联系电话；</w:t>
      </w:r>
    </w:p>
    <w:p w14:paraId="31030858">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② 质疑项目的名称、编号；</w:t>
      </w:r>
    </w:p>
    <w:p w14:paraId="45C844A6">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③ 具体、明确的质疑事项和与质疑事项相关的请求；</w:t>
      </w:r>
    </w:p>
    <w:p w14:paraId="735AEC1E">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④ 事实依据；</w:t>
      </w:r>
    </w:p>
    <w:p w14:paraId="11187567">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⑤ 必要的法律依据；</w:t>
      </w:r>
    </w:p>
    <w:p w14:paraId="7E14B25C">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⑥ 提出质疑的日期。</w:t>
      </w:r>
    </w:p>
    <w:p w14:paraId="25BAFEA0">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（5）供应商为自然人的，应当由本人签字；供应商为法人或者其他组织的，应当由法定代表人、主要负责人，或者其授权代表签字或者盖章并加盖公章。</w:t>
      </w:r>
    </w:p>
    <w:p w14:paraId="1CD193BE">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74750D5">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（7）采购人负责供应商质疑答复。采购人委托采购代理机构采购的，采购代理机构在委托授权范围内作出答复。</w:t>
      </w:r>
    </w:p>
    <w:p w14:paraId="6A3A1219">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（8）接收质疑函的方式和联系方式：</w:t>
      </w:r>
    </w:p>
    <w:p w14:paraId="0FBA55FB">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① 接收质疑函的方式：书面递交质疑函纸质版（当面递交）或PDF格式扫描件（发至电子邮箱）</w:t>
      </w:r>
    </w:p>
    <w:p w14:paraId="52FA7FD4">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② 联系方式</w:t>
      </w:r>
    </w:p>
    <w:p w14:paraId="71BC2867">
      <w:pPr>
        <w:pStyle w:val="20"/>
        <w:spacing w:line="510" w:lineRule="atLeast"/>
        <w:ind w:firstLine="420"/>
        <w:rPr>
          <w:rFonts w:hint="default" w:ascii="宋体" w:hAnsi="宋体" w:eastAsia="宋体" w:cs="宋体"/>
          <w:color w:val="auto"/>
          <w:kern w:val="2"/>
          <w:lang w:val="en-US" w:eastAsia="zh-CN"/>
        </w:rPr>
      </w:pPr>
      <w:r>
        <w:rPr>
          <w:rFonts w:hint="eastAsia" w:ascii="宋体" w:hAnsi="宋体" w:eastAsia="宋体" w:cs="宋体"/>
          <w:color w:val="auto"/>
          <w:kern w:val="2"/>
          <w:lang w:eastAsia="zh-CN"/>
        </w:rPr>
        <w:t>名称：</w:t>
      </w:r>
      <w:r>
        <w:rPr>
          <w:rFonts w:hint="eastAsia"/>
          <w:color w:val="auto"/>
          <w:sz w:val="24"/>
          <w:szCs w:val="24"/>
          <w:lang w:val="en-US" w:eastAsia="zh-CN"/>
        </w:rPr>
        <w:t>汉滨区教育体育局</w:t>
      </w:r>
    </w:p>
    <w:p w14:paraId="0B3B0676">
      <w:pPr>
        <w:pStyle w:val="20"/>
        <w:spacing w:line="510" w:lineRule="atLeast"/>
        <w:ind w:firstLine="420"/>
        <w:rPr>
          <w:rFonts w:hint="eastAsia" w:ascii="宋体" w:hAnsi="宋体" w:eastAsia="宋体" w:cs="宋体"/>
          <w:color w:val="auto"/>
          <w:kern w:val="2"/>
          <w:lang w:eastAsia="zh-CN"/>
        </w:rPr>
      </w:pPr>
      <w:r>
        <w:rPr>
          <w:rFonts w:hint="eastAsia" w:ascii="宋体" w:hAnsi="宋体" w:eastAsia="宋体" w:cs="宋体"/>
          <w:color w:val="auto"/>
          <w:kern w:val="2"/>
          <w:lang w:eastAsia="zh-CN"/>
        </w:rPr>
        <w:t>地址：</w:t>
      </w:r>
      <w:r>
        <w:rPr>
          <w:rFonts w:hint="eastAsia" w:ascii="宋体" w:hAnsi="宋体" w:eastAsia="宋体" w:cs="宋体"/>
          <w:b w:val="0"/>
          <w:bCs w:val="0"/>
          <w:color w:val="auto"/>
          <w:sz w:val="24"/>
          <w:szCs w:val="24"/>
          <w:lang w:val="en-US" w:eastAsia="zh-CN" w:bidi="zh-CN"/>
        </w:rPr>
        <w:t>汉滨区五星街127号</w:t>
      </w:r>
    </w:p>
    <w:p w14:paraId="07F63DA4">
      <w:pPr>
        <w:pStyle w:val="20"/>
        <w:spacing w:line="510" w:lineRule="atLeast"/>
        <w:ind w:firstLine="420"/>
        <w:rPr>
          <w:rFonts w:hint="default" w:ascii="宋体" w:hAnsi="宋体" w:eastAsia="宋体" w:cs="宋体"/>
          <w:color w:val="auto"/>
          <w:kern w:val="2"/>
          <w:lang w:val="en-US" w:eastAsia="zh-CN"/>
        </w:rPr>
      </w:pPr>
      <w:r>
        <w:rPr>
          <w:rFonts w:hint="eastAsia" w:ascii="宋体" w:hAnsi="宋体" w:eastAsia="宋体" w:cs="宋体"/>
          <w:color w:val="auto"/>
          <w:kern w:val="2"/>
          <w:lang w:eastAsia="zh-CN"/>
        </w:rPr>
        <w:t>联系方式：</w:t>
      </w:r>
      <w:r>
        <w:rPr>
          <w:rFonts w:hint="eastAsia" w:ascii="宋体" w:hAnsi="宋体" w:eastAsia="宋体" w:cs="宋体"/>
          <w:b w:val="0"/>
          <w:bCs w:val="0"/>
          <w:color w:val="auto"/>
          <w:sz w:val="24"/>
          <w:szCs w:val="24"/>
          <w:lang w:val="en-US" w:eastAsia="zh-CN" w:bidi="zh-CN"/>
        </w:rPr>
        <w:t>0915-3219515</w:t>
      </w:r>
    </w:p>
    <w:p w14:paraId="2BC9939F">
      <w:pPr>
        <w:pStyle w:val="20"/>
        <w:spacing w:line="510" w:lineRule="atLeast"/>
        <w:ind w:firstLine="420"/>
        <w:rPr>
          <w:rFonts w:hint="eastAsia" w:ascii="宋体" w:hAnsi="宋体" w:eastAsia="宋体" w:cs="宋体"/>
          <w:color w:val="auto"/>
          <w:kern w:val="2"/>
          <w:lang w:eastAsia="zh-CN"/>
        </w:rPr>
      </w:pPr>
      <w:r>
        <w:rPr>
          <w:rFonts w:hint="eastAsia" w:ascii="宋体" w:hAnsi="宋体" w:eastAsia="宋体" w:cs="宋体"/>
          <w:color w:val="auto"/>
          <w:kern w:val="2"/>
        </w:rPr>
        <w:t>采购代理机构：</w:t>
      </w:r>
      <w:r>
        <w:rPr>
          <w:rFonts w:hint="eastAsia" w:cs="宋体"/>
          <w:b w:val="0"/>
          <w:bCs w:val="0"/>
          <w:color w:val="auto"/>
          <w:sz w:val="24"/>
          <w:szCs w:val="24"/>
          <w:lang w:val="en-US" w:eastAsia="zh-CN" w:bidi="zh-CN"/>
        </w:rPr>
        <w:t>中科经纬工程技术有限公司</w:t>
      </w:r>
    </w:p>
    <w:p w14:paraId="34EBE484">
      <w:pPr>
        <w:pStyle w:val="20"/>
        <w:spacing w:line="510" w:lineRule="atLeast"/>
        <w:ind w:firstLine="420"/>
        <w:rPr>
          <w:rFonts w:hint="eastAsia" w:ascii="宋体" w:hAnsi="宋体" w:eastAsia="宋体" w:cs="宋体"/>
          <w:color w:val="auto"/>
          <w:lang w:eastAsia="zh-CN"/>
        </w:rPr>
      </w:pPr>
      <w:r>
        <w:rPr>
          <w:rFonts w:hint="eastAsia" w:ascii="宋体" w:hAnsi="宋体" w:eastAsia="宋体" w:cs="宋体"/>
          <w:color w:val="auto"/>
        </w:rPr>
        <w:t>地  址：</w:t>
      </w:r>
      <w:r>
        <w:rPr>
          <w:rFonts w:hint="eastAsia" w:cs="宋体"/>
          <w:b w:val="0"/>
          <w:bCs w:val="0"/>
          <w:color w:val="auto"/>
          <w:sz w:val="24"/>
          <w:szCs w:val="24"/>
          <w:lang w:val="en-US" w:eastAsia="zh-CN" w:bidi="zh-CN"/>
        </w:rPr>
        <w:t>陕西省西安市浐灞生态区兴泰一街127号世园大观3幢10502室</w:t>
      </w:r>
    </w:p>
    <w:p w14:paraId="09925EAB">
      <w:pPr>
        <w:pStyle w:val="20"/>
        <w:spacing w:line="510" w:lineRule="atLeast"/>
        <w:ind w:firstLine="420"/>
        <w:rPr>
          <w:rFonts w:hint="default" w:ascii="宋体" w:hAnsi="宋体" w:eastAsia="宋体" w:cs="宋体"/>
          <w:color w:val="auto"/>
          <w:lang w:val="en-US" w:eastAsia="zh-CN"/>
        </w:rPr>
      </w:pPr>
      <w:r>
        <w:rPr>
          <w:rFonts w:hint="eastAsia" w:ascii="宋体" w:hAnsi="宋体" w:eastAsia="宋体" w:cs="宋体"/>
          <w:color w:val="auto"/>
          <w:lang w:eastAsia="zh-CN"/>
        </w:rPr>
        <w:t>联系方式：</w:t>
      </w:r>
      <w:r>
        <w:rPr>
          <w:rFonts w:hint="eastAsia" w:cs="宋体"/>
          <w:b w:val="0"/>
          <w:bCs w:val="0"/>
          <w:color w:val="auto"/>
          <w:sz w:val="24"/>
          <w:szCs w:val="24"/>
          <w:lang w:val="en-US" w:eastAsia="zh-CN" w:bidi="zh-CN"/>
        </w:rPr>
        <w:t>029-85261162</w:t>
      </w:r>
    </w:p>
    <w:p w14:paraId="556D7DFD">
      <w:pPr>
        <w:pStyle w:val="20"/>
        <w:spacing w:line="510" w:lineRule="atLeast"/>
        <w:ind w:firstLine="420"/>
        <w:rPr>
          <w:rFonts w:hint="eastAsia" w:ascii="宋体" w:hAnsi="宋体" w:eastAsia="宋体" w:cs="宋体"/>
          <w:color w:val="auto"/>
          <w:lang w:eastAsia="zh-CN"/>
        </w:rPr>
      </w:pPr>
      <w:r>
        <w:rPr>
          <w:rFonts w:hint="eastAsia" w:ascii="宋体" w:hAnsi="宋体" w:eastAsia="宋体" w:cs="宋体"/>
          <w:color w:val="auto"/>
          <w:lang w:eastAsia="zh-CN"/>
        </w:rPr>
        <w:t>邮 箱：</w:t>
      </w:r>
      <w:r>
        <w:rPr>
          <w:rFonts w:hint="eastAsia" w:cs="宋体"/>
          <w:color w:val="auto"/>
          <w:lang w:val="en-US" w:eastAsia="zh-CN"/>
        </w:rPr>
        <w:t>zksx2201@163.com</w:t>
      </w:r>
    </w:p>
    <w:p w14:paraId="672F8147">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2</w:t>
      </w:r>
      <w:r>
        <w:rPr>
          <w:rFonts w:hint="eastAsia" w:ascii="宋体" w:hAnsi="宋体" w:eastAsia="宋体" w:cs="宋体"/>
          <w:color w:val="auto"/>
          <w:sz w:val="24"/>
        </w:rPr>
        <w:t>.2 投诉</w:t>
      </w:r>
    </w:p>
    <w:p w14:paraId="70097900">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（1）质疑供应商对采购人、采购代理机构的答复不满意，或者采购人、采购代理机构未在规定时间内作出答复的，可以在答复期满后15个工作日内向同级财政部门提起投诉。</w:t>
      </w:r>
    </w:p>
    <w:p w14:paraId="698773F1">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（2）投诉人投诉时</w:t>
      </w:r>
      <w:r>
        <w:rPr>
          <w:rFonts w:hint="eastAsia" w:cs="宋体"/>
          <w:color w:val="auto"/>
          <w:sz w:val="24"/>
          <w:lang w:eastAsia="zh-CN"/>
        </w:rPr>
        <w:t>，</w:t>
      </w:r>
      <w:r>
        <w:rPr>
          <w:rFonts w:hint="eastAsia" w:ascii="宋体" w:hAnsi="宋体" w:eastAsia="宋体" w:cs="宋体"/>
          <w:color w:val="auto"/>
          <w:sz w:val="24"/>
        </w:rPr>
        <w:t>应当提交投诉书和必要的证明材料，并按照被投诉采购人、采购代理机构（以下简称被投诉人）和与投诉事项有关的供应商数量提供投诉书的副本。投诉书应当包括下列内容：</w:t>
      </w:r>
    </w:p>
    <w:p w14:paraId="13A5387C">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① 投诉人和被投诉人的姓名或者名称、通讯地址、邮编、联系人及联系电话；</w:t>
      </w:r>
    </w:p>
    <w:p w14:paraId="7B325CCF">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② 质疑和质疑答复情况说明及相关证明材料；</w:t>
      </w:r>
    </w:p>
    <w:p w14:paraId="2FF2E432">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③ 具体、明确的投诉事项和与投诉事项相关的投诉请求；</w:t>
      </w:r>
    </w:p>
    <w:p w14:paraId="060BCD89">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④ 事实依据；</w:t>
      </w:r>
    </w:p>
    <w:p w14:paraId="5D07BBE3">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⑤ 法律依据；</w:t>
      </w:r>
    </w:p>
    <w:p w14:paraId="5D2D5F51">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⑥ 提起投诉的日期。</w:t>
      </w:r>
    </w:p>
    <w:p w14:paraId="66C83500">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（3）投诉人为自然人的，应当由本人签字；投诉人为法人或者其他组织的，应当由法定代表人、主要负责人，或者其授权代表签字或者盖章，并加盖公章。</w:t>
      </w:r>
    </w:p>
    <w:p w14:paraId="445BF58A">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（4）投诉人提起投诉应当符合下列条件：</w:t>
      </w:r>
    </w:p>
    <w:p w14:paraId="2B327C9C">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① 提起投诉前已依法进行质疑；</w:t>
      </w:r>
    </w:p>
    <w:p w14:paraId="570692BD">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② 投诉书内容符合《政府采购质疑和投诉办法》（财政部令第94号令）的规定；</w:t>
      </w:r>
    </w:p>
    <w:p w14:paraId="794F4FD9">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③ 在投诉有效期限内提起投诉；</w:t>
      </w:r>
    </w:p>
    <w:p w14:paraId="0579E9E2">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④ 同一投诉事项未经财政部门投诉处理；</w:t>
      </w:r>
    </w:p>
    <w:p w14:paraId="32895A21">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⑤ 财政部规定的其他条件。</w:t>
      </w:r>
    </w:p>
    <w:p w14:paraId="027B81D5">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（5）供应商投诉的事项不得超出已质疑事项的范围，但基于质疑答复内容提出的投诉事项除外。</w:t>
      </w:r>
    </w:p>
    <w:p w14:paraId="7AA71C95">
      <w:pPr>
        <w:rPr>
          <w:rFonts w:hint="eastAsia"/>
          <w:color w:val="auto"/>
          <w:sz w:val="24"/>
          <w:szCs w:val="24"/>
          <w:lang w:val="en-US"/>
        </w:rPr>
      </w:pPr>
      <w:r>
        <w:rPr>
          <w:rFonts w:hint="eastAsia"/>
          <w:color w:val="auto"/>
          <w:sz w:val="24"/>
          <w:szCs w:val="24"/>
          <w:lang w:val="en-US"/>
        </w:rPr>
        <w:br w:type="page"/>
      </w:r>
    </w:p>
    <w:p w14:paraId="2881C3BD">
      <w:pPr>
        <w:pStyle w:val="5"/>
        <w:pageBreakBefore w:val="0"/>
        <w:topLinePunct w:val="0"/>
        <w:bidi w:val="0"/>
        <w:spacing w:line="500" w:lineRule="exact"/>
        <w:ind w:left="0" w:leftChars="0" w:right="0" w:rightChars="0" w:firstLine="562" w:firstLineChars="200"/>
        <w:rPr>
          <w:color w:val="auto"/>
        </w:rPr>
      </w:pPr>
      <w:bookmarkStart w:id="15" w:name="十一、拒绝商业贿赂"/>
      <w:bookmarkEnd w:id="15"/>
      <w:r>
        <w:rPr>
          <w:color w:val="auto"/>
        </w:rPr>
        <w:t>十一、拒绝商业贿赂</w:t>
      </w:r>
    </w:p>
    <w:p w14:paraId="1F0FD4FA">
      <w:pPr>
        <w:pStyle w:val="12"/>
        <w:pageBreakBefore w:val="0"/>
        <w:topLinePunct w:val="0"/>
        <w:bidi w:val="0"/>
        <w:spacing w:line="500" w:lineRule="exact"/>
        <w:ind w:left="0" w:leftChars="0" w:right="0" w:rightChars="0" w:firstLine="803" w:firstLineChars="200"/>
        <w:rPr>
          <w:b/>
          <w:color w:val="auto"/>
          <w:sz w:val="40"/>
        </w:rPr>
      </w:pPr>
    </w:p>
    <w:p w14:paraId="7CB17798">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eastAsia="zh-CN"/>
        </w:rPr>
        <w:t>供应商</w:t>
      </w:r>
      <w:r>
        <w:rPr>
          <w:rFonts w:hint="eastAsia"/>
          <w:color w:val="auto"/>
          <w:sz w:val="24"/>
          <w:szCs w:val="24"/>
          <w:lang w:val="en-US"/>
        </w:rPr>
        <w:t>必须填写一份《拒绝政府采购领域商业贿赂承诺书》（格式见第五部分附件）编制在</w:t>
      </w:r>
      <w:r>
        <w:rPr>
          <w:rFonts w:hint="eastAsia"/>
          <w:color w:val="auto"/>
          <w:sz w:val="24"/>
          <w:szCs w:val="24"/>
          <w:lang w:val="en-US" w:eastAsia="zh-CN"/>
        </w:rPr>
        <w:t>投标文件</w:t>
      </w:r>
      <w:r>
        <w:rPr>
          <w:rFonts w:hint="eastAsia"/>
          <w:color w:val="auto"/>
          <w:sz w:val="24"/>
          <w:szCs w:val="24"/>
          <w:lang w:val="en-US"/>
        </w:rPr>
        <w:t>中。</w:t>
      </w:r>
    </w:p>
    <w:p w14:paraId="626DD560">
      <w:pPr>
        <w:rPr>
          <w:color w:val="auto"/>
          <w:lang w:val="en-US"/>
        </w:rPr>
      </w:pPr>
      <w:bookmarkStart w:id="16" w:name="第三章_招标采购内容及服务要求"/>
      <w:bookmarkEnd w:id="16"/>
      <w:bookmarkStart w:id="17" w:name="_Toc11399"/>
    </w:p>
    <w:p w14:paraId="4D71DB6E">
      <w:pPr>
        <w:pStyle w:val="2"/>
        <w:pageBreakBefore w:val="0"/>
        <w:topLinePunct w:val="0"/>
        <w:bidi w:val="0"/>
        <w:spacing w:before="0" w:line="500" w:lineRule="exact"/>
        <w:ind w:left="0" w:leftChars="0" w:right="0" w:rightChars="0" w:firstLine="723" w:firstLineChars="200"/>
        <w:jc w:val="center"/>
        <w:rPr>
          <w:color w:val="auto"/>
          <w:lang w:val="en-US"/>
        </w:rPr>
      </w:pPr>
    </w:p>
    <w:p w14:paraId="5456C484">
      <w:pPr>
        <w:pStyle w:val="2"/>
        <w:pageBreakBefore w:val="0"/>
        <w:topLinePunct w:val="0"/>
        <w:bidi w:val="0"/>
        <w:spacing w:before="0" w:line="500" w:lineRule="exact"/>
        <w:ind w:left="0" w:leftChars="0" w:right="0" w:rightChars="0" w:firstLine="723" w:firstLineChars="200"/>
        <w:jc w:val="center"/>
        <w:rPr>
          <w:color w:val="auto"/>
          <w:lang w:val="en-US"/>
        </w:rPr>
      </w:pPr>
    </w:p>
    <w:p w14:paraId="0CC2BF2B">
      <w:pPr>
        <w:pStyle w:val="2"/>
        <w:pageBreakBefore w:val="0"/>
        <w:topLinePunct w:val="0"/>
        <w:bidi w:val="0"/>
        <w:spacing w:before="0" w:line="500" w:lineRule="exact"/>
        <w:ind w:left="0" w:leftChars="0" w:right="0" w:rightChars="0" w:firstLine="723" w:firstLineChars="200"/>
        <w:jc w:val="center"/>
        <w:rPr>
          <w:color w:val="auto"/>
          <w:lang w:val="en-US"/>
        </w:rPr>
      </w:pPr>
    </w:p>
    <w:p w14:paraId="41ECD2F3">
      <w:pPr>
        <w:pStyle w:val="2"/>
        <w:pageBreakBefore w:val="0"/>
        <w:topLinePunct w:val="0"/>
        <w:bidi w:val="0"/>
        <w:spacing w:before="0" w:line="500" w:lineRule="exact"/>
        <w:ind w:left="0" w:leftChars="0" w:right="0" w:rightChars="0" w:firstLine="723" w:firstLineChars="200"/>
        <w:jc w:val="center"/>
        <w:rPr>
          <w:color w:val="auto"/>
          <w:lang w:val="en-US"/>
        </w:rPr>
      </w:pPr>
    </w:p>
    <w:p w14:paraId="328A06E8">
      <w:pPr>
        <w:pStyle w:val="2"/>
        <w:pageBreakBefore w:val="0"/>
        <w:topLinePunct w:val="0"/>
        <w:bidi w:val="0"/>
        <w:spacing w:before="0" w:line="500" w:lineRule="exact"/>
        <w:ind w:left="0" w:leftChars="0" w:right="0" w:rightChars="0" w:firstLine="723" w:firstLineChars="200"/>
        <w:jc w:val="center"/>
        <w:rPr>
          <w:color w:val="auto"/>
          <w:lang w:val="en-US"/>
        </w:rPr>
      </w:pPr>
    </w:p>
    <w:p w14:paraId="334F17C2">
      <w:pPr>
        <w:pStyle w:val="2"/>
        <w:pageBreakBefore w:val="0"/>
        <w:topLinePunct w:val="0"/>
        <w:bidi w:val="0"/>
        <w:spacing w:before="0" w:line="500" w:lineRule="exact"/>
        <w:ind w:left="0" w:leftChars="0" w:right="0" w:rightChars="0" w:firstLine="723" w:firstLineChars="200"/>
        <w:jc w:val="center"/>
        <w:rPr>
          <w:color w:val="auto"/>
          <w:lang w:val="en-US"/>
        </w:rPr>
      </w:pPr>
    </w:p>
    <w:p w14:paraId="73A4781E">
      <w:pPr>
        <w:pStyle w:val="2"/>
        <w:pageBreakBefore w:val="0"/>
        <w:topLinePunct w:val="0"/>
        <w:bidi w:val="0"/>
        <w:spacing w:before="0" w:line="500" w:lineRule="exact"/>
        <w:ind w:left="0" w:leftChars="0" w:right="0" w:rightChars="0" w:firstLine="723" w:firstLineChars="200"/>
        <w:jc w:val="center"/>
        <w:rPr>
          <w:color w:val="auto"/>
          <w:lang w:val="en-US"/>
        </w:rPr>
      </w:pPr>
    </w:p>
    <w:p w14:paraId="6C020FD5">
      <w:pPr>
        <w:pStyle w:val="2"/>
        <w:pageBreakBefore w:val="0"/>
        <w:topLinePunct w:val="0"/>
        <w:bidi w:val="0"/>
        <w:spacing w:before="0" w:line="500" w:lineRule="exact"/>
        <w:ind w:left="0" w:leftChars="0" w:right="0" w:rightChars="0" w:firstLine="723" w:firstLineChars="200"/>
        <w:jc w:val="center"/>
        <w:rPr>
          <w:color w:val="auto"/>
          <w:lang w:val="en-US"/>
        </w:rPr>
      </w:pPr>
    </w:p>
    <w:p w14:paraId="051EFF69">
      <w:pPr>
        <w:pStyle w:val="2"/>
        <w:pageBreakBefore w:val="0"/>
        <w:topLinePunct w:val="0"/>
        <w:bidi w:val="0"/>
        <w:spacing w:before="0" w:line="500" w:lineRule="exact"/>
        <w:ind w:left="0" w:leftChars="0" w:right="0" w:rightChars="0" w:firstLine="723" w:firstLineChars="200"/>
        <w:jc w:val="center"/>
        <w:rPr>
          <w:color w:val="auto"/>
          <w:lang w:val="en-US"/>
        </w:rPr>
      </w:pPr>
    </w:p>
    <w:p w14:paraId="18694C04">
      <w:pPr>
        <w:pStyle w:val="2"/>
        <w:pageBreakBefore w:val="0"/>
        <w:topLinePunct w:val="0"/>
        <w:bidi w:val="0"/>
        <w:spacing w:before="0" w:line="500" w:lineRule="exact"/>
        <w:ind w:left="0" w:leftChars="0" w:right="0" w:rightChars="0" w:firstLine="723" w:firstLineChars="200"/>
        <w:jc w:val="center"/>
        <w:rPr>
          <w:color w:val="auto"/>
          <w:lang w:val="en-US"/>
        </w:rPr>
      </w:pPr>
    </w:p>
    <w:p w14:paraId="289B0208">
      <w:pPr>
        <w:pStyle w:val="2"/>
        <w:pageBreakBefore w:val="0"/>
        <w:topLinePunct w:val="0"/>
        <w:bidi w:val="0"/>
        <w:spacing w:before="0" w:line="500" w:lineRule="exact"/>
        <w:ind w:left="0" w:leftChars="0" w:right="0" w:rightChars="0" w:firstLine="723" w:firstLineChars="200"/>
        <w:jc w:val="center"/>
        <w:rPr>
          <w:color w:val="auto"/>
          <w:lang w:val="en-US"/>
        </w:rPr>
      </w:pPr>
    </w:p>
    <w:p w14:paraId="5A2A14E7">
      <w:pPr>
        <w:pStyle w:val="2"/>
        <w:pageBreakBefore w:val="0"/>
        <w:topLinePunct w:val="0"/>
        <w:bidi w:val="0"/>
        <w:spacing w:before="0" w:line="500" w:lineRule="exact"/>
        <w:ind w:left="0" w:leftChars="0" w:right="0" w:rightChars="0" w:firstLine="723" w:firstLineChars="200"/>
        <w:jc w:val="center"/>
        <w:rPr>
          <w:color w:val="auto"/>
          <w:lang w:val="en-US"/>
        </w:rPr>
      </w:pPr>
    </w:p>
    <w:p w14:paraId="787498D5">
      <w:pPr>
        <w:pStyle w:val="2"/>
        <w:pageBreakBefore w:val="0"/>
        <w:topLinePunct w:val="0"/>
        <w:bidi w:val="0"/>
        <w:spacing w:before="0" w:line="500" w:lineRule="exact"/>
        <w:ind w:left="0" w:leftChars="0" w:right="0" w:rightChars="0" w:firstLine="723" w:firstLineChars="200"/>
        <w:jc w:val="center"/>
        <w:rPr>
          <w:color w:val="auto"/>
          <w:lang w:val="en-US"/>
        </w:rPr>
      </w:pPr>
    </w:p>
    <w:p w14:paraId="6ED3E7B9">
      <w:pPr>
        <w:pStyle w:val="2"/>
        <w:pageBreakBefore w:val="0"/>
        <w:topLinePunct w:val="0"/>
        <w:bidi w:val="0"/>
        <w:spacing w:before="0" w:line="500" w:lineRule="exact"/>
        <w:ind w:left="0" w:leftChars="0" w:right="0" w:rightChars="0" w:firstLine="723" w:firstLineChars="200"/>
        <w:jc w:val="center"/>
        <w:rPr>
          <w:color w:val="auto"/>
          <w:lang w:val="en-US"/>
        </w:rPr>
      </w:pPr>
    </w:p>
    <w:p w14:paraId="76C92005">
      <w:pPr>
        <w:pStyle w:val="2"/>
        <w:pageBreakBefore w:val="0"/>
        <w:topLinePunct w:val="0"/>
        <w:bidi w:val="0"/>
        <w:spacing w:before="0" w:line="500" w:lineRule="exact"/>
        <w:ind w:left="0" w:leftChars="0" w:right="0" w:rightChars="0" w:firstLine="723" w:firstLineChars="200"/>
        <w:jc w:val="center"/>
        <w:rPr>
          <w:color w:val="auto"/>
          <w:lang w:val="en-US"/>
        </w:rPr>
      </w:pPr>
    </w:p>
    <w:p w14:paraId="6EF6B6E8">
      <w:pPr>
        <w:pStyle w:val="2"/>
        <w:pageBreakBefore w:val="0"/>
        <w:topLinePunct w:val="0"/>
        <w:bidi w:val="0"/>
        <w:spacing w:before="0" w:line="500" w:lineRule="exact"/>
        <w:ind w:left="0" w:leftChars="0" w:right="0" w:rightChars="0" w:firstLine="723" w:firstLineChars="200"/>
        <w:jc w:val="center"/>
        <w:rPr>
          <w:color w:val="auto"/>
          <w:lang w:val="en-US"/>
        </w:rPr>
      </w:pPr>
    </w:p>
    <w:p w14:paraId="32583ACF">
      <w:pPr>
        <w:pStyle w:val="2"/>
        <w:pageBreakBefore w:val="0"/>
        <w:topLinePunct w:val="0"/>
        <w:bidi w:val="0"/>
        <w:spacing w:before="0" w:line="500" w:lineRule="exact"/>
        <w:ind w:left="0" w:leftChars="0" w:right="0" w:rightChars="0" w:firstLine="723" w:firstLineChars="200"/>
        <w:jc w:val="center"/>
        <w:rPr>
          <w:color w:val="auto"/>
          <w:lang w:val="en-US"/>
        </w:rPr>
      </w:pPr>
    </w:p>
    <w:p w14:paraId="0F141C19">
      <w:pPr>
        <w:pStyle w:val="2"/>
        <w:pageBreakBefore w:val="0"/>
        <w:topLinePunct w:val="0"/>
        <w:bidi w:val="0"/>
        <w:spacing w:before="0" w:line="500" w:lineRule="exact"/>
        <w:ind w:left="0" w:leftChars="0" w:right="0" w:rightChars="0" w:firstLine="723" w:firstLineChars="200"/>
        <w:jc w:val="center"/>
        <w:rPr>
          <w:color w:val="auto"/>
          <w:lang w:val="en-US"/>
        </w:rPr>
      </w:pPr>
    </w:p>
    <w:p w14:paraId="4B4FE00C">
      <w:pPr>
        <w:pStyle w:val="2"/>
        <w:pageBreakBefore w:val="0"/>
        <w:topLinePunct w:val="0"/>
        <w:bidi w:val="0"/>
        <w:spacing w:before="0" w:line="500" w:lineRule="exact"/>
        <w:ind w:left="0" w:leftChars="0" w:right="0" w:rightChars="0" w:firstLine="723" w:firstLineChars="200"/>
        <w:jc w:val="center"/>
        <w:rPr>
          <w:color w:val="auto"/>
          <w:lang w:val="en-US"/>
        </w:rPr>
      </w:pPr>
    </w:p>
    <w:p w14:paraId="494DFF06">
      <w:pPr>
        <w:pStyle w:val="2"/>
        <w:pageBreakBefore w:val="0"/>
        <w:topLinePunct w:val="0"/>
        <w:bidi w:val="0"/>
        <w:spacing w:before="0" w:line="500" w:lineRule="exact"/>
        <w:ind w:left="0" w:leftChars="0" w:right="0" w:rightChars="0" w:firstLine="723" w:firstLineChars="200"/>
        <w:jc w:val="center"/>
        <w:rPr>
          <w:color w:val="auto"/>
          <w:lang w:val="en-US"/>
        </w:rPr>
      </w:pPr>
    </w:p>
    <w:p w14:paraId="5F8D5707">
      <w:pPr>
        <w:pStyle w:val="2"/>
        <w:pageBreakBefore w:val="0"/>
        <w:topLinePunct w:val="0"/>
        <w:bidi w:val="0"/>
        <w:spacing w:before="0" w:line="500" w:lineRule="exact"/>
        <w:ind w:left="0" w:leftChars="0" w:right="0" w:rightChars="0" w:firstLine="723" w:firstLineChars="200"/>
        <w:jc w:val="center"/>
        <w:rPr>
          <w:color w:val="auto"/>
          <w:lang w:val="en-US"/>
        </w:rPr>
      </w:pPr>
    </w:p>
    <w:p w14:paraId="4AF7F93F">
      <w:pPr>
        <w:pStyle w:val="2"/>
        <w:pageBreakBefore w:val="0"/>
        <w:topLinePunct w:val="0"/>
        <w:bidi w:val="0"/>
        <w:spacing w:before="0" w:line="500" w:lineRule="exact"/>
        <w:ind w:left="0" w:leftChars="0" w:right="0" w:rightChars="0" w:firstLine="723" w:firstLineChars="200"/>
        <w:jc w:val="center"/>
        <w:rPr>
          <w:color w:val="auto"/>
          <w:lang w:val="en-US"/>
        </w:rPr>
      </w:pPr>
    </w:p>
    <w:p w14:paraId="2FDC5D48">
      <w:pPr>
        <w:pStyle w:val="2"/>
        <w:pageBreakBefore w:val="0"/>
        <w:topLinePunct w:val="0"/>
        <w:bidi w:val="0"/>
        <w:spacing w:before="0" w:line="500" w:lineRule="exact"/>
        <w:ind w:left="0" w:leftChars="0" w:right="0" w:rightChars="0" w:firstLine="723" w:firstLineChars="200"/>
        <w:jc w:val="center"/>
        <w:rPr>
          <w:color w:val="auto"/>
          <w:lang w:val="en-US"/>
        </w:rPr>
      </w:pPr>
    </w:p>
    <w:p w14:paraId="70110153">
      <w:pPr>
        <w:pStyle w:val="2"/>
        <w:pageBreakBefore w:val="0"/>
        <w:topLinePunct w:val="0"/>
        <w:bidi w:val="0"/>
        <w:spacing w:before="0" w:line="500" w:lineRule="exact"/>
        <w:ind w:left="0" w:leftChars="0" w:right="0" w:rightChars="0" w:firstLine="723" w:firstLineChars="200"/>
        <w:jc w:val="center"/>
        <w:rPr>
          <w:color w:val="auto"/>
          <w:lang w:val="en-US"/>
        </w:rPr>
      </w:pPr>
      <w:r>
        <w:rPr>
          <w:color w:val="auto"/>
          <w:lang w:val="en-US"/>
        </w:rPr>
        <w:t>第</w:t>
      </w:r>
      <w:r>
        <w:rPr>
          <w:rFonts w:hint="eastAsia"/>
          <w:color w:val="auto"/>
          <w:lang w:val="en-US"/>
        </w:rPr>
        <w:t>三</w:t>
      </w:r>
      <w:r>
        <w:rPr>
          <w:color w:val="auto"/>
          <w:lang w:val="en-US"/>
        </w:rPr>
        <w:t>章 招标采购内容及服务要求</w:t>
      </w:r>
      <w:bookmarkEnd w:id="17"/>
    </w:p>
    <w:p w14:paraId="1375E38F">
      <w:pPr>
        <w:pageBreakBefore w:val="0"/>
        <w:topLinePunct w:val="0"/>
        <w:bidi w:val="0"/>
        <w:spacing w:line="500" w:lineRule="exact"/>
        <w:ind w:left="0" w:leftChars="0" w:right="0" w:rightChars="0" w:firstLine="440" w:firstLineChars="200"/>
        <w:rPr>
          <w:color w:val="auto"/>
        </w:rPr>
      </w:pPr>
    </w:p>
    <w:p w14:paraId="0A36CA1B">
      <w:pPr>
        <w:pageBreakBefore w:val="0"/>
        <w:topLinePunct w:val="0"/>
        <w:bidi w:val="0"/>
        <w:spacing w:line="500" w:lineRule="exact"/>
        <w:ind w:left="0" w:leftChars="0" w:right="0" w:rightChars="0" w:firstLine="482" w:firstLineChars="200"/>
        <w:rPr>
          <w:rFonts w:hint="eastAsia"/>
          <w:color w:val="auto"/>
          <w:sz w:val="28"/>
          <w:szCs w:val="28"/>
          <w:lang w:val="en-US"/>
        </w:rPr>
      </w:pPr>
      <w:r>
        <w:rPr>
          <w:rFonts w:hint="eastAsia"/>
          <w:b/>
          <w:bCs/>
          <w:color w:val="auto"/>
          <w:sz w:val="24"/>
          <w:szCs w:val="24"/>
          <w:lang w:val="en-US" w:eastAsia="zh-CN"/>
        </w:rPr>
        <w:t>一、项目概况</w:t>
      </w:r>
      <w:r>
        <w:rPr>
          <w:rFonts w:hint="eastAsia"/>
          <w:b/>
          <w:bCs/>
          <w:color w:val="auto"/>
          <w:sz w:val="28"/>
          <w:szCs w:val="28"/>
          <w:lang w:val="en-US" w:eastAsia="zh-CN"/>
        </w:rPr>
        <w:t>：</w:t>
      </w:r>
      <w:r>
        <w:rPr>
          <w:rFonts w:hint="eastAsia"/>
          <w:color w:val="auto"/>
          <w:sz w:val="24"/>
          <w:szCs w:val="24"/>
          <w:lang w:val="en-US" w:eastAsia="zh-CN"/>
        </w:rPr>
        <w:t>涵盖汉滨区营养改善计划实施学校大宗食材和原辅材料、公办中小学及幼儿园（含市属第一幼儿园、第二幼儿园、阳光学校）大宗食材，具体包括大米、面粉、食用油、肉蛋禽、牛奶、杂粮等。</w:t>
      </w:r>
    </w:p>
    <w:p w14:paraId="671E1E34">
      <w:pPr>
        <w:pageBreakBefore w:val="0"/>
        <w:numPr>
          <w:ilvl w:val="0"/>
          <w:numId w:val="0"/>
        </w:numPr>
        <w:topLinePunct w:val="0"/>
        <w:bidi w:val="0"/>
        <w:spacing w:line="500" w:lineRule="exact"/>
        <w:ind w:right="0" w:rightChars="0" w:firstLine="482" w:firstLineChars="200"/>
        <w:rPr>
          <w:rFonts w:hint="eastAsia"/>
          <w:b/>
          <w:bCs/>
          <w:color w:val="auto"/>
          <w:sz w:val="28"/>
          <w:szCs w:val="28"/>
          <w:lang w:val="en-US" w:eastAsia="zh-CN"/>
        </w:rPr>
      </w:pPr>
      <w:r>
        <w:rPr>
          <w:rFonts w:hint="eastAsia"/>
          <w:b/>
          <w:bCs/>
          <w:color w:val="auto"/>
          <w:sz w:val="24"/>
          <w:szCs w:val="24"/>
          <w:lang w:val="en-US" w:eastAsia="zh-CN"/>
        </w:rPr>
        <w:t>二、采购预算金额：</w:t>
      </w:r>
    </w:p>
    <w:p w14:paraId="5A01C0ED">
      <w:pPr>
        <w:rPr>
          <w:rFonts w:hint="eastAsia"/>
          <w:color w:val="auto"/>
          <w:lang w:val="en-US" w:eastAsia="zh-CN"/>
        </w:rPr>
      </w:pPr>
    </w:p>
    <w:tbl>
      <w:tblPr>
        <w:tblStyle w:val="23"/>
        <w:tblW w:w="981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91"/>
        <w:gridCol w:w="1116"/>
        <w:gridCol w:w="1026"/>
        <w:gridCol w:w="666"/>
        <w:gridCol w:w="2206"/>
        <w:gridCol w:w="1116"/>
        <w:gridCol w:w="1296"/>
        <w:gridCol w:w="835"/>
        <w:gridCol w:w="763"/>
      </w:tblGrid>
      <w:tr w14:paraId="3CC7D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5" w:hRule="atLeast"/>
        </w:trPr>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C481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标段</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3E2F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食材名称</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B517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预计实施周期</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9332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预计人数</w:t>
            </w:r>
          </w:p>
        </w:tc>
        <w:tc>
          <w:tcPr>
            <w:tcW w:w="2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6027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食材用量标准</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87B5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预计食材用量</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B30F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平均单价</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DB9D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预计金额(万元)</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4377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合计资金（万元）</w:t>
            </w:r>
          </w:p>
        </w:tc>
      </w:tr>
      <w:tr w14:paraId="26FC7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2" w:hRule="atLeast"/>
        </w:trPr>
        <w:tc>
          <w:tcPr>
            <w:tcW w:w="79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963C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一标段（A片区米面油、牛奶采购）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C4A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89D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A32B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17100</w:t>
            </w:r>
          </w:p>
        </w:tc>
        <w:tc>
          <w:tcPr>
            <w:tcW w:w="2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F24C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营养午餐9674人每餐约150克，每日1餐；中小学幼儿园非营养餐7426人每餐约100克，每日1餐。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6D8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421190千克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1C5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4.78元/千克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2F2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201.33 </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5BCE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432.59 </w:t>
            </w:r>
          </w:p>
        </w:tc>
      </w:tr>
      <w:tr w14:paraId="400C8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7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AF123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BA2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面粉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B5E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6C75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7426</w:t>
            </w:r>
          </w:p>
        </w:tc>
        <w:tc>
          <w:tcPr>
            <w:tcW w:w="2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C61D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非营养餐早晚餐每生每天平均2餐，平均每餐约50克。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3C4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142579千克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C46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4.28元/千克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EEB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61.02 </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588F6">
            <w:pPr>
              <w:jc w:val="center"/>
              <w:rPr>
                <w:rFonts w:hint="eastAsia" w:ascii="宋体" w:hAnsi="宋体" w:eastAsia="宋体" w:cs="宋体"/>
                <w:b/>
                <w:bCs/>
                <w:i w:val="0"/>
                <w:iCs w:val="0"/>
                <w:color w:val="000000"/>
                <w:sz w:val="18"/>
                <w:szCs w:val="18"/>
                <w:u w:val="none"/>
              </w:rPr>
            </w:pPr>
          </w:p>
        </w:tc>
      </w:tr>
      <w:tr w14:paraId="7D652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5" w:hRule="atLeast"/>
        </w:trPr>
        <w:tc>
          <w:tcPr>
            <w:tcW w:w="7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29E59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E65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菜籽油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6AF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604D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17100</w:t>
            </w:r>
          </w:p>
        </w:tc>
        <w:tc>
          <w:tcPr>
            <w:tcW w:w="2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B0A4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营养午餐9674人每餐约15毫升，每日1餐；非营养餐7426人每餐约17毫升，每日平均2餐。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168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76338升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C03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14.31元/升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AA4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109.24 </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E3855">
            <w:pPr>
              <w:jc w:val="center"/>
              <w:rPr>
                <w:rFonts w:hint="eastAsia" w:ascii="宋体" w:hAnsi="宋体" w:eastAsia="宋体" w:cs="宋体"/>
                <w:b/>
                <w:bCs/>
                <w:i w:val="0"/>
                <w:iCs w:val="0"/>
                <w:color w:val="000000"/>
                <w:sz w:val="18"/>
                <w:szCs w:val="18"/>
                <w:u w:val="none"/>
              </w:rPr>
            </w:pPr>
          </w:p>
        </w:tc>
      </w:tr>
      <w:tr w14:paraId="0BE48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trPr>
        <w:tc>
          <w:tcPr>
            <w:tcW w:w="7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C00C8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BAC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面制品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9CB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DE9C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7426</w:t>
            </w:r>
          </w:p>
        </w:tc>
        <w:tc>
          <w:tcPr>
            <w:tcW w:w="2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241F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非营养餐早晚餐用挂面、鲜面、麻什等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B15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358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市场采价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E85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15.00 </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F376B">
            <w:pPr>
              <w:jc w:val="center"/>
              <w:rPr>
                <w:rFonts w:hint="eastAsia" w:ascii="宋体" w:hAnsi="宋体" w:eastAsia="宋体" w:cs="宋体"/>
                <w:b/>
                <w:bCs/>
                <w:i w:val="0"/>
                <w:iCs w:val="0"/>
                <w:color w:val="000000"/>
                <w:sz w:val="18"/>
                <w:szCs w:val="18"/>
                <w:u w:val="none"/>
              </w:rPr>
            </w:pPr>
          </w:p>
        </w:tc>
      </w:tr>
      <w:tr w14:paraId="547BCE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8" w:hRule="atLeast"/>
        </w:trPr>
        <w:tc>
          <w:tcPr>
            <w:tcW w:w="7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B91DE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45F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杂粮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C92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1948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7426</w:t>
            </w:r>
          </w:p>
        </w:tc>
        <w:tc>
          <w:tcPr>
            <w:tcW w:w="2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61D4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营养午餐及非营养餐学校辅食搭配用各种杂粮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D02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9AB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市场采价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7BE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8.00 </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B689E">
            <w:pPr>
              <w:jc w:val="center"/>
              <w:rPr>
                <w:rFonts w:hint="eastAsia" w:ascii="宋体" w:hAnsi="宋体" w:eastAsia="宋体" w:cs="宋体"/>
                <w:b/>
                <w:bCs/>
                <w:i w:val="0"/>
                <w:iCs w:val="0"/>
                <w:color w:val="000000"/>
                <w:sz w:val="18"/>
                <w:szCs w:val="18"/>
                <w:u w:val="none"/>
              </w:rPr>
            </w:pPr>
          </w:p>
        </w:tc>
      </w:tr>
      <w:tr w14:paraId="3FE53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8" w:hRule="atLeast"/>
        </w:trPr>
        <w:tc>
          <w:tcPr>
            <w:tcW w:w="7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56F87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110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纯牛奶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E06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64餐次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384A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3054</w:t>
            </w:r>
          </w:p>
        </w:tc>
        <w:tc>
          <w:tcPr>
            <w:tcW w:w="2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663F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幼儿园及部分中小学每生每餐1盒牛奶，平均每3天约1次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756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62C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市场采价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691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38.00 </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3FD00">
            <w:pPr>
              <w:jc w:val="center"/>
              <w:rPr>
                <w:rFonts w:hint="eastAsia" w:ascii="宋体" w:hAnsi="宋体" w:eastAsia="宋体" w:cs="宋体"/>
                <w:b/>
                <w:bCs/>
                <w:i w:val="0"/>
                <w:iCs w:val="0"/>
                <w:color w:val="000000"/>
                <w:sz w:val="18"/>
                <w:szCs w:val="18"/>
                <w:u w:val="none"/>
              </w:rPr>
            </w:pPr>
          </w:p>
        </w:tc>
      </w:tr>
      <w:tr w14:paraId="21242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4" w:hRule="atLeast"/>
        </w:trPr>
        <w:tc>
          <w:tcPr>
            <w:tcW w:w="79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8D08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二标段（A片区肉蛋禽采购)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9A4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大肉类食材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BEA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172/192天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3C96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17100</w:t>
            </w:r>
          </w:p>
        </w:tc>
        <w:tc>
          <w:tcPr>
            <w:tcW w:w="2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3697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营养午餐9674人172天每餐约50克，每日1餐；非营养餐7426人192天每餐约50克，每日平均1餐。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3FF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154486千克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6C8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22元/千克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CAB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339.87 </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8176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557.34 </w:t>
            </w:r>
          </w:p>
        </w:tc>
      </w:tr>
      <w:tr w14:paraId="269EC9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7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123EF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F79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精排骨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ED2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20餐次</w:t>
            </w:r>
          </w:p>
        </w:tc>
        <w:tc>
          <w:tcPr>
            <w:tcW w:w="0" w:type="auto"/>
            <w:tcBorders>
              <w:top w:val="nil"/>
              <w:left w:val="nil"/>
              <w:bottom w:val="nil"/>
              <w:right w:val="nil"/>
            </w:tcBorders>
            <w:shd w:val="clear" w:color="auto" w:fill="auto"/>
            <w:noWrap/>
            <w:vAlign w:val="center"/>
          </w:tcPr>
          <w:p w14:paraId="40E5802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9674</w:t>
            </w:r>
          </w:p>
        </w:tc>
        <w:tc>
          <w:tcPr>
            <w:tcW w:w="2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7F69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营养午餐每生每餐约60克，约平均每2周1次。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A73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11609千克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3C0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36元/千克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09C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41.79 </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D1C39">
            <w:pPr>
              <w:jc w:val="center"/>
              <w:rPr>
                <w:rFonts w:hint="eastAsia" w:ascii="宋体" w:hAnsi="宋体" w:eastAsia="宋体" w:cs="宋体"/>
                <w:b/>
                <w:bCs/>
                <w:i w:val="0"/>
                <w:iCs w:val="0"/>
                <w:color w:val="000000"/>
                <w:sz w:val="18"/>
                <w:szCs w:val="18"/>
                <w:u w:val="none"/>
              </w:rPr>
            </w:pPr>
          </w:p>
        </w:tc>
      </w:tr>
      <w:tr w14:paraId="776E3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7" w:hRule="atLeast"/>
        </w:trPr>
        <w:tc>
          <w:tcPr>
            <w:tcW w:w="7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BFBFA7">
            <w:pPr>
              <w:jc w:val="center"/>
              <w:rPr>
                <w:rFonts w:hint="eastAsia" w:ascii="宋体" w:hAnsi="宋体" w:eastAsia="宋体" w:cs="宋体"/>
                <w:i w:val="0"/>
                <w:iCs w:val="0"/>
                <w:color w:val="000000"/>
                <w:sz w:val="18"/>
                <w:szCs w:val="18"/>
                <w:u w:val="none"/>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4B8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牛肉、羊肉、鸡肉等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F2D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40餐次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7788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7426</w:t>
            </w:r>
          </w:p>
        </w:tc>
        <w:tc>
          <w:tcPr>
            <w:tcW w:w="2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3A67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非营养餐每生每餐平均约50克，平均每周约1次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87E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14852千克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C97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74元/千克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685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109.91 </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79D50">
            <w:pPr>
              <w:jc w:val="center"/>
              <w:rPr>
                <w:rFonts w:hint="eastAsia" w:ascii="宋体" w:hAnsi="宋体" w:eastAsia="宋体" w:cs="宋体"/>
                <w:b/>
                <w:bCs/>
                <w:i w:val="0"/>
                <w:iCs w:val="0"/>
                <w:color w:val="000000"/>
                <w:sz w:val="18"/>
                <w:szCs w:val="18"/>
                <w:u w:val="none"/>
              </w:rPr>
            </w:pPr>
          </w:p>
        </w:tc>
      </w:tr>
      <w:tr w14:paraId="1D0C6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0" w:hRule="atLeast"/>
        </w:trPr>
        <w:tc>
          <w:tcPr>
            <w:tcW w:w="7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691A8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48B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鸡蛋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54D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40/96餐次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878F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17100</w:t>
            </w:r>
          </w:p>
        </w:tc>
        <w:tc>
          <w:tcPr>
            <w:tcW w:w="2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B85A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营养午餐9674人每餐约50克，平均每周约1次；非营养餐7426人每餐约50克，平均每2天1次。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0CF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54993千克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D41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11.96元/千克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5C0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65.77 </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78621">
            <w:pPr>
              <w:jc w:val="center"/>
              <w:rPr>
                <w:rFonts w:hint="eastAsia" w:ascii="宋体" w:hAnsi="宋体" w:eastAsia="宋体" w:cs="宋体"/>
                <w:b/>
                <w:bCs/>
                <w:i w:val="0"/>
                <w:iCs w:val="0"/>
                <w:color w:val="000000"/>
                <w:sz w:val="18"/>
                <w:szCs w:val="18"/>
                <w:u w:val="none"/>
              </w:rPr>
            </w:pPr>
          </w:p>
        </w:tc>
      </w:tr>
      <w:tr w14:paraId="7E28A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4" w:hRule="atLeast"/>
        </w:trPr>
        <w:tc>
          <w:tcPr>
            <w:tcW w:w="79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1A66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cs="宋体"/>
                <w:i w:val="0"/>
                <w:iCs w:val="0"/>
                <w:color w:val="000000"/>
                <w:kern w:val="0"/>
                <w:sz w:val="18"/>
                <w:szCs w:val="18"/>
                <w:u w:val="none"/>
                <w:lang w:val="en-US" w:eastAsia="zh-CN" w:bidi="ar"/>
              </w:rPr>
              <w:t>三</w:t>
            </w:r>
            <w:r>
              <w:rPr>
                <w:rFonts w:hint="eastAsia" w:ascii="宋体" w:hAnsi="宋体" w:eastAsia="宋体" w:cs="宋体"/>
                <w:i w:val="0"/>
                <w:iCs w:val="0"/>
                <w:color w:val="000000"/>
                <w:kern w:val="0"/>
                <w:sz w:val="18"/>
                <w:szCs w:val="18"/>
                <w:u w:val="none"/>
                <w:lang w:val="en-US" w:eastAsia="zh-CN" w:bidi="ar"/>
              </w:rPr>
              <w:t>标段（B片区肉蛋禽采购)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079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大肉类食材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D1F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172/192天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BADA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17107</w:t>
            </w:r>
          </w:p>
        </w:tc>
        <w:tc>
          <w:tcPr>
            <w:tcW w:w="2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EA48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营养午餐9917人172天每餐约50克，每日1餐；非营养餐7190人192天每餐约50克，每日平均1餐。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0EE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154310千克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D11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22元/千克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24D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339.48 </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76E5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553.73 </w:t>
            </w:r>
          </w:p>
        </w:tc>
      </w:tr>
      <w:tr w14:paraId="42254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7" w:hRule="atLeast"/>
        </w:trPr>
        <w:tc>
          <w:tcPr>
            <w:tcW w:w="7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3A617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D87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精排骨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32A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20餐次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AEB3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9917</w:t>
            </w:r>
          </w:p>
        </w:tc>
        <w:tc>
          <w:tcPr>
            <w:tcW w:w="2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5AAE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营养午餐每生每餐约60克，约平均每2周1次。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43F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11900千克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0B3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36元/千克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54D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42.84 </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B6CD8">
            <w:pPr>
              <w:jc w:val="center"/>
              <w:rPr>
                <w:rFonts w:hint="eastAsia" w:ascii="宋体" w:hAnsi="宋体" w:eastAsia="宋体" w:cs="宋体"/>
                <w:b/>
                <w:bCs/>
                <w:i w:val="0"/>
                <w:iCs w:val="0"/>
                <w:color w:val="000000"/>
                <w:sz w:val="18"/>
                <w:szCs w:val="18"/>
                <w:u w:val="none"/>
              </w:rPr>
            </w:pPr>
          </w:p>
        </w:tc>
      </w:tr>
      <w:tr w14:paraId="388F1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2" w:hRule="atLeast"/>
        </w:trPr>
        <w:tc>
          <w:tcPr>
            <w:tcW w:w="7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644A17">
            <w:pPr>
              <w:jc w:val="center"/>
              <w:rPr>
                <w:rFonts w:hint="eastAsia" w:ascii="宋体" w:hAnsi="宋体" w:eastAsia="宋体" w:cs="宋体"/>
                <w:i w:val="0"/>
                <w:iCs w:val="0"/>
                <w:color w:val="000000"/>
                <w:sz w:val="18"/>
                <w:szCs w:val="18"/>
                <w:u w:val="none"/>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747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牛肉、羊肉、鸡肉等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4A1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40餐次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265A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7190</w:t>
            </w:r>
          </w:p>
        </w:tc>
        <w:tc>
          <w:tcPr>
            <w:tcW w:w="2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EB7F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非营养餐每生每餐平均约50克，平均每周约1次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CA6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14380千克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F9E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74元/千克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4F9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106.41 </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9AA20">
            <w:pPr>
              <w:jc w:val="center"/>
              <w:rPr>
                <w:rFonts w:hint="eastAsia" w:ascii="宋体" w:hAnsi="宋体" w:eastAsia="宋体" w:cs="宋体"/>
                <w:b/>
                <w:bCs/>
                <w:i w:val="0"/>
                <w:iCs w:val="0"/>
                <w:color w:val="000000"/>
                <w:sz w:val="18"/>
                <w:szCs w:val="18"/>
                <w:u w:val="none"/>
              </w:rPr>
            </w:pPr>
          </w:p>
        </w:tc>
      </w:tr>
      <w:tr w14:paraId="2842F7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 w:hRule="atLeast"/>
        </w:trPr>
        <w:tc>
          <w:tcPr>
            <w:tcW w:w="7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30363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BAB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鸡蛋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A70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40/96餐次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3C8D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17107</w:t>
            </w:r>
          </w:p>
        </w:tc>
        <w:tc>
          <w:tcPr>
            <w:tcW w:w="2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0F25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营养午餐9917人每餐约50克，平均每周约1次；非营养餐7190人每餐约50克，平均每2天1次。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0D6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54346千克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3DC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11.96元/千克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96F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65.00 </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025E2">
            <w:pPr>
              <w:jc w:val="center"/>
              <w:rPr>
                <w:rFonts w:hint="eastAsia" w:ascii="宋体" w:hAnsi="宋体" w:eastAsia="宋体" w:cs="宋体"/>
                <w:b/>
                <w:bCs/>
                <w:i w:val="0"/>
                <w:iCs w:val="0"/>
                <w:color w:val="000000"/>
                <w:sz w:val="18"/>
                <w:szCs w:val="18"/>
                <w:u w:val="none"/>
              </w:rPr>
            </w:pPr>
          </w:p>
        </w:tc>
      </w:tr>
      <w:tr w14:paraId="0F246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0" w:type="auto"/>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E2CD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合计资金：</w:t>
            </w:r>
            <w:r>
              <w:rPr>
                <w:rFonts w:hint="eastAsia" w:cs="宋体"/>
                <w:b/>
                <w:bCs/>
                <w:i w:val="0"/>
                <w:iCs w:val="0"/>
                <w:color w:val="000000"/>
                <w:kern w:val="0"/>
                <w:sz w:val="22"/>
                <w:szCs w:val="22"/>
                <w:u w:val="none"/>
                <w:lang w:val="en-US" w:eastAsia="zh-CN" w:bidi="ar"/>
              </w:rPr>
              <w:t>1543.66</w:t>
            </w:r>
            <w:r>
              <w:rPr>
                <w:rFonts w:hint="eastAsia" w:ascii="宋体" w:hAnsi="宋体" w:eastAsia="宋体" w:cs="宋体"/>
                <w:b/>
                <w:bCs/>
                <w:i w:val="0"/>
                <w:iCs w:val="0"/>
                <w:color w:val="000000"/>
                <w:kern w:val="0"/>
                <w:sz w:val="22"/>
                <w:szCs w:val="22"/>
                <w:u w:val="none"/>
                <w:lang w:val="en-US" w:eastAsia="zh-CN" w:bidi="ar"/>
              </w:rPr>
              <w:t>万</w:t>
            </w:r>
          </w:p>
        </w:tc>
      </w:tr>
      <w:tr w14:paraId="79020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3" w:hRule="atLeast"/>
        </w:trPr>
        <w:tc>
          <w:tcPr>
            <w:tcW w:w="9815" w:type="dxa"/>
            <w:gridSpan w:val="9"/>
            <w:tcBorders>
              <w:top w:val="nil"/>
              <w:left w:val="nil"/>
              <w:bottom w:val="nil"/>
              <w:right w:val="nil"/>
            </w:tcBorders>
            <w:shd w:val="clear" w:color="auto" w:fill="auto"/>
            <w:vAlign w:val="center"/>
          </w:tcPr>
          <w:p w14:paraId="0AE2CA1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备注：1.一、二人数分别为9674名营养午餐学生人数和7426名中小学幼儿园非营养餐学生人数</w:t>
            </w:r>
            <w:r>
              <w:rPr>
                <w:rFonts w:hint="eastAsia" w:cs="宋体"/>
                <w:i w:val="0"/>
                <w:iCs w:val="0"/>
                <w:color w:val="000000"/>
                <w:kern w:val="0"/>
                <w:sz w:val="18"/>
                <w:szCs w:val="18"/>
                <w:u w:val="none"/>
                <w:lang w:val="en-US" w:eastAsia="zh-CN" w:bidi="ar"/>
              </w:rPr>
              <w:t>，</w:t>
            </w:r>
            <w:r>
              <w:rPr>
                <w:rFonts w:hint="eastAsia" w:ascii="宋体" w:hAnsi="宋体" w:eastAsia="宋体" w:cs="宋体"/>
                <w:i w:val="0"/>
                <w:iCs w:val="0"/>
                <w:color w:val="000000"/>
                <w:kern w:val="0"/>
                <w:sz w:val="18"/>
                <w:szCs w:val="18"/>
                <w:u w:val="none"/>
                <w:lang w:val="en-US" w:eastAsia="zh-CN" w:bidi="ar"/>
              </w:rPr>
              <w:t>三标段</w:t>
            </w:r>
            <w:r>
              <w:rPr>
                <w:rFonts w:hint="eastAsia" w:cs="宋体"/>
                <w:i w:val="0"/>
                <w:iCs w:val="0"/>
                <w:color w:val="000000"/>
                <w:kern w:val="0"/>
                <w:sz w:val="18"/>
                <w:szCs w:val="18"/>
                <w:u w:val="none"/>
                <w:lang w:val="en-US" w:eastAsia="zh-CN" w:bidi="ar"/>
              </w:rPr>
              <w:t>人数分别为9917</w:t>
            </w:r>
            <w:r>
              <w:rPr>
                <w:rFonts w:hint="eastAsia" w:ascii="宋体" w:hAnsi="宋体" w:eastAsia="宋体" w:cs="宋体"/>
                <w:i w:val="0"/>
                <w:iCs w:val="0"/>
                <w:color w:val="000000"/>
                <w:kern w:val="0"/>
                <w:sz w:val="18"/>
                <w:szCs w:val="18"/>
                <w:u w:val="none"/>
                <w:lang w:val="en-US" w:eastAsia="zh-CN" w:bidi="ar"/>
              </w:rPr>
              <w:t>名营养午餐学生人数和</w:t>
            </w:r>
            <w:r>
              <w:rPr>
                <w:rFonts w:hint="eastAsia" w:cs="宋体"/>
                <w:i w:val="0"/>
                <w:iCs w:val="0"/>
                <w:color w:val="000000"/>
                <w:kern w:val="0"/>
                <w:sz w:val="18"/>
                <w:szCs w:val="18"/>
                <w:u w:val="none"/>
                <w:lang w:val="en-US" w:eastAsia="zh-CN" w:bidi="ar"/>
              </w:rPr>
              <w:t>7190</w:t>
            </w:r>
            <w:r>
              <w:rPr>
                <w:rFonts w:hint="eastAsia" w:ascii="宋体" w:hAnsi="宋体" w:eastAsia="宋体" w:cs="宋体"/>
                <w:i w:val="0"/>
                <w:iCs w:val="0"/>
                <w:color w:val="000000"/>
                <w:kern w:val="0"/>
                <w:sz w:val="18"/>
                <w:szCs w:val="18"/>
                <w:u w:val="none"/>
                <w:lang w:val="en-US" w:eastAsia="zh-CN" w:bidi="ar"/>
              </w:rPr>
              <w:t>名中小学幼儿园非营养餐学生人数；2.学生人数以2026年春季学期学校就餐人数统计，实际就餐人数因政策调整及学校招生、调出等会有增减变动；3.食材用量和单价根据2026年食材价格测算，各包总价为概算，因中小学及幼儿园学生伙食费由学校按规定时间收取，收费尚未完成，目前暂未形成具体资金预算，最终以学校实际支付金额结算为准。</w:t>
            </w:r>
          </w:p>
        </w:tc>
      </w:tr>
    </w:tbl>
    <w:p w14:paraId="2EE4793E">
      <w:pPr>
        <w:pStyle w:val="11"/>
        <w:rPr>
          <w:rFonts w:hint="eastAsia"/>
          <w:lang w:val="en-US" w:eastAsia="zh-CN"/>
        </w:rPr>
        <w:sectPr>
          <w:pgSz w:w="11910" w:h="16840"/>
          <w:pgMar w:top="1440" w:right="1080" w:bottom="1440" w:left="1080" w:header="872" w:footer="1005" w:gutter="0"/>
          <w:pgNumType w:fmt="decimal"/>
          <w:cols w:space="720" w:num="1"/>
        </w:sectPr>
      </w:pPr>
    </w:p>
    <w:p w14:paraId="53C0D205">
      <w:pPr>
        <w:numPr>
          <w:ilvl w:val="0"/>
          <w:numId w:val="11"/>
        </w:numPr>
        <w:rPr>
          <w:rFonts w:hint="eastAsia"/>
          <w:color w:val="auto"/>
          <w:sz w:val="24"/>
          <w:szCs w:val="24"/>
          <w:lang w:eastAsia="zh-CN"/>
        </w:rPr>
      </w:pPr>
      <w:r>
        <w:rPr>
          <w:rFonts w:hint="eastAsia"/>
          <w:b/>
          <w:bCs/>
          <w:color w:val="auto"/>
          <w:sz w:val="24"/>
          <w:szCs w:val="24"/>
        </w:rPr>
        <w:t>采购内容及要求</w:t>
      </w:r>
      <w:r>
        <w:rPr>
          <w:rFonts w:hint="eastAsia"/>
          <w:b/>
          <w:bCs/>
          <w:color w:val="auto"/>
          <w:sz w:val="24"/>
          <w:szCs w:val="24"/>
          <w:lang w:eastAsia="zh-CN"/>
        </w:rPr>
        <w:t>：</w:t>
      </w:r>
    </w:p>
    <w:tbl>
      <w:tblPr>
        <w:tblStyle w:val="23"/>
        <w:tblW w:w="139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167"/>
        <w:gridCol w:w="1167"/>
        <w:gridCol w:w="1097"/>
        <w:gridCol w:w="1416"/>
        <w:gridCol w:w="3583"/>
        <w:gridCol w:w="2666"/>
        <w:gridCol w:w="1655"/>
        <w:gridCol w:w="1167"/>
      </w:tblGrid>
      <w:tr w14:paraId="6F848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0" w:hRule="atLeast"/>
        </w:trPr>
        <w:tc>
          <w:tcPr>
            <w:tcW w:w="1167" w:type="dxa"/>
            <w:tcBorders>
              <w:top w:val="single" w:color="000000" w:sz="4" w:space="0"/>
              <w:left w:val="single" w:color="000000" w:sz="4" w:space="0"/>
              <w:bottom w:val="single" w:color="000000" w:sz="4" w:space="0"/>
              <w:right w:val="single" w:color="000000" w:sz="4" w:space="0"/>
            </w:tcBorders>
            <w:noWrap/>
            <w:vAlign w:val="center"/>
          </w:tcPr>
          <w:p w14:paraId="698E92B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标段</w:t>
            </w:r>
          </w:p>
        </w:tc>
        <w:tc>
          <w:tcPr>
            <w:tcW w:w="1167" w:type="dxa"/>
            <w:tcBorders>
              <w:top w:val="single" w:color="000000" w:sz="4" w:space="0"/>
              <w:left w:val="single" w:color="000000" w:sz="4" w:space="0"/>
              <w:bottom w:val="single" w:color="000000" w:sz="4" w:space="0"/>
              <w:right w:val="single" w:color="000000" w:sz="4" w:space="0"/>
            </w:tcBorders>
            <w:noWrap/>
            <w:vAlign w:val="center"/>
          </w:tcPr>
          <w:p w14:paraId="60AE2D6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类别</w:t>
            </w:r>
          </w:p>
        </w:tc>
        <w:tc>
          <w:tcPr>
            <w:tcW w:w="1097" w:type="dxa"/>
            <w:tcBorders>
              <w:top w:val="single" w:color="000000" w:sz="4" w:space="0"/>
              <w:left w:val="single" w:color="000000" w:sz="4" w:space="0"/>
              <w:bottom w:val="single" w:color="000000" w:sz="4" w:space="0"/>
              <w:right w:val="single" w:color="000000" w:sz="4" w:space="0"/>
            </w:tcBorders>
            <w:noWrap/>
            <w:vAlign w:val="center"/>
          </w:tcPr>
          <w:p w14:paraId="2B79956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食材名称</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618C1C1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规格</w:t>
            </w:r>
          </w:p>
        </w:tc>
        <w:tc>
          <w:tcPr>
            <w:tcW w:w="3583" w:type="dxa"/>
            <w:tcBorders>
              <w:top w:val="single" w:color="000000" w:sz="4" w:space="0"/>
              <w:left w:val="single" w:color="000000" w:sz="4" w:space="0"/>
              <w:bottom w:val="single" w:color="000000" w:sz="4" w:space="0"/>
              <w:right w:val="single" w:color="000000" w:sz="4" w:space="0"/>
            </w:tcBorders>
            <w:noWrap/>
            <w:vAlign w:val="center"/>
          </w:tcPr>
          <w:p w14:paraId="76AC7C1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质量与技术标准</w:t>
            </w:r>
          </w:p>
        </w:tc>
        <w:tc>
          <w:tcPr>
            <w:tcW w:w="2666" w:type="dxa"/>
            <w:tcBorders>
              <w:top w:val="single" w:color="000000" w:sz="4" w:space="0"/>
              <w:left w:val="single" w:color="000000" w:sz="4" w:space="0"/>
              <w:bottom w:val="single" w:color="000000" w:sz="4" w:space="0"/>
              <w:right w:val="single" w:color="000000" w:sz="4" w:space="0"/>
            </w:tcBorders>
            <w:noWrap w:val="0"/>
            <w:vAlign w:val="center"/>
          </w:tcPr>
          <w:p w14:paraId="6618BEB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定价方式</w:t>
            </w:r>
          </w:p>
        </w:tc>
        <w:tc>
          <w:tcPr>
            <w:tcW w:w="1655" w:type="dxa"/>
            <w:tcBorders>
              <w:top w:val="single" w:color="000000" w:sz="4" w:space="0"/>
              <w:left w:val="single" w:color="000000" w:sz="4" w:space="0"/>
              <w:bottom w:val="single" w:color="000000" w:sz="4" w:space="0"/>
              <w:right w:val="single" w:color="000000" w:sz="4" w:space="0"/>
            </w:tcBorders>
            <w:noWrap/>
            <w:vAlign w:val="center"/>
          </w:tcPr>
          <w:p w14:paraId="2D741CB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配送要求</w:t>
            </w:r>
          </w:p>
        </w:tc>
        <w:tc>
          <w:tcPr>
            <w:tcW w:w="1167" w:type="dxa"/>
            <w:tcBorders>
              <w:top w:val="single" w:color="000000" w:sz="4" w:space="0"/>
              <w:left w:val="single" w:color="000000" w:sz="4" w:space="0"/>
              <w:bottom w:val="single" w:color="000000" w:sz="4" w:space="0"/>
              <w:right w:val="single" w:color="000000" w:sz="4" w:space="0"/>
            </w:tcBorders>
            <w:noWrap/>
            <w:vAlign w:val="center"/>
          </w:tcPr>
          <w:p w14:paraId="6B88BF6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备注</w:t>
            </w:r>
          </w:p>
        </w:tc>
      </w:tr>
      <w:tr w14:paraId="01234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2" w:hRule="atLeast"/>
        </w:trPr>
        <w:tc>
          <w:tcPr>
            <w:tcW w:w="1167" w:type="dxa"/>
            <w:vMerge w:val="restart"/>
            <w:tcBorders>
              <w:top w:val="single" w:color="000000" w:sz="4" w:space="0"/>
              <w:left w:val="single" w:color="000000" w:sz="4" w:space="0"/>
              <w:bottom w:val="single" w:color="000000" w:sz="4" w:space="0"/>
              <w:right w:val="single" w:color="000000" w:sz="4" w:space="0"/>
            </w:tcBorders>
            <w:noWrap w:val="0"/>
            <w:vAlign w:val="center"/>
          </w:tcPr>
          <w:p w14:paraId="26810A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一标段（A片区）米面油和牛奶采购）</w:t>
            </w:r>
          </w:p>
        </w:tc>
        <w:tc>
          <w:tcPr>
            <w:tcW w:w="1167" w:type="dxa"/>
            <w:vMerge w:val="restart"/>
            <w:tcBorders>
              <w:top w:val="single" w:color="000000" w:sz="4" w:space="0"/>
              <w:left w:val="single" w:color="000000" w:sz="4" w:space="0"/>
              <w:bottom w:val="single" w:color="000000" w:sz="4" w:space="0"/>
              <w:right w:val="single" w:color="000000" w:sz="4" w:space="0"/>
            </w:tcBorders>
            <w:noWrap/>
            <w:vAlign w:val="center"/>
          </w:tcPr>
          <w:p w14:paraId="3AC2E3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成品粮</w:t>
            </w:r>
          </w:p>
        </w:tc>
        <w:tc>
          <w:tcPr>
            <w:tcW w:w="1097" w:type="dxa"/>
            <w:tcBorders>
              <w:top w:val="single" w:color="000000" w:sz="4" w:space="0"/>
              <w:left w:val="single" w:color="000000" w:sz="4" w:space="0"/>
              <w:bottom w:val="single" w:color="000000" w:sz="4" w:space="0"/>
              <w:right w:val="single" w:color="000000" w:sz="4" w:space="0"/>
            </w:tcBorders>
            <w:noWrap/>
            <w:vAlign w:val="center"/>
          </w:tcPr>
          <w:p w14:paraId="0C1F2B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大米</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6DB516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25千克/袋（小规模学校用10千克/袋）</w:t>
            </w:r>
          </w:p>
        </w:tc>
        <w:tc>
          <w:tcPr>
            <w:tcW w:w="3583" w:type="dxa"/>
            <w:tcBorders>
              <w:top w:val="single" w:color="000000" w:sz="4" w:space="0"/>
              <w:left w:val="single" w:color="000000" w:sz="4" w:space="0"/>
              <w:bottom w:val="single" w:color="000000" w:sz="4" w:space="0"/>
              <w:right w:val="single" w:color="000000" w:sz="4" w:space="0"/>
            </w:tcBorders>
            <w:noWrap w:val="0"/>
            <w:vAlign w:val="center"/>
          </w:tcPr>
          <w:p w14:paraId="70C30F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一级大米、符合GB/T1354-2018，具备SC食品生产许可证，</w:t>
            </w:r>
            <w:r>
              <w:rPr>
                <w:rFonts w:hint="eastAsia" w:cs="宋体"/>
                <w:i w:val="0"/>
                <w:iCs w:val="0"/>
                <w:color w:val="000000"/>
                <w:kern w:val="0"/>
                <w:sz w:val="20"/>
                <w:szCs w:val="20"/>
                <w:u w:val="none"/>
                <w:lang w:val="en-US" w:eastAsia="zh-CN" w:bidi="ar"/>
              </w:rPr>
              <w:t>且提供半年内合法检验报告</w:t>
            </w:r>
            <w:r>
              <w:rPr>
                <w:rFonts w:hint="eastAsia" w:ascii="宋体" w:hAnsi="宋体" w:eastAsia="宋体" w:cs="宋体"/>
                <w:i w:val="0"/>
                <w:iCs w:val="0"/>
                <w:color w:val="000000"/>
                <w:kern w:val="0"/>
                <w:sz w:val="20"/>
                <w:szCs w:val="20"/>
                <w:u w:val="none"/>
                <w:lang w:val="en-US" w:eastAsia="zh-CN" w:bidi="ar"/>
              </w:rPr>
              <w:t>。本地市场有稳定销售，市场口碑好的产品。</w:t>
            </w:r>
          </w:p>
        </w:tc>
        <w:tc>
          <w:tcPr>
            <w:tcW w:w="2666" w:type="dxa"/>
            <w:tcBorders>
              <w:top w:val="single" w:color="000000" w:sz="4" w:space="0"/>
              <w:left w:val="single" w:color="000000" w:sz="4" w:space="0"/>
              <w:bottom w:val="single" w:color="000000" w:sz="4" w:space="0"/>
              <w:right w:val="single" w:color="000000" w:sz="4" w:space="0"/>
            </w:tcBorders>
            <w:noWrap w:val="0"/>
            <w:vAlign w:val="center"/>
          </w:tcPr>
          <w:p w14:paraId="480ED59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以省级指导价为基础，参考市区发改监测价，结合市场询价核定限价，供应商报价不得超出限价。</w:t>
            </w:r>
          </w:p>
        </w:tc>
        <w:tc>
          <w:tcPr>
            <w:tcW w:w="1655" w:type="dxa"/>
            <w:vMerge w:val="restart"/>
            <w:tcBorders>
              <w:top w:val="single" w:color="000000" w:sz="4" w:space="0"/>
              <w:left w:val="single" w:color="000000" w:sz="4" w:space="0"/>
              <w:bottom w:val="single" w:color="000000" w:sz="4" w:space="0"/>
              <w:right w:val="single" w:color="000000" w:sz="4" w:space="0"/>
            </w:tcBorders>
            <w:noWrap w:val="0"/>
            <w:vAlign w:val="center"/>
          </w:tcPr>
          <w:p w14:paraId="59C1169D">
            <w:pPr>
              <w:keepNext w:val="0"/>
              <w:keepLines w:val="0"/>
              <w:widowControl/>
              <w:numPr>
                <w:ilvl w:val="0"/>
                <w:numId w:val="12"/>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厢式保温货车运输，和冷链车（鲜面运输）专车专用；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2.农村偏远学校每两周配送一次，城区及周边部分学校、幼儿园库房条件无法满足存储的，每日配送一次。</w:t>
            </w:r>
          </w:p>
          <w:p w14:paraId="01985789">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3.鲜面须0–4℃冷藏保存，采用专车专用冷链运输，执行当日生产当日配送。</w:t>
            </w:r>
          </w:p>
        </w:tc>
        <w:tc>
          <w:tcPr>
            <w:tcW w:w="1167" w:type="dxa"/>
            <w:vMerge w:val="restart"/>
            <w:tcBorders>
              <w:top w:val="single" w:color="000000" w:sz="4" w:space="0"/>
              <w:left w:val="single" w:color="000000" w:sz="4" w:space="0"/>
              <w:bottom w:val="single" w:color="000000" w:sz="4" w:space="0"/>
              <w:right w:val="single" w:color="000000" w:sz="4" w:space="0"/>
            </w:tcBorders>
            <w:noWrap w:val="0"/>
            <w:vAlign w:val="center"/>
          </w:tcPr>
          <w:p w14:paraId="10F947A1">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所有食品须符合国家食品安全要求</w:t>
            </w:r>
          </w:p>
        </w:tc>
      </w:tr>
      <w:tr w14:paraId="72521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18"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ABD799">
            <w:pPr>
              <w:jc w:val="center"/>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ign w:val="center"/>
          </w:tcPr>
          <w:p w14:paraId="1A860409">
            <w:pPr>
              <w:jc w:val="center"/>
              <w:rPr>
                <w:rFonts w:hint="eastAsia" w:ascii="宋体" w:hAnsi="宋体" w:eastAsia="宋体" w:cs="宋体"/>
                <w:i w:val="0"/>
                <w:iCs w:val="0"/>
                <w:color w:val="000000"/>
                <w:sz w:val="20"/>
                <w:szCs w:val="20"/>
                <w:u w:val="none"/>
              </w:rPr>
            </w:pPr>
          </w:p>
        </w:tc>
        <w:tc>
          <w:tcPr>
            <w:tcW w:w="1097" w:type="dxa"/>
            <w:tcBorders>
              <w:top w:val="single" w:color="000000" w:sz="4" w:space="0"/>
              <w:left w:val="single" w:color="000000" w:sz="4" w:space="0"/>
              <w:bottom w:val="single" w:color="000000" w:sz="4" w:space="0"/>
              <w:right w:val="single" w:color="000000" w:sz="4" w:space="0"/>
            </w:tcBorders>
            <w:noWrap/>
            <w:vAlign w:val="center"/>
          </w:tcPr>
          <w:p w14:paraId="084DC8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面粉</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3052F5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25千克/袋（小规模学校用10千克/袋）</w:t>
            </w:r>
          </w:p>
        </w:tc>
        <w:tc>
          <w:tcPr>
            <w:tcW w:w="3583" w:type="dxa"/>
            <w:tcBorders>
              <w:top w:val="single" w:color="000000" w:sz="4" w:space="0"/>
              <w:left w:val="single" w:color="000000" w:sz="4" w:space="0"/>
              <w:bottom w:val="single" w:color="000000" w:sz="4" w:space="0"/>
              <w:right w:val="single" w:color="000000" w:sz="4" w:space="0"/>
            </w:tcBorders>
            <w:noWrap w:val="0"/>
            <w:vAlign w:val="center"/>
          </w:tcPr>
          <w:p w14:paraId="6389A5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精制粉、符合 GB/T1355-2021，具备SC食品生产许可证，</w:t>
            </w:r>
            <w:r>
              <w:rPr>
                <w:rFonts w:hint="eastAsia" w:cs="宋体"/>
                <w:i w:val="0"/>
                <w:iCs w:val="0"/>
                <w:color w:val="000000"/>
                <w:kern w:val="0"/>
                <w:sz w:val="20"/>
                <w:szCs w:val="20"/>
                <w:u w:val="none"/>
                <w:lang w:val="en-US" w:eastAsia="zh-CN" w:bidi="ar"/>
              </w:rPr>
              <w:t>且提供半年内合法检验报告</w:t>
            </w:r>
            <w:r>
              <w:rPr>
                <w:rFonts w:hint="eastAsia" w:ascii="宋体" w:hAnsi="宋体" w:eastAsia="宋体" w:cs="宋体"/>
                <w:i w:val="0"/>
                <w:iCs w:val="0"/>
                <w:color w:val="000000"/>
                <w:kern w:val="0"/>
                <w:sz w:val="20"/>
                <w:szCs w:val="20"/>
                <w:u w:val="none"/>
                <w:lang w:val="en-US" w:eastAsia="zh-CN" w:bidi="ar"/>
              </w:rPr>
              <w:t>。本地市场有稳定销售，市场口碑好的产品。</w:t>
            </w:r>
          </w:p>
        </w:tc>
        <w:tc>
          <w:tcPr>
            <w:tcW w:w="2666" w:type="dxa"/>
            <w:tcBorders>
              <w:top w:val="single" w:color="000000" w:sz="4" w:space="0"/>
              <w:left w:val="single" w:color="000000" w:sz="4" w:space="0"/>
              <w:bottom w:val="single" w:color="000000" w:sz="4" w:space="0"/>
              <w:right w:val="single" w:color="000000" w:sz="4" w:space="0"/>
            </w:tcBorders>
            <w:noWrap w:val="0"/>
            <w:vAlign w:val="center"/>
          </w:tcPr>
          <w:p w14:paraId="5279E0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以省级指导价为基础，参考市区发改监测价，结合市场询价核定限价，供应商报价不得超出限价。</w:t>
            </w:r>
          </w:p>
        </w:tc>
        <w:tc>
          <w:tcPr>
            <w:tcW w:w="16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F27E20">
            <w:pPr>
              <w:jc w:val="left"/>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3D93AD">
            <w:pPr>
              <w:jc w:val="center"/>
              <w:rPr>
                <w:rFonts w:hint="eastAsia" w:ascii="宋体" w:hAnsi="宋体" w:eastAsia="宋体" w:cs="宋体"/>
                <w:i w:val="0"/>
                <w:iCs w:val="0"/>
                <w:color w:val="000000"/>
                <w:sz w:val="20"/>
                <w:szCs w:val="20"/>
                <w:u w:val="none"/>
              </w:rPr>
            </w:pPr>
          </w:p>
        </w:tc>
      </w:tr>
      <w:tr w14:paraId="0D636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80"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736292">
            <w:pPr>
              <w:jc w:val="center"/>
              <w:rPr>
                <w:rFonts w:hint="eastAsia" w:ascii="宋体" w:hAnsi="宋体" w:eastAsia="宋体" w:cs="宋体"/>
                <w:i w:val="0"/>
                <w:iCs w:val="0"/>
                <w:color w:val="000000"/>
                <w:sz w:val="20"/>
                <w:szCs w:val="20"/>
                <w:u w:val="none"/>
              </w:rPr>
            </w:pPr>
          </w:p>
        </w:tc>
        <w:tc>
          <w:tcPr>
            <w:tcW w:w="1167" w:type="dxa"/>
            <w:tcBorders>
              <w:top w:val="single" w:color="000000" w:sz="4" w:space="0"/>
              <w:left w:val="single" w:color="000000" w:sz="4" w:space="0"/>
              <w:bottom w:val="single" w:color="000000" w:sz="4" w:space="0"/>
              <w:right w:val="single" w:color="000000" w:sz="4" w:space="0"/>
            </w:tcBorders>
            <w:noWrap/>
            <w:vAlign w:val="center"/>
          </w:tcPr>
          <w:p w14:paraId="6C8956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成品油</w:t>
            </w:r>
          </w:p>
        </w:tc>
        <w:tc>
          <w:tcPr>
            <w:tcW w:w="1097" w:type="dxa"/>
            <w:tcBorders>
              <w:top w:val="single" w:color="000000" w:sz="4" w:space="0"/>
              <w:left w:val="single" w:color="000000" w:sz="4" w:space="0"/>
              <w:bottom w:val="single" w:color="000000" w:sz="4" w:space="0"/>
              <w:right w:val="single" w:color="000000" w:sz="4" w:space="0"/>
            </w:tcBorders>
            <w:noWrap/>
            <w:vAlign w:val="center"/>
          </w:tcPr>
          <w:p w14:paraId="5F00E0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菜籽油</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2D534B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5升/桶</w:t>
            </w:r>
          </w:p>
        </w:tc>
        <w:tc>
          <w:tcPr>
            <w:tcW w:w="3583" w:type="dxa"/>
            <w:tcBorders>
              <w:top w:val="single" w:color="000000" w:sz="4" w:space="0"/>
              <w:left w:val="single" w:color="000000" w:sz="4" w:space="0"/>
              <w:bottom w:val="single" w:color="000000" w:sz="4" w:space="0"/>
              <w:right w:val="single" w:color="000000" w:sz="4" w:space="0"/>
            </w:tcBorders>
            <w:noWrap w:val="0"/>
            <w:vAlign w:val="center"/>
          </w:tcPr>
          <w:p w14:paraId="2ED257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非转基因</w:t>
            </w:r>
            <w:r>
              <w:rPr>
                <w:rFonts w:hint="eastAsia"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一级压榨纯菜籽油、桶装、符合GB/T1536-2021，具备SC食品生产许可证，</w:t>
            </w:r>
            <w:r>
              <w:rPr>
                <w:rFonts w:hint="eastAsia" w:cs="宋体"/>
                <w:i w:val="0"/>
                <w:iCs w:val="0"/>
                <w:color w:val="000000"/>
                <w:kern w:val="0"/>
                <w:sz w:val="20"/>
                <w:szCs w:val="20"/>
                <w:u w:val="none"/>
                <w:lang w:val="en-US" w:eastAsia="zh-CN" w:bidi="ar"/>
              </w:rPr>
              <w:t>且提供半年内合法检验报告</w:t>
            </w:r>
            <w:r>
              <w:rPr>
                <w:rFonts w:hint="eastAsia" w:ascii="宋体" w:hAnsi="宋体" w:eastAsia="宋体" w:cs="宋体"/>
                <w:i w:val="0"/>
                <w:iCs w:val="0"/>
                <w:color w:val="000000"/>
                <w:kern w:val="0"/>
                <w:sz w:val="20"/>
                <w:szCs w:val="20"/>
                <w:u w:val="none"/>
                <w:lang w:val="en-US" w:eastAsia="zh-CN" w:bidi="ar"/>
              </w:rPr>
              <w:t>。本地主流商超、粮油市场常年销售，市场口碑好的产品。</w:t>
            </w:r>
          </w:p>
        </w:tc>
        <w:tc>
          <w:tcPr>
            <w:tcW w:w="2666" w:type="dxa"/>
            <w:tcBorders>
              <w:top w:val="single" w:color="000000" w:sz="4" w:space="0"/>
              <w:left w:val="single" w:color="000000" w:sz="4" w:space="0"/>
              <w:bottom w:val="single" w:color="000000" w:sz="4" w:space="0"/>
              <w:right w:val="single" w:color="000000" w:sz="4" w:space="0"/>
            </w:tcBorders>
            <w:noWrap w:val="0"/>
            <w:vAlign w:val="center"/>
          </w:tcPr>
          <w:p w14:paraId="479271A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以省级指导价为基础，参考市区发改监测价，结合市场询价核定限价，供应商报价不得超出限价。</w:t>
            </w:r>
          </w:p>
        </w:tc>
        <w:tc>
          <w:tcPr>
            <w:tcW w:w="16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C69DFA">
            <w:pPr>
              <w:jc w:val="left"/>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028DF6">
            <w:pPr>
              <w:jc w:val="center"/>
              <w:rPr>
                <w:rFonts w:hint="eastAsia" w:ascii="宋体" w:hAnsi="宋体" w:eastAsia="宋体" w:cs="宋体"/>
                <w:i w:val="0"/>
                <w:iCs w:val="0"/>
                <w:color w:val="000000"/>
                <w:sz w:val="20"/>
                <w:szCs w:val="20"/>
                <w:u w:val="none"/>
              </w:rPr>
            </w:pPr>
          </w:p>
        </w:tc>
      </w:tr>
      <w:tr w14:paraId="421B6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1"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DB37B1">
            <w:pPr>
              <w:jc w:val="center"/>
              <w:rPr>
                <w:rFonts w:hint="eastAsia" w:ascii="宋体" w:hAnsi="宋体" w:eastAsia="宋体" w:cs="宋体"/>
                <w:i w:val="0"/>
                <w:iCs w:val="0"/>
                <w:color w:val="000000"/>
                <w:sz w:val="20"/>
                <w:szCs w:val="20"/>
                <w:u w:val="none"/>
              </w:rPr>
            </w:pPr>
          </w:p>
        </w:tc>
        <w:tc>
          <w:tcPr>
            <w:tcW w:w="1167" w:type="dxa"/>
            <w:tcBorders>
              <w:top w:val="single" w:color="000000" w:sz="4" w:space="0"/>
              <w:left w:val="single" w:color="000000" w:sz="4" w:space="0"/>
              <w:bottom w:val="single" w:color="000000" w:sz="4" w:space="0"/>
              <w:right w:val="single" w:color="000000" w:sz="4" w:space="0"/>
            </w:tcBorders>
            <w:noWrap/>
            <w:vAlign w:val="center"/>
          </w:tcPr>
          <w:p w14:paraId="2BC79F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面制品</w:t>
            </w:r>
          </w:p>
        </w:tc>
        <w:tc>
          <w:tcPr>
            <w:tcW w:w="1097" w:type="dxa"/>
            <w:tcBorders>
              <w:top w:val="single" w:color="000000" w:sz="4" w:space="0"/>
              <w:left w:val="single" w:color="000000" w:sz="4" w:space="0"/>
              <w:bottom w:val="single" w:color="000000" w:sz="4" w:space="0"/>
              <w:right w:val="single" w:color="000000" w:sz="4" w:space="0"/>
            </w:tcBorders>
            <w:noWrap w:val="0"/>
            <w:vAlign w:val="center"/>
          </w:tcPr>
          <w:p w14:paraId="4D2818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面条、面片及麻什等</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0E976C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2.5kg/5kg等常见规格</w:t>
            </w:r>
          </w:p>
        </w:tc>
        <w:tc>
          <w:tcPr>
            <w:tcW w:w="3583" w:type="dxa"/>
            <w:tcBorders>
              <w:top w:val="single" w:color="000000" w:sz="4" w:space="0"/>
              <w:left w:val="single" w:color="000000" w:sz="4" w:space="0"/>
              <w:bottom w:val="single" w:color="000000" w:sz="4" w:space="0"/>
              <w:right w:val="single" w:color="000000" w:sz="4" w:space="0"/>
            </w:tcBorders>
            <w:noWrap w:val="0"/>
            <w:vAlign w:val="center"/>
          </w:tcPr>
          <w:p w14:paraId="6AD0ED9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具体种类为干挂面/鲜面条、干面片/鲜面片、干麻什等形态均匀，具备SC食品生产许可证，挂面符合GB/T40636-2021；鲜面（生湿面制品）符合 GB19295-2021；全部品类符合基础安全执行GB2760、GB2762、GB2763、GB29921；无碎条、无受潮、无异味、无霉变，理化指标符合标准，污染物、微生物、添加剂符合食品安全国标。提供批次检验合格报告。</w:t>
            </w:r>
          </w:p>
        </w:tc>
        <w:tc>
          <w:tcPr>
            <w:tcW w:w="2666" w:type="dxa"/>
            <w:tcBorders>
              <w:top w:val="single" w:color="000000" w:sz="4" w:space="0"/>
              <w:left w:val="single" w:color="000000" w:sz="4" w:space="0"/>
              <w:bottom w:val="single" w:color="000000" w:sz="4" w:space="0"/>
              <w:right w:val="single" w:color="000000" w:sz="4" w:space="0"/>
            </w:tcBorders>
            <w:noWrap w:val="0"/>
            <w:vAlign w:val="center"/>
          </w:tcPr>
          <w:p w14:paraId="56F421A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供应商报优惠率，询价小组定期开展市场采价，结合优惠率扣减定价。</w:t>
            </w:r>
          </w:p>
        </w:tc>
        <w:tc>
          <w:tcPr>
            <w:tcW w:w="16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BC9E5E">
            <w:pPr>
              <w:jc w:val="left"/>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A07555">
            <w:pPr>
              <w:jc w:val="center"/>
              <w:rPr>
                <w:rFonts w:hint="eastAsia" w:ascii="宋体" w:hAnsi="宋体" w:eastAsia="宋体" w:cs="宋体"/>
                <w:i w:val="0"/>
                <w:iCs w:val="0"/>
                <w:color w:val="000000"/>
                <w:sz w:val="20"/>
                <w:szCs w:val="20"/>
                <w:u w:val="none"/>
              </w:rPr>
            </w:pPr>
          </w:p>
        </w:tc>
      </w:tr>
      <w:tr w14:paraId="1C7FE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74"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B1C6E5">
            <w:pPr>
              <w:jc w:val="center"/>
              <w:rPr>
                <w:rFonts w:hint="eastAsia" w:ascii="宋体" w:hAnsi="宋体" w:eastAsia="宋体" w:cs="宋体"/>
                <w:i w:val="0"/>
                <w:iCs w:val="0"/>
                <w:color w:val="000000"/>
                <w:sz w:val="20"/>
                <w:szCs w:val="20"/>
                <w:u w:val="none"/>
              </w:rPr>
            </w:pPr>
          </w:p>
        </w:tc>
        <w:tc>
          <w:tcPr>
            <w:tcW w:w="1167" w:type="dxa"/>
            <w:tcBorders>
              <w:top w:val="single" w:color="000000" w:sz="4" w:space="0"/>
              <w:left w:val="single" w:color="000000" w:sz="4" w:space="0"/>
              <w:bottom w:val="single" w:color="000000" w:sz="4" w:space="0"/>
              <w:right w:val="single" w:color="000000" w:sz="4" w:space="0"/>
            </w:tcBorders>
            <w:noWrap/>
            <w:vAlign w:val="center"/>
          </w:tcPr>
          <w:p w14:paraId="70A392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杂粮</w:t>
            </w:r>
          </w:p>
        </w:tc>
        <w:tc>
          <w:tcPr>
            <w:tcW w:w="1097" w:type="dxa"/>
            <w:tcBorders>
              <w:top w:val="single" w:color="000000" w:sz="4" w:space="0"/>
              <w:left w:val="single" w:color="000000" w:sz="4" w:space="0"/>
              <w:bottom w:val="single" w:color="000000" w:sz="4" w:space="0"/>
              <w:right w:val="single" w:color="000000" w:sz="4" w:space="0"/>
            </w:tcBorders>
            <w:noWrap w:val="0"/>
            <w:vAlign w:val="center"/>
          </w:tcPr>
          <w:p w14:paraId="7A503D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谷物及杂豆类</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29735D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预包装、散装</w:t>
            </w:r>
          </w:p>
        </w:tc>
        <w:tc>
          <w:tcPr>
            <w:tcW w:w="3583" w:type="dxa"/>
            <w:tcBorders>
              <w:top w:val="single" w:color="000000" w:sz="4" w:space="0"/>
              <w:left w:val="single" w:color="000000" w:sz="4" w:space="0"/>
              <w:bottom w:val="single" w:color="000000" w:sz="4" w:space="0"/>
              <w:right w:val="single" w:color="000000" w:sz="4" w:space="0"/>
            </w:tcBorders>
            <w:noWrap w:val="0"/>
            <w:vAlign w:val="center"/>
          </w:tcPr>
          <w:p w14:paraId="7B9758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具体种类为小米、绿豆、红豆、黑米、花生、芝麻、黄豆等，具备SC食品生产许可证，每种杂粮符合其对应的国家标准（如小米 GB/T11766-2024、绿豆 GB/T10462-2008），无国家标准的需符合现行行业标准，需为当地市场有销售的正规品牌产品（无品牌但有标准、有资质、可追溯），采用密封包装，颗粒完整饱满，无虫蛀、无变色，杂质含量≤1.0%，不完善粒占比≤5%，水分含量≤13%，提供半年内含合法检验报告及出厂检验报告。</w:t>
            </w:r>
          </w:p>
        </w:tc>
        <w:tc>
          <w:tcPr>
            <w:tcW w:w="2666" w:type="dxa"/>
            <w:tcBorders>
              <w:top w:val="single" w:color="000000" w:sz="4" w:space="0"/>
              <w:left w:val="single" w:color="000000" w:sz="4" w:space="0"/>
              <w:bottom w:val="single" w:color="000000" w:sz="4" w:space="0"/>
              <w:right w:val="single" w:color="000000" w:sz="4" w:space="0"/>
            </w:tcBorders>
            <w:noWrap w:val="0"/>
            <w:vAlign w:val="center"/>
          </w:tcPr>
          <w:p w14:paraId="6E706B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供应商报优惠率，询价小组定期开展市场采价，结合优惠率扣减定价。</w:t>
            </w:r>
          </w:p>
        </w:tc>
        <w:tc>
          <w:tcPr>
            <w:tcW w:w="16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DC765D">
            <w:pPr>
              <w:jc w:val="left"/>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ADA7B0">
            <w:pPr>
              <w:jc w:val="center"/>
              <w:rPr>
                <w:rFonts w:hint="eastAsia" w:ascii="宋体" w:hAnsi="宋体" w:eastAsia="宋体" w:cs="宋体"/>
                <w:i w:val="0"/>
                <w:iCs w:val="0"/>
                <w:color w:val="000000"/>
                <w:sz w:val="20"/>
                <w:szCs w:val="20"/>
                <w:u w:val="none"/>
              </w:rPr>
            </w:pPr>
          </w:p>
        </w:tc>
      </w:tr>
      <w:tr w14:paraId="2EE17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0"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99C150">
            <w:pPr>
              <w:jc w:val="center"/>
              <w:rPr>
                <w:rFonts w:hint="eastAsia" w:ascii="宋体" w:hAnsi="宋体" w:eastAsia="宋体" w:cs="宋体"/>
                <w:i w:val="0"/>
                <w:iCs w:val="0"/>
                <w:color w:val="000000"/>
                <w:sz w:val="20"/>
                <w:szCs w:val="20"/>
                <w:u w:val="none"/>
              </w:rPr>
            </w:pPr>
          </w:p>
        </w:tc>
        <w:tc>
          <w:tcPr>
            <w:tcW w:w="1167" w:type="dxa"/>
            <w:vMerge w:val="restart"/>
            <w:tcBorders>
              <w:top w:val="single" w:color="000000" w:sz="4" w:space="0"/>
              <w:left w:val="single" w:color="000000" w:sz="4" w:space="0"/>
              <w:bottom w:val="single" w:color="000000" w:sz="4" w:space="0"/>
              <w:right w:val="single" w:color="000000" w:sz="4" w:space="0"/>
            </w:tcBorders>
            <w:noWrap/>
            <w:vAlign w:val="center"/>
          </w:tcPr>
          <w:p w14:paraId="6C8412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牛奶</w:t>
            </w:r>
          </w:p>
        </w:tc>
        <w:tc>
          <w:tcPr>
            <w:tcW w:w="1097" w:type="dxa"/>
            <w:vMerge w:val="restart"/>
            <w:tcBorders>
              <w:top w:val="single" w:color="000000" w:sz="4" w:space="0"/>
              <w:left w:val="single" w:color="000000" w:sz="4" w:space="0"/>
              <w:bottom w:val="single" w:color="000000" w:sz="4" w:space="0"/>
              <w:right w:val="single" w:color="000000" w:sz="4" w:space="0"/>
            </w:tcBorders>
            <w:noWrap/>
            <w:vAlign w:val="center"/>
          </w:tcPr>
          <w:p w14:paraId="266081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盒装纯牛奶</w:t>
            </w:r>
          </w:p>
        </w:tc>
        <w:tc>
          <w:tcPr>
            <w:tcW w:w="1416" w:type="dxa"/>
            <w:vMerge w:val="restart"/>
            <w:tcBorders>
              <w:top w:val="single" w:color="000000" w:sz="4" w:space="0"/>
              <w:left w:val="single" w:color="000000" w:sz="4" w:space="0"/>
              <w:bottom w:val="single" w:color="000000" w:sz="4" w:space="0"/>
              <w:right w:val="single" w:color="000000" w:sz="4" w:space="0"/>
            </w:tcBorders>
            <w:noWrap w:val="0"/>
            <w:vAlign w:val="center"/>
          </w:tcPr>
          <w:p w14:paraId="2FCCD3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125ml/盒、200ml/盒、250ml/盒等常见规格</w:t>
            </w:r>
          </w:p>
        </w:tc>
        <w:tc>
          <w:tcPr>
            <w:tcW w:w="3583" w:type="dxa"/>
            <w:vMerge w:val="restart"/>
            <w:tcBorders>
              <w:top w:val="single" w:color="000000" w:sz="4" w:space="0"/>
              <w:left w:val="single" w:color="000000" w:sz="4" w:space="0"/>
              <w:bottom w:val="single" w:color="000000" w:sz="4" w:space="0"/>
              <w:right w:val="single" w:color="000000" w:sz="4" w:space="0"/>
            </w:tcBorders>
            <w:noWrap w:val="0"/>
            <w:vAlign w:val="center"/>
          </w:tcPr>
          <w:p w14:paraId="348716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无菌砖纯牛奶（带吸管），符合国家标准GB25190-2010； 具备SC食品生产许可证，提供生产厂家许可证及每批次出厂检验报告；无发霉、变质、变味，外包装标注完整。</w:t>
            </w:r>
          </w:p>
        </w:tc>
        <w:tc>
          <w:tcPr>
            <w:tcW w:w="2666" w:type="dxa"/>
            <w:vMerge w:val="restart"/>
            <w:tcBorders>
              <w:top w:val="single" w:color="000000" w:sz="4" w:space="0"/>
              <w:left w:val="single" w:color="000000" w:sz="4" w:space="0"/>
              <w:bottom w:val="single" w:color="000000" w:sz="4" w:space="0"/>
              <w:right w:val="single" w:color="000000" w:sz="4" w:space="0"/>
            </w:tcBorders>
            <w:noWrap w:val="0"/>
            <w:vAlign w:val="center"/>
          </w:tcPr>
          <w:p w14:paraId="2F6800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供应商报优惠率，询价小组定期开展市场采价，结合优惠率扣减定价。</w:t>
            </w:r>
          </w:p>
        </w:tc>
        <w:tc>
          <w:tcPr>
            <w:tcW w:w="1655" w:type="dxa"/>
            <w:vMerge w:val="restart"/>
            <w:tcBorders>
              <w:top w:val="single" w:color="000000" w:sz="4" w:space="0"/>
              <w:left w:val="single" w:color="000000" w:sz="4" w:space="0"/>
              <w:bottom w:val="single" w:color="000000" w:sz="4" w:space="0"/>
              <w:right w:val="single" w:color="000000" w:sz="4" w:space="0"/>
            </w:tcBorders>
            <w:noWrap w:val="0"/>
            <w:vAlign w:val="center"/>
          </w:tcPr>
          <w:p w14:paraId="677A09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1.每周配送一次；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2.学生食用时距保质期至少三个月以上。</w:t>
            </w:r>
          </w:p>
        </w:tc>
        <w:tc>
          <w:tcPr>
            <w:tcW w:w="1167" w:type="dxa"/>
            <w:vMerge w:val="restart"/>
            <w:tcBorders>
              <w:top w:val="single" w:color="000000" w:sz="4" w:space="0"/>
              <w:left w:val="single" w:color="000000" w:sz="4" w:space="0"/>
              <w:bottom w:val="single" w:color="000000" w:sz="4" w:space="0"/>
              <w:right w:val="single" w:color="000000" w:sz="4" w:space="0"/>
            </w:tcBorders>
            <w:noWrap w:val="0"/>
            <w:vAlign w:val="center"/>
          </w:tcPr>
          <w:p w14:paraId="39733D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60735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50A0A0">
            <w:pPr>
              <w:jc w:val="center"/>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ign w:val="center"/>
          </w:tcPr>
          <w:p w14:paraId="67C2277F">
            <w:pPr>
              <w:jc w:val="center"/>
              <w:rPr>
                <w:rFonts w:hint="eastAsia" w:ascii="宋体" w:hAnsi="宋体" w:eastAsia="宋体" w:cs="宋体"/>
                <w:i w:val="0"/>
                <w:iCs w:val="0"/>
                <w:color w:val="000000"/>
                <w:sz w:val="20"/>
                <w:szCs w:val="20"/>
                <w:u w:val="none"/>
              </w:rPr>
            </w:pPr>
          </w:p>
        </w:tc>
        <w:tc>
          <w:tcPr>
            <w:tcW w:w="1097" w:type="dxa"/>
            <w:vMerge w:val="continue"/>
            <w:tcBorders>
              <w:top w:val="single" w:color="000000" w:sz="4" w:space="0"/>
              <w:left w:val="single" w:color="000000" w:sz="4" w:space="0"/>
              <w:bottom w:val="single" w:color="000000" w:sz="4" w:space="0"/>
              <w:right w:val="single" w:color="000000" w:sz="4" w:space="0"/>
            </w:tcBorders>
            <w:noWrap/>
            <w:vAlign w:val="center"/>
          </w:tcPr>
          <w:p w14:paraId="52B0460E">
            <w:pPr>
              <w:jc w:val="center"/>
              <w:rPr>
                <w:rFonts w:hint="eastAsia" w:ascii="宋体" w:hAnsi="宋体" w:eastAsia="宋体" w:cs="宋体"/>
                <w:i w:val="0"/>
                <w:iCs w:val="0"/>
                <w:color w:val="000000"/>
                <w:sz w:val="20"/>
                <w:szCs w:val="20"/>
                <w:u w:val="none"/>
              </w:rPr>
            </w:pPr>
          </w:p>
        </w:tc>
        <w:tc>
          <w:tcPr>
            <w:tcW w:w="14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74D681">
            <w:pPr>
              <w:jc w:val="center"/>
              <w:rPr>
                <w:rFonts w:hint="eastAsia" w:ascii="宋体" w:hAnsi="宋体" w:eastAsia="宋体" w:cs="宋体"/>
                <w:i w:val="0"/>
                <w:iCs w:val="0"/>
                <w:color w:val="000000"/>
                <w:sz w:val="20"/>
                <w:szCs w:val="20"/>
                <w:u w:val="none"/>
              </w:rPr>
            </w:pPr>
          </w:p>
        </w:tc>
        <w:tc>
          <w:tcPr>
            <w:tcW w:w="35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E4ED12">
            <w:pPr>
              <w:jc w:val="left"/>
              <w:rPr>
                <w:rFonts w:hint="eastAsia" w:ascii="宋体" w:hAnsi="宋体" w:eastAsia="宋体" w:cs="宋体"/>
                <w:i w:val="0"/>
                <w:iCs w:val="0"/>
                <w:color w:val="000000"/>
                <w:sz w:val="20"/>
                <w:szCs w:val="20"/>
                <w:u w:val="none"/>
              </w:rPr>
            </w:pPr>
          </w:p>
        </w:tc>
        <w:tc>
          <w:tcPr>
            <w:tcW w:w="26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C77B1F">
            <w:pPr>
              <w:jc w:val="left"/>
              <w:rPr>
                <w:rFonts w:hint="eastAsia" w:ascii="宋体" w:hAnsi="宋体" w:eastAsia="宋体" w:cs="宋体"/>
                <w:i w:val="0"/>
                <w:iCs w:val="0"/>
                <w:color w:val="000000"/>
                <w:sz w:val="20"/>
                <w:szCs w:val="20"/>
                <w:u w:val="none"/>
              </w:rPr>
            </w:pPr>
          </w:p>
        </w:tc>
        <w:tc>
          <w:tcPr>
            <w:tcW w:w="16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A694A1">
            <w:pPr>
              <w:jc w:val="left"/>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F93A82">
            <w:pPr>
              <w:jc w:val="center"/>
              <w:rPr>
                <w:rFonts w:hint="eastAsia" w:ascii="宋体" w:hAnsi="宋体" w:eastAsia="宋体" w:cs="宋体"/>
                <w:i w:val="0"/>
                <w:iCs w:val="0"/>
                <w:color w:val="000000"/>
                <w:sz w:val="20"/>
                <w:szCs w:val="20"/>
                <w:u w:val="none"/>
              </w:rPr>
            </w:pPr>
          </w:p>
        </w:tc>
      </w:tr>
      <w:tr w14:paraId="0B698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167" w:type="dxa"/>
            <w:vMerge w:val="restart"/>
            <w:tcBorders>
              <w:top w:val="single" w:color="000000" w:sz="4" w:space="0"/>
              <w:left w:val="single" w:color="000000" w:sz="4" w:space="0"/>
              <w:bottom w:val="single" w:color="000000" w:sz="4" w:space="0"/>
              <w:right w:val="single" w:color="000000" w:sz="4" w:space="0"/>
            </w:tcBorders>
            <w:noWrap w:val="0"/>
            <w:vAlign w:val="center"/>
          </w:tcPr>
          <w:p w14:paraId="0B4774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二标段（A片区）、</w:t>
            </w:r>
            <w:r>
              <w:rPr>
                <w:rFonts w:hint="eastAsia" w:cs="宋体"/>
                <w:i w:val="0"/>
                <w:iCs w:val="0"/>
                <w:color w:val="000000"/>
                <w:kern w:val="0"/>
                <w:sz w:val="20"/>
                <w:szCs w:val="20"/>
                <w:u w:val="none"/>
                <w:lang w:val="en-US" w:eastAsia="zh-CN" w:bidi="ar"/>
              </w:rPr>
              <w:t>三标段</w:t>
            </w:r>
            <w:r>
              <w:rPr>
                <w:rFonts w:hint="eastAsia" w:ascii="宋体" w:hAnsi="宋体" w:eastAsia="宋体" w:cs="宋体"/>
                <w:i w:val="0"/>
                <w:iCs w:val="0"/>
                <w:color w:val="000000"/>
                <w:kern w:val="0"/>
                <w:sz w:val="20"/>
                <w:szCs w:val="20"/>
                <w:u w:val="none"/>
                <w:lang w:val="en-US" w:eastAsia="zh-CN" w:bidi="ar"/>
              </w:rPr>
              <w:t>（B片区）肉蛋禽采购</w:t>
            </w:r>
          </w:p>
        </w:tc>
        <w:tc>
          <w:tcPr>
            <w:tcW w:w="1167" w:type="dxa"/>
            <w:vMerge w:val="restart"/>
            <w:tcBorders>
              <w:top w:val="single" w:color="000000" w:sz="4" w:space="0"/>
              <w:left w:val="single" w:color="000000" w:sz="4" w:space="0"/>
              <w:bottom w:val="single" w:color="000000" w:sz="4" w:space="0"/>
              <w:right w:val="single" w:color="000000" w:sz="4" w:space="0"/>
            </w:tcBorders>
            <w:noWrap w:val="0"/>
            <w:vAlign w:val="center"/>
          </w:tcPr>
          <w:p w14:paraId="7E4266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肉蛋禽及其制品</w:t>
            </w:r>
          </w:p>
        </w:tc>
        <w:tc>
          <w:tcPr>
            <w:tcW w:w="1097" w:type="dxa"/>
            <w:tcBorders>
              <w:top w:val="single" w:color="000000" w:sz="4" w:space="0"/>
              <w:left w:val="single" w:color="000000" w:sz="4" w:space="0"/>
              <w:bottom w:val="single" w:color="000000" w:sz="4" w:space="0"/>
              <w:right w:val="single" w:color="000000" w:sz="4" w:space="0"/>
            </w:tcBorders>
            <w:noWrap/>
            <w:vAlign w:val="center"/>
          </w:tcPr>
          <w:p w14:paraId="083E01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猪肉</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1A3B76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按量分割</w:t>
            </w:r>
          </w:p>
        </w:tc>
        <w:tc>
          <w:tcPr>
            <w:tcW w:w="3583" w:type="dxa"/>
            <w:tcBorders>
              <w:top w:val="single" w:color="000000" w:sz="4" w:space="0"/>
              <w:left w:val="single" w:color="000000" w:sz="4" w:space="0"/>
              <w:bottom w:val="single" w:color="000000" w:sz="4" w:space="0"/>
              <w:right w:val="single" w:color="000000" w:sz="4" w:space="0"/>
            </w:tcBorders>
            <w:noWrap w:val="0"/>
            <w:vAlign w:val="center"/>
          </w:tcPr>
          <w:p w14:paraId="211FE0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品牌冷鲜猪肉（屠宰后经冷却处理中心温度0-4℃的非冷冻鲜肉），安全指标符合GB2707-2016及满足相关食品安全要求。具体品类为剔骨腿肉、精排骨、精瘦肉、五花肉等；需提供与采购批次对应的动物检验检疫合格证明、肉品品质检验合格证明；品牌所属企业须具备《生猪定点屠宰证》。全程冷链运输，提供温控记录，到货时中心温度0-4℃。肉质鲜红有弹性，无异味、淤血、淋巴结；剔骨类去净残毛碎骨，精瘦肉脂肪含量≤5%。</w:t>
            </w:r>
          </w:p>
        </w:tc>
        <w:tc>
          <w:tcPr>
            <w:tcW w:w="2666" w:type="dxa"/>
            <w:vMerge w:val="restart"/>
            <w:tcBorders>
              <w:top w:val="single" w:color="000000" w:sz="4" w:space="0"/>
              <w:left w:val="single" w:color="000000" w:sz="4" w:space="0"/>
              <w:bottom w:val="single" w:color="000000" w:sz="4" w:space="0"/>
              <w:right w:val="single" w:color="000000" w:sz="4" w:space="0"/>
            </w:tcBorders>
            <w:noWrap w:val="0"/>
            <w:vAlign w:val="center"/>
          </w:tcPr>
          <w:p w14:paraId="2383727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供应商报优惠率，询价小组定期开展市场采价，结合优惠率扣减定价。</w:t>
            </w:r>
          </w:p>
        </w:tc>
        <w:tc>
          <w:tcPr>
            <w:tcW w:w="1655" w:type="dxa"/>
            <w:vMerge w:val="restart"/>
            <w:tcBorders>
              <w:top w:val="single" w:color="000000" w:sz="4" w:space="0"/>
              <w:left w:val="single" w:color="000000" w:sz="4" w:space="0"/>
              <w:bottom w:val="single" w:color="000000" w:sz="4" w:space="0"/>
              <w:right w:val="single" w:color="000000" w:sz="4" w:space="0"/>
            </w:tcBorders>
            <w:noWrap w:val="0"/>
            <w:vAlign w:val="center"/>
          </w:tcPr>
          <w:p w14:paraId="6B50F5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1.农村偏远学校每周配送两次，城区及周边部分学校、幼儿园库房条件无法满足存储的，每日配送一次。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2.猪肉、牛羊肉、鸡肉等肉类从分割到加工全过程冷鲜保存运输，冷冻肉食用时距保质期一半以上；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3.专用冷链车运输在保证食材不变质、不污染条件下的其他无交叉污染冷鲜运输方式。</w:t>
            </w:r>
          </w:p>
        </w:tc>
        <w:tc>
          <w:tcPr>
            <w:tcW w:w="1167" w:type="dxa"/>
            <w:vMerge w:val="restart"/>
            <w:tcBorders>
              <w:top w:val="single" w:color="000000" w:sz="4" w:space="0"/>
              <w:left w:val="single" w:color="000000" w:sz="4" w:space="0"/>
              <w:bottom w:val="single" w:color="000000" w:sz="4" w:space="0"/>
              <w:right w:val="single" w:color="000000" w:sz="4" w:space="0"/>
            </w:tcBorders>
            <w:noWrap w:val="0"/>
            <w:vAlign w:val="center"/>
          </w:tcPr>
          <w:p w14:paraId="0075C4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4ED16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5"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1277AA">
            <w:pPr>
              <w:jc w:val="center"/>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C18CDE">
            <w:pPr>
              <w:jc w:val="center"/>
              <w:rPr>
                <w:rFonts w:hint="eastAsia" w:ascii="宋体" w:hAnsi="宋体" w:eastAsia="宋体" w:cs="宋体"/>
                <w:i w:val="0"/>
                <w:iCs w:val="0"/>
                <w:color w:val="000000"/>
                <w:sz w:val="20"/>
                <w:szCs w:val="20"/>
                <w:u w:val="none"/>
              </w:rPr>
            </w:pPr>
          </w:p>
        </w:tc>
        <w:tc>
          <w:tcPr>
            <w:tcW w:w="1097" w:type="dxa"/>
            <w:tcBorders>
              <w:top w:val="single" w:color="000000" w:sz="4" w:space="0"/>
              <w:left w:val="single" w:color="000000" w:sz="4" w:space="0"/>
              <w:bottom w:val="single" w:color="000000" w:sz="4" w:space="0"/>
              <w:right w:val="single" w:color="000000" w:sz="4" w:space="0"/>
            </w:tcBorders>
            <w:noWrap/>
            <w:vAlign w:val="center"/>
          </w:tcPr>
          <w:p w14:paraId="5C0D09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羊肉</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49E4DD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按量分割</w:t>
            </w:r>
          </w:p>
        </w:tc>
        <w:tc>
          <w:tcPr>
            <w:tcW w:w="3583" w:type="dxa"/>
            <w:tcBorders>
              <w:top w:val="single" w:color="000000" w:sz="4" w:space="0"/>
              <w:left w:val="single" w:color="000000" w:sz="4" w:space="0"/>
              <w:bottom w:val="single" w:color="000000" w:sz="4" w:space="0"/>
              <w:right w:val="single" w:color="000000" w:sz="4" w:space="0"/>
            </w:tcBorders>
            <w:noWrap w:val="0"/>
            <w:vAlign w:val="center"/>
          </w:tcPr>
          <w:p w14:paraId="29530B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冷鲜羊肉（屠宰后经冷却处理中心温度0-4℃的非冷冻鲜肉）、符合食品安全国家标准GB 2707-2016及满足相关食品安全要求，提供屠宰企业《畜禽定点屠宰许可证》）；每批次需提供对应的《动物检疫合格证明（产品）》（在有效期内且证物相符）、肉品品质检验合格证；按需提供布鲁氏菌病阴性检测报告。全程冷链运输（温度 0-4℃），到货时提供温控记录。肌肉色泽浅红、鲜红或深红有光泽，脂肪呈乳白色、浅黄色或黄色，按压后凹陷快速恢复；具新鲜羊肉固有气味，无异味、去净残毛、淋巴结和碎骨。</w:t>
            </w:r>
          </w:p>
        </w:tc>
        <w:tc>
          <w:tcPr>
            <w:tcW w:w="26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448C9B">
            <w:pPr>
              <w:jc w:val="left"/>
              <w:rPr>
                <w:rFonts w:hint="eastAsia" w:ascii="宋体" w:hAnsi="宋体" w:eastAsia="宋体" w:cs="宋体"/>
                <w:i w:val="0"/>
                <w:iCs w:val="0"/>
                <w:color w:val="000000"/>
                <w:sz w:val="20"/>
                <w:szCs w:val="20"/>
                <w:u w:val="none"/>
              </w:rPr>
            </w:pPr>
          </w:p>
        </w:tc>
        <w:tc>
          <w:tcPr>
            <w:tcW w:w="16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9E5B4A">
            <w:pPr>
              <w:jc w:val="left"/>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F75D56">
            <w:pPr>
              <w:jc w:val="center"/>
              <w:rPr>
                <w:rFonts w:hint="eastAsia" w:ascii="宋体" w:hAnsi="宋体" w:eastAsia="宋体" w:cs="宋体"/>
                <w:i w:val="0"/>
                <w:iCs w:val="0"/>
                <w:color w:val="000000"/>
                <w:sz w:val="20"/>
                <w:szCs w:val="20"/>
                <w:u w:val="none"/>
              </w:rPr>
            </w:pPr>
          </w:p>
        </w:tc>
      </w:tr>
      <w:tr w14:paraId="53769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1"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A9F92C">
            <w:pPr>
              <w:jc w:val="center"/>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615727">
            <w:pPr>
              <w:jc w:val="center"/>
              <w:rPr>
                <w:rFonts w:hint="eastAsia" w:ascii="宋体" w:hAnsi="宋体" w:eastAsia="宋体" w:cs="宋体"/>
                <w:i w:val="0"/>
                <w:iCs w:val="0"/>
                <w:color w:val="000000"/>
                <w:sz w:val="20"/>
                <w:szCs w:val="20"/>
                <w:u w:val="none"/>
              </w:rPr>
            </w:pPr>
          </w:p>
        </w:tc>
        <w:tc>
          <w:tcPr>
            <w:tcW w:w="1097" w:type="dxa"/>
            <w:tcBorders>
              <w:top w:val="single" w:color="000000" w:sz="4" w:space="0"/>
              <w:left w:val="single" w:color="000000" w:sz="4" w:space="0"/>
              <w:bottom w:val="single" w:color="000000" w:sz="4" w:space="0"/>
              <w:right w:val="single" w:color="000000" w:sz="4" w:space="0"/>
            </w:tcBorders>
            <w:noWrap/>
            <w:vAlign w:val="center"/>
          </w:tcPr>
          <w:p w14:paraId="7DB7F5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牛肉</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1214F1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按量分割</w:t>
            </w:r>
          </w:p>
        </w:tc>
        <w:tc>
          <w:tcPr>
            <w:tcW w:w="3583" w:type="dxa"/>
            <w:tcBorders>
              <w:top w:val="single" w:color="000000" w:sz="4" w:space="0"/>
              <w:left w:val="single" w:color="000000" w:sz="4" w:space="0"/>
              <w:bottom w:val="single" w:color="000000" w:sz="4" w:space="0"/>
              <w:right w:val="single" w:color="000000" w:sz="4" w:space="0"/>
            </w:tcBorders>
            <w:noWrap w:val="0"/>
            <w:vAlign w:val="center"/>
          </w:tcPr>
          <w:p w14:paraId="2DDC936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鲜牛肉（屠宰后经冷却处理中心温度0-4℃的非冷冻鲜肉）、符合食品安全国家标准GB2707-2016及满足相关食品安全要求；提供屠宰企业《畜禽定点屠宰许可证》；每批次需提供对应的《动物检疫合格证明（产品）》（在有效期内且证物相符）、肉品品质检验合格证；按需提供牛布鲁氏菌病、牛结核病阴性检测报告。全程冷链运输（0-4℃），到货提供温控记录。肌肉红色均匀有光泽，脂肪洁白或淡黄色，按压后凹陷迅速恢复，无异味、去净残毛、淋巴结、碎骨，无淤血或肉眼可见杂质。</w:t>
            </w:r>
          </w:p>
        </w:tc>
        <w:tc>
          <w:tcPr>
            <w:tcW w:w="26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67C565">
            <w:pPr>
              <w:jc w:val="left"/>
              <w:rPr>
                <w:rFonts w:hint="eastAsia" w:ascii="宋体" w:hAnsi="宋体" w:eastAsia="宋体" w:cs="宋体"/>
                <w:i w:val="0"/>
                <w:iCs w:val="0"/>
                <w:color w:val="000000"/>
                <w:sz w:val="20"/>
                <w:szCs w:val="20"/>
                <w:u w:val="none"/>
              </w:rPr>
            </w:pPr>
          </w:p>
        </w:tc>
        <w:tc>
          <w:tcPr>
            <w:tcW w:w="16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DF483B">
            <w:pPr>
              <w:jc w:val="left"/>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8D89C8">
            <w:pPr>
              <w:jc w:val="center"/>
              <w:rPr>
                <w:rFonts w:hint="eastAsia" w:ascii="宋体" w:hAnsi="宋体" w:eastAsia="宋体" w:cs="宋体"/>
                <w:i w:val="0"/>
                <w:iCs w:val="0"/>
                <w:color w:val="000000"/>
                <w:sz w:val="20"/>
                <w:szCs w:val="20"/>
                <w:u w:val="none"/>
              </w:rPr>
            </w:pPr>
          </w:p>
        </w:tc>
      </w:tr>
      <w:tr w14:paraId="0E6E5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74"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4E2D27">
            <w:pPr>
              <w:jc w:val="center"/>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9EFC9D">
            <w:pPr>
              <w:jc w:val="center"/>
              <w:rPr>
                <w:rFonts w:hint="eastAsia" w:ascii="宋体" w:hAnsi="宋体" w:eastAsia="宋体" w:cs="宋体"/>
                <w:i w:val="0"/>
                <w:iCs w:val="0"/>
                <w:color w:val="000000"/>
                <w:sz w:val="20"/>
                <w:szCs w:val="20"/>
                <w:u w:val="none"/>
              </w:rPr>
            </w:pPr>
          </w:p>
        </w:tc>
        <w:tc>
          <w:tcPr>
            <w:tcW w:w="1097" w:type="dxa"/>
            <w:tcBorders>
              <w:top w:val="single" w:color="000000" w:sz="4" w:space="0"/>
              <w:left w:val="single" w:color="000000" w:sz="4" w:space="0"/>
              <w:bottom w:val="single" w:color="000000" w:sz="4" w:space="0"/>
              <w:right w:val="single" w:color="000000" w:sz="4" w:space="0"/>
            </w:tcBorders>
            <w:noWrap/>
            <w:vAlign w:val="center"/>
          </w:tcPr>
          <w:p w14:paraId="69FE3F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鸡肉</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0E1A11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按量分割</w:t>
            </w:r>
          </w:p>
        </w:tc>
        <w:tc>
          <w:tcPr>
            <w:tcW w:w="3583" w:type="dxa"/>
            <w:tcBorders>
              <w:top w:val="single" w:color="000000" w:sz="4" w:space="0"/>
              <w:left w:val="single" w:color="000000" w:sz="4" w:space="0"/>
              <w:bottom w:val="single" w:color="000000" w:sz="4" w:space="0"/>
              <w:right w:val="single" w:color="000000" w:sz="4" w:space="0"/>
            </w:tcBorders>
            <w:noWrap w:val="0"/>
            <w:vAlign w:val="center"/>
          </w:tcPr>
          <w:p w14:paraId="1BF098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冷鲜鸡肉，具体品类为白条鸡、鸡脯肉、鸡大腿肉、鸡小腿肉；符合食品安全国家标准GB 2707-2016及满足相关食品安全要求；提供屠宰企业《畜禽定点屠宰许可证》；每批次需提供对应的《动物检疫合格证明（产品）》（在有效期内且证物相符）、肉品品质检验合格证。全程冷链运输（0-4℃），到货提供温控记录。肉质有弹性（按压后凹陷快速恢复），无异味、无淤血、表皮无破损，去净残毛和淋巴结。若需采购冷冻鸡肉的，需冷冻温度≤-18℃，全程冷冻运输且提供温控记录，无解冻复冻痕迹；标注生产日期和保质期，剩余保质期≥总保质期的 2/3；解冻后肉质紧实，无异味、无淤血、无淋巴结，无肉眼可见杂质。</w:t>
            </w:r>
          </w:p>
        </w:tc>
        <w:tc>
          <w:tcPr>
            <w:tcW w:w="26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078360">
            <w:pPr>
              <w:jc w:val="left"/>
              <w:rPr>
                <w:rFonts w:hint="eastAsia" w:ascii="宋体" w:hAnsi="宋体" w:eastAsia="宋体" w:cs="宋体"/>
                <w:i w:val="0"/>
                <w:iCs w:val="0"/>
                <w:color w:val="000000"/>
                <w:sz w:val="20"/>
                <w:szCs w:val="20"/>
                <w:u w:val="none"/>
              </w:rPr>
            </w:pPr>
          </w:p>
        </w:tc>
        <w:tc>
          <w:tcPr>
            <w:tcW w:w="16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EB3F34">
            <w:pPr>
              <w:jc w:val="left"/>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2F73B3">
            <w:pPr>
              <w:jc w:val="center"/>
              <w:rPr>
                <w:rFonts w:hint="eastAsia" w:ascii="宋体" w:hAnsi="宋体" w:eastAsia="宋体" w:cs="宋体"/>
                <w:i w:val="0"/>
                <w:iCs w:val="0"/>
                <w:color w:val="000000"/>
                <w:sz w:val="20"/>
                <w:szCs w:val="20"/>
                <w:u w:val="none"/>
              </w:rPr>
            </w:pPr>
          </w:p>
        </w:tc>
      </w:tr>
      <w:tr w14:paraId="7F6D0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2"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42AA58">
            <w:pPr>
              <w:jc w:val="center"/>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92B626">
            <w:pPr>
              <w:jc w:val="center"/>
              <w:rPr>
                <w:rFonts w:hint="eastAsia" w:ascii="宋体" w:hAnsi="宋体" w:eastAsia="宋体" w:cs="宋体"/>
                <w:i w:val="0"/>
                <w:iCs w:val="0"/>
                <w:color w:val="000000"/>
                <w:sz w:val="20"/>
                <w:szCs w:val="20"/>
                <w:u w:val="none"/>
              </w:rPr>
            </w:pPr>
          </w:p>
        </w:tc>
        <w:tc>
          <w:tcPr>
            <w:tcW w:w="1097" w:type="dxa"/>
            <w:tcBorders>
              <w:top w:val="single" w:color="000000" w:sz="4" w:space="0"/>
              <w:left w:val="single" w:color="000000" w:sz="4" w:space="0"/>
              <w:bottom w:val="single" w:color="000000" w:sz="4" w:space="0"/>
              <w:right w:val="single" w:color="000000" w:sz="4" w:space="0"/>
            </w:tcBorders>
            <w:noWrap/>
            <w:vAlign w:val="center"/>
          </w:tcPr>
          <w:p w14:paraId="2E71CC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其他肉类</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01473C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按量分割</w:t>
            </w:r>
          </w:p>
        </w:tc>
        <w:tc>
          <w:tcPr>
            <w:tcW w:w="3583" w:type="dxa"/>
            <w:tcBorders>
              <w:top w:val="single" w:color="000000" w:sz="4" w:space="0"/>
              <w:left w:val="single" w:color="000000" w:sz="4" w:space="0"/>
              <w:bottom w:val="single" w:color="000000" w:sz="4" w:space="0"/>
              <w:right w:val="single" w:color="000000" w:sz="4" w:space="0"/>
            </w:tcBorders>
            <w:noWrap w:val="0"/>
            <w:vAlign w:val="center"/>
          </w:tcPr>
          <w:p w14:paraId="2B7177A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符合《食品安全国家标准鲜（冻）畜、禽产品》（GB 2707-2016）等通用标准及满足相关食品安全要求，感官上应色泽正常、无异味、无变质；水产品及其制品还需符合GB2733标准，且屠宰加工环节需经检疫检验合格。</w:t>
            </w:r>
          </w:p>
        </w:tc>
        <w:tc>
          <w:tcPr>
            <w:tcW w:w="26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A194FB">
            <w:pPr>
              <w:jc w:val="left"/>
              <w:rPr>
                <w:rFonts w:hint="eastAsia" w:ascii="宋体" w:hAnsi="宋体" w:eastAsia="宋体" w:cs="宋体"/>
                <w:i w:val="0"/>
                <w:iCs w:val="0"/>
                <w:color w:val="000000"/>
                <w:sz w:val="20"/>
                <w:szCs w:val="20"/>
                <w:u w:val="none"/>
              </w:rPr>
            </w:pPr>
          </w:p>
        </w:tc>
        <w:tc>
          <w:tcPr>
            <w:tcW w:w="16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B671DF">
            <w:pPr>
              <w:jc w:val="left"/>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AB5925">
            <w:pPr>
              <w:jc w:val="center"/>
              <w:rPr>
                <w:rFonts w:hint="eastAsia" w:ascii="宋体" w:hAnsi="宋体" w:eastAsia="宋体" w:cs="宋体"/>
                <w:i w:val="0"/>
                <w:iCs w:val="0"/>
                <w:color w:val="000000"/>
                <w:sz w:val="20"/>
                <w:szCs w:val="20"/>
                <w:u w:val="none"/>
              </w:rPr>
            </w:pPr>
          </w:p>
        </w:tc>
      </w:tr>
      <w:tr w14:paraId="00590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3" w:hRule="atLeast"/>
        </w:trPr>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781C99">
            <w:pPr>
              <w:jc w:val="center"/>
              <w:rPr>
                <w:rFonts w:hint="eastAsia" w:ascii="宋体" w:hAnsi="宋体" w:eastAsia="宋体" w:cs="宋体"/>
                <w:i w:val="0"/>
                <w:iCs w:val="0"/>
                <w:color w:val="000000"/>
                <w:sz w:val="20"/>
                <w:szCs w:val="20"/>
                <w:u w:val="none"/>
              </w:rPr>
            </w:pPr>
          </w:p>
        </w:tc>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094E67">
            <w:pPr>
              <w:jc w:val="center"/>
              <w:rPr>
                <w:rFonts w:hint="eastAsia" w:ascii="宋体" w:hAnsi="宋体" w:eastAsia="宋体" w:cs="宋体"/>
                <w:i w:val="0"/>
                <w:iCs w:val="0"/>
                <w:color w:val="000000"/>
                <w:sz w:val="20"/>
                <w:szCs w:val="20"/>
                <w:u w:val="none"/>
              </w:rPr>
            </w:pPr>
          </w:p>
        </w:tc>
        <w:tc>
          <w:tcPr>
            <w:tcW w:w="1097" w:type="dxa"/>
            <w:tcBorders>
              <w:top w:val="single" w:color="000000" w:sz="4" w:space="0"/>
              <w:left w:val="single" w:color="000000" w:sz="4" w:space="0"/>
              <w:bottom w:val="single" w:color="000000" w:sz="4" w:space="0"/>
              <w:right w:val="single" w:color="000000" w:sz="4" w:space="0"/>
            </w:tcBorders>
            <w:noWrap/>
            <w:vAlign w:val="center"/>
          </w:tcPr>
          <w:p w14:paraId="4B4919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鸡蛋</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2F6F38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称重</w:t>
            </w:r>
          </w:p>
        </w:tc>
        <w:tc>
          <w:tcPr>
            <w:tcW w:w="3583" w:type="dxa"/>
            <w:tcBorders>
              <w:top w:val="single" w:color="000000" w:sz="4" w:space="0"/>
              <w:left w:val="single" w:color="000000" w:sz="4" w:space="0"/>
              <w:bottom w:val="single" w:color="000000" w:sz="4" w:space="0"/>
              <w:right w:val="single" w:color="000000" w:sz="4" w:space="0"/>
            </w:tcBorders>
            <w:noWrap w:val="0"/>
            <w:vAlign w:val="center"/>
          </w:tcPr>
          <w:p w14:paraId="1BA7AC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符合食品安全国家标准GB2749-2015及满足相关食品安全要求；大小均匀的，新鲜鸡蛋，鸡蛋上标注有品牌和生产日期；具有动物产品检疫合格证书和产品质量合格证明。</w:t>
            </w:r>
          </w:p>
        </w:tc>
        <w:tc>
          <w:tcPr>
            <w:tcW w:w="26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A2BA11">
            <w:pPr>
              <w:jc w:val="left"/>
              <w:rPr>
                <w:rFonts w:hint="eastAsia" w:ascii="宋体" w:hAnsi="宋体" w:eastAsia="宋体" w:cs="宋体"/>
                <w:i w:val="0"/>
                <w:iCs w:val="0"/>
                <w:color w:val="000000"/>
                <w:sz w:val="20"/>
                <w:szCs w:val="20"/>
                <w:u w:val="none"/>
              </w:rPr>
            </w:pPr>
          </w:p>
        </w:tc>
        <w:tc>
          <w:tcPr>
            <w:tcW w:w="1655" w:type="dxa"/>
            <w:tcBorders>
              <w:top w:val="single" w:color="000000" w:sz="4" w:space="0"/>
              <w:left w:val="single" w:color="000000" w:sz="4" w:space="0"/>
              <w:bottom w:val="single" w:color="000000" w:sz="4" w:space="0"/>
              <w:right w:val="single" w:color="000000" w:sz="4" w:space="0"/>
            </w:tcBorders>
            <w:noWrap w:val="0"/>
            <w:vAlign w:val="center"/>
          </w:tcPr>
          <w:p w14:paraId="7DBD3E7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1.每周配送一次，城区及周边部分学校、幼儿园库房条件无法满足存储的，每日配送一次。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2.配送到校时距生产时间在7天以内。</w:t>
            </w:r>
          </w:p>
        </w:tc>
        <w:tc>
          <w:tcPr>
            <w:tcW w:w="11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374198">
            <w:pPr>
              <w:jc w:val="center"/>
              <w:rPr>
                <w:rFonts w:hint="eastAsia" w:ascii="宋体" w:hAnsi="宋体" w:eastAsia="宋体" w:cs="宋体"/>
                <w:i w:val="0"/>
                <w:iCs w:val="0"/>
                <w:color w:val="000000"/>
                <w:sz w:val="20"/>
                <w:szCs w:val="20"/>
                <w:u w:val="none"/>
              </w:rPr>
            </w:pPr>
          </w:p>
        </w:tc>
      </w:tr>
    </w:tbl>
    <w:p w14:paraId="7057EF71">
      <w:pPr>
        <w:keepNext w:val="0"/>
        <w:keepLines w:val="0"/>
        <w:widowControl/>
        <w:suppressLineNumbers w:val="0"/>
        <w:jc w:val="left"/>
        <w:rPr>
          <w:rFonts w:hint="eastAsia" w:ascii="宋体" w:hAnsi="宋体" w:eastAsia="宋体" w:cs="宋体"/>
          <w:b/>
          <w:bCs/>
          <w:color w:val="auto"/>
          <w:kern w:val="0"/>
          <w:sz w:val="28"/>
          <w:szCs w:val="28"/>
          <w:lang w:val="en-US" w:eastAsia="zh-CN" w:bidi="ar"/>
        </w:rPr>
      </w:pPr>
    </w:p>
    <w:p w14:paraId="068480DA">
      <w:pPr>
        <w:keepNext w:val="0"/>
        <w:keepLines w:val="0"/>
        <w:widowControl/>
        <w:suppressLineNumbers w:val="0"/>
        <w:shd w:val="clear"/>
        <w:jc w:val="left"/>
        <w:rPr>
          <w:rFonts w:hint="default" w:ascii="宋体" w:hAnsi="宋体" w:eastAsia="宋体" w:cs="宋体"/>
          <w:b/>
          <w:bCs/>
          <w:color w:val="auto"/>
          <w:kern w:val="0"/>
          <w:sz w:val="28"/>
          <w:szCs w:val="28"/>
          <w:highlight w:val="none"/>
          <w:shd w:val="clear"/>
          <w:lang w:val="en-US" w:eastAsia="zh-CN" w:bidi="ar"/>
        </w:rPr>
      </w:pPr>
      <w:r>
        <w:rPr>
          <w:rFonts w:hint="eastAsia" w:ascii="宋体" w:hAnsi="宋体" w:eastAsia="宋体" w:cs="宋体"/>
          <w:b/>
          <w:bCs/>
          <w:color w:val="auto"/>
          <w:kern w:val="0"/>
          <w:sz w:val="28"/>
          <w:szCs w:val="28"/>
          <w:lang w:val="en-US" w:eastAsia="zh-CN" w:bidi="ar"/>
        </w:rPr>
        <w:t>注</w:t>
      </w:r>
      <w:r>
        <w:rPr>
          <w:rFonts w:hint="eastAsia" w:cs="宋体"/>
          <w:b/>
          <w:bCs/>
          <w:color w:val="auto"/>
          <w:kern w:val="0"/>
          <w:sz w:val="28"/>
          <w:szCs w:val="28"/>
          <w:lang w:val="en-US" w:eastAsia="zh-CN" w:bidi="ar"/>
        </w:rPr>
        <w:t>：</w:t>
      </w:r>
      <w:r>
        <w:rPr>
          <w:rFonts w:hint="eastAsia" w:cs="宋体"/>
          <w:b/>
          <w:bCs/>
          <w:color w:val="auto"/>
          <w:kern w:val="0"/>
          <w:sz w:val="28"/>
          <w:szCs w:val="28"/>
          <w:highlight w:val="none"/>
          <w:shd w:val="clear"/>
          <w:lang w:val="en-US" w:eastAsia="zh-CN" w:bidi="ar"/>
        </w:rPr>
        <w:t>如所有食材均是小微企业提供的，需逐一在中小企业声明函中体现。</w:t>
      </w:r>
    </w:p>
    <w:p w14:paraId="383FABCF">
      <w:pPr>
        <w:keepNext w:val="0"/>
        <w:keepLines w:val="0"/>
        <w:widowControl/>
        <w:suppressLineNumbers w:val="0"/>
        <w:shd w:val="clear"/>
        <w:jc w:val="left"/>
        <w:rPr>
          <w:rFonts w:hint="eastAsia" w:ascii="宋体" w:hAnsi="宋体" w:eastAsia="宋体" w:cs="宋体"/>
          <w:b/>
          <w:bCs/>
          <w:color w:val="auto"/>
          <w:kern w:val="0"/>
          <w:sz w:val="28"/>
          <w:szCs w:val="28"/>
          <w:highlight w:val="none"/>
          <w:lang w:val="en-US" w:eastAsia="zh-CN" w:bidi="ar"/>
        </w:rPr>
        <w:sectPr>
          <w:pgSz w:w="16840" w:h="11910" w:orient="landscape"/>
          <w:pgMar w:top="1080" w:right="1440" w:bottom="1080" w:left="1440" w:header="872" w:footer="1005" w:gutter="0"/>
          <w:pgNumType w:fmt="decimal"/>
          <w:cols w:space="720" w:num="1"/>
        </w:sectPr>
      </w:pPr>
    </w:p>
    <w:p w14:paraId="2168F148">
      <w:pPr>
        <w:pStyle w:val="5"/>
        <w:pageBreakBefore w:val="0"/>
        <w:numPr>
          <w:ilvl w:val="0"/>
          <w:numId w:val="0"/>
        </w:numPr>
        <w:topLinePunct w:val="0"/>
        <w:bidi w:val="0"/>
        <w:spacing w:line="500" w:lineRule="exact"/>
        <w:ind w:right="0" w:rightChars="0"/>
        <w:jc w:val="left"/>
        <w:rPr>
          <w:rFonts w:hint="eastAsia"/>
          <w:color w:val="auto"/>
        </w:rPr>
      </w:pPr>
      <w:r>
        <w:rPr>
          <w:rFonts w:hint="eastAsia"/>
          <w:color w:val="auto"/>
          <w:lang w:val="en-US" w:eastAsia="zh-CN"/>
        </w:rPr>
        <w:t>四、</w:t>
      </w:r>
      <w:r>
        <w:rPr>
          <w:rFonts w:hint="eastAsia"/>
          <w:color w:val="auto"/>
        </w:rPr>
        <w:t>区域配送表：</w:t>
      </w:r>
    </w:p>
    <w:p w14:paraId="09200880">
      <w:pPr>
        <w:pageBreakBefore w:val="0"/>
        <w:topLinePunct w:val="0"/>
        <w:bidi w:val="0"/>
        <w:spacing w:line="500" w:lineRule="exact"/>
        <w:ind w:left="0" w:leftChars="0" w:right="0" w:rightChars="0" w:firstLine="440" w:firstLineChars="200"/>
        <w:rPr>
          <w:rFonts w:hint="eastAsia"/>
          <w:color w:val="auto"/>
          <w:lang w:val="en-US" w:eastAsia="zh-CN"/>
        </w:rPr>
      </w:pPr>
    </w:p>
    <w:tbl>
      <w:tblPr>
        <w:tblStyle w:val="23"/>
        <w:tblW w:w="102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8"/>
        <w:gridCol w:w="1049"/>
        <w:gridCol w:w="3992"/>
        <w:gridCol w:w="1226"/>
        <w:gridCol w:w="1101"/>
        <w:gridCol w:w="1101"/>
        <w:gridCol w:w="1133"/>
      </w:tblGrid>
      <w:tr w14:paraId="11FC1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1" w:hRule="atLeast"/>
        </w:trPr>
        <w:tc>
          <w:tcPr>
            <w:tcW w:w="10260" w:type="dxa"/>
            <w:gridSpan w:val="7"/>
            <w:tcBorders>
              <w:top w:val="nil"/>
              <w:left w:val="nil"/>
              <w:bottom w:val="nil"/>
              <w:right w:val="nil"/>
            </w:tcBorders>
            <w:shd w:val="clear" w:color="auto" w:fill="auto"/>
            <w:vAlign w:val="center"/>
          </w:tcPr>
          <w:p w14:paraId="2B741D9D">
            <w:pPr>
              <w:keepNext w:val="0"/>
              <w:keepLines w:val="0"/>
              <w:widowControl/>
              <w:suppressLineNumbers w:val="0"/>
              <w:jc w:val="center"/>
              <w:textAlignment w:val="center"/>
              <w:rPr>
                <w:rFonts w:ascii="方正小标宋简体" w:hAnsi="方正小标宋简体" w:eastAsia="方正小标宋简体" w:cs="方正小标宋简体"/>
                <w:i w:val="0"/>
                <w:iCs w:val="0"/>
                <w:color w:val="000000"/>
                <w:sz w:val="40"/>
                <w:szCs w:val="40"/>
                <w:u w:val="none"/>
              </w:rPr>
            </w:pPr>
            <w:r>
              <w:rPr>
                <w:rFonts w:hint="default" w:ascii="方正小标宋简体" w:hAnsi="方正小标宋简体" w:eastAsia="方正小标宋简体" w:cs="方正小标宋简体"/>
                <w:i w:val="0"/>
                <w:iCs w:val="0"/>
                <w:color w:val="000000"/>
                <w:kern w:val="0"/>
                <w:sz w:val="40"/>
                <w:szCs w:val="40"/>
                <w:u w:val="none"/>
                <w:lang w:val="en-US" w:eastAsia="zh-CN" w:bidi="ar"/>
              </w:rPr>
              <w:t>汉滨区2026－2027学年度中小学幼儿园大宗食材</w:t>
            </w:r>
            <w:r>
              <w:rPr>
                <w:rFonts w:hint="default" w:ascii="方正小标宋简体" w:hAnsi="方正小标宋简体" w:eastAsia="方正小标宋简体" w:cs="方正小标宋简体"/>
                <w:i w:val="0"/>
                <w:iCs w:val="0"/>
                <w:color w:val="000000"/>
                <w:kern w:val="0"/>
                <w:sz w:val="40"/>
                <w:szCs w:val="40"/>
                <w:u w:val="none"/>
                <w:lang w:val="en-US" w:eastAsia="zh-CN" w:bidi="ar"/>
              </w:rPr>
              <w:br w:type="textWrapping"/>
            </w:r>
            <w:r>
              <w:rPr>
                <w:rFonts w:hint="default" w:ascii="方正小标宋简体" w:hAnsi="方正小标宋简体" w:eastAsia="方正小标宋简体" w:cs="方正小标宋简体"/>
                <w:i w:val="0"/>
                <w:iCs w:val="0"/>
                <w:color w:val="000000"/>
                <w:kern w:val="0"/>
                <w:sz w:val="40"/>
                <w:szCs w:val="40"/>
                <w:u w:val="none"/>
                <w:lang w:val="en-US" w:eastAsia="zh-CN" w:bidi="ar"/>
              </w:rPr>
              <w:t>及原辅材料配送项目A片区配送学校名单</w:t>
            </w:r>
          </w:p>
        </w:tc>
      </w:tr>
      <w:tr w14:paraId="784E0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7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C871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41C1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镇办</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29CE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学校幼儿园名称</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ED77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学校类别</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0E74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义务段营养餐实施人数</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F73D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非营养餐实施人数</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8EC3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合计人数</w:t>
            </w:r>
          </w:p>
        </w:tc>
      </w:tr>
      <w:tr w14:paraId="682E38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88B37">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35A1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合计</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65880">
            <w:pPr>
              <w:jc w:val="center"/>
              <w:rPr>
                <w:rFonts w:hint="eastAsia" w:ascii="宋体" w:hAnsi="宋体" w:eastAsia="宋体" w:cs="宋体"/>
                <w:i w:val="0"/>
                <w:iCs w:val="0"/>
                <w:color w:val="000000"/>
                <w:sz w:val="22"/>
                <w:szCs w:val="22"/>
                <w:u w:val="none"/>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6803D">
            <w:pPr>
              <w:jc w:val="center"/>
              <w:rPr>
                <w:rFonts w:hint="eastAsia" w:ascii="宋体" w:hAnsi="宋体" w:eastAsia="宋体" w:cs="宋体"/>
                <w:i w:val="0"/>
                <w:iCs w:val="0"/>
                <w:color w:val="000000"/>
                <w:sz w:val="22"/>
                <w:szCs w:val="22"/>
                <w:u w:val="none"/>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37B8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9674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BCC7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7426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2ACC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17100</w:t>
            </w:r>
          </w:p>
        </w:tc>
      </w:tr>
      <w:tr w14:paraId="783F5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720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060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茨沟镇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9F86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汉滨区茨沟初中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6A6E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初中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CE8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A5B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B8A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326</w:t>
            </w:r>
          </w:p>
        </w:tc>
      </w:tr>
      <w:tr w14:paraId="2CD00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397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F07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茨沟镇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09ED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汉滨区茨沟小学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BDA0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85F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5E1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FA2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306</w:t>
            </w:r>
          </w:p>
        </w:tc>
      </w:tr>
      <w:tr w14:paraId="5ED70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C53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972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茨沟镇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00E8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汉滨区茨沟镇幼儿园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A87C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CFD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F14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9FB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w:t>
            </w:r>
          </w:p>
        </w:tc>
      </w:tr>
      <w:tr w14:paraId="1E05C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56F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E07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茨沟镇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82F4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汉滨区茨沟镇景家小学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8539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AA1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8D0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9F0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69</w:t>
            </w:r>
          </w:p>
        </w:tc>
      </w:tr>
      <w:tr w14:paraId="6EF34E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F2E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73B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茨沟镇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9A04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汉滨区茨沟镇东镇九年制学校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B1B8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A97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9FA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C2C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141</w:t>
            </w:r>
          </w:p>
        </w:tc>
      </w:tr>
      <w:tr w14:paraId="31925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B8A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B2D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茨沟镇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9936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汉滨区茨沟镇东镇九年制学校二郎教学点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AC04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1C5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B67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E54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7E973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F31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7A1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茨沟镇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8C91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汉滨区茨沟镇茨沟小学佛爷岩教学点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0BE2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6E2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C1B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0DA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528C8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256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C85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茨沟镇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5236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汉滨区茨沟镇景家小学附设幼儿园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E991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公办附设园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9AF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930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2D8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r>
      <w:tr w14:paraId="40AF27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18C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072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茨沟镇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C46B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汉滨区茨沟镇东镇幼儿园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0AF8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166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437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6B3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r>
      <w:tr w14:paraId="13083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C0F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22E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6603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汉滨区大河镇大河小学田坪教学点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BE80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94D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20B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0CA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3DAAF8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041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94B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AA2C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汉滨区大河镇幼儿园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DB2E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A33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B36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F51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w:t>
            </w:r>
          </w:p>
        </w:tc>
      </w:tr>
      <w:tr w14:paraId="554CC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C31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6FC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4649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汉滨区大河镇双溪幼儿园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9B34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288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E50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94B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r>
      <w:tr w14:paraId="7944C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376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084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F93C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汉滨区大河镇大河小学流芳教学点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6853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B51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D53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581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52354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DEC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23C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5D96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汉滨区大河镇兴红小学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FBB0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603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C02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E2D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r>
      <w:tr w14:paraId="5BEA4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585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3F3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4040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汉滨区大河小学庙梁教学点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B4CD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BC3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020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BC4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187C5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797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9AB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FC86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汉滨区大河小学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1241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182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CEB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AF0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660</w:t>
            </w:r>
          </w:p>
        </w:tc>
      </w:tr>
      <w:tr w14:paraId="493BF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CD7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44F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E4A7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汉滨区大河镇蒿溪小学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2DD6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280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0D4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DF0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r>
      <w:tr w14:paraId="0EF4D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40F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FC0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1C9C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汉滨区大河镇双溪九年制学校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AD28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C3C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7FD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A54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217</w:t>
            </w:r>
          </w:p>
        </w:tc>
      </w:tr>
      <w:tr w14:paraId="7CFDF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7C2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674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96BF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汉滨区大河镇兴红小学附设幼儿园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1B03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公办附设园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297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8F9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D6B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r>
      <w:tr w14:paraId="6AB45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21A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6C0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8CB1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汉滨区大河镇蒿溪小学附设幼儿园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629A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公办附设园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02C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6B1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D96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2B076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892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758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关庙镇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FB78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汉滨区劳动小学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8893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93B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EEF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29A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823</w:t>
            </w:r>
          </w:p>
        </w:tc>
      </w:tr>
      <w:tr w14:paraId="0AC6F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F26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8C7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关庙镇</w:t>
            </w:r>
          </w:p>
        </w:tc>
        <w:tc>
          <w:tcPr>
            <w:tcW w:w="4036" w:type="dxa"/>
            <w:tcBorders>
              <w:top w:val="nil"/>
              <w:left w:val="nil"/>
              <w:bottom w:val="nil"/>
              <w:right w:val="nil"/>
            </w:tcBorders>
            <w:shd w:val="clear" w:color="auto" w:fill="auto"/>
            <w:vAlign w:val="center"/>
          </w:tcPr>
          <w:p w14:paraId="1EA3270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汉滨区劳动小学双胜教学点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2160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CB8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191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C37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6319B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A01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A3F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关庙镇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7FF4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汉滨区劳动小学文化教学点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E5CE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4F2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7AB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621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r>
      <w:tr w14:paraId="3A5FA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20C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9E6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关庙镇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11CE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汉滨区关庙镇团结小学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F123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AAE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30F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671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141</w:t>
            </w:r>
          </w:p>
        </w:tc>
      </w:tr>
      <w:tr w14:paraId="45739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5EC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DE6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关庙镇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8246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汉滨区关庙镇团结小学皂树教学点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EC7F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061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8C9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1FA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14:paraId="46E8B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44D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C81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关庙镇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4DB0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汉滨区关庙镇小李小学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9BCD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00E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0C5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6CA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14:paraId="489F41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A3C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011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关庙镇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6511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汉滨区关庙镇勇胜小学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BDE4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4E2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5F5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B8D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r>
      <w:tr w14:paraId="27033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B4E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126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关庙镇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436C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汉滨区关庙镇勇胜小学新建教学点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6B62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97B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A7F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588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3D801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60C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D7B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关庙镇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AC6E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汉滨区关庙镇花心小学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69F8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AE0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BE9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CE9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r>
      <w:tr w14:paraId="1247B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063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360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关庙镇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66B0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汉滨区关庙镇花心小学桥河教学点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9C1A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38E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81D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808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0CFEB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B04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38A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关庙镇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BCEA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汉滨区关庙镇唐淌小学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4D6C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D1C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8B4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027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r>
      <w:tr w14:paraId="7E1C8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F3E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557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关庙镇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0281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汉滨区关庙镇唐淌小学杨寨教学点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15F3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3B1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23E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F3C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r>
      <w:tr w14:paraId="130DD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600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20D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关庙镇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6D94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汉滨区劳动小学双胜教学点附设幼儿园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BB44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公办附设园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CF7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80B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8D5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0DC57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D87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743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建民办</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BD21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汉滨区建民初级中学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2556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初中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977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9E4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61E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1662</w:t>
            </w:r>
          </w:p>
        </w:tc>
      </w:tr>
      <w:tr w14:paraId="730CF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B3E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DB7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建民办</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BAFA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汉滨区建民办二里九年制学校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396F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BA9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323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734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r>
      <w:tr w14:paraId="0AFD5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DE4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B0B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建民办</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BB09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汉滨区建民办长岭九年制学校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1EDF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A53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727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CB7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117</w:t>
            </w:r>
          </w:p>
        </w:tc>
      </w:tr>
      <w:tr w14:paraId="228E1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28D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1AD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建民办</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BF05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汉滨区建民办黄沟小学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795E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443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66F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4ED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1022</w:t>
            </w:r>
          </w:p>
        </w:tc>
      </w:tr>
      <w:tr w14:paraId="470861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F03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83F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建民办</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0220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汉滨区建民办忠诚小学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4B3D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97B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A1E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60A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r>
      <w:tr w14:paraId="552B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402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6AA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建民办</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D640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汉滨区建民办徐家沟小学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30A0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3F3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F4A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CE2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r>
      <w:tr w14:paraId="6E3488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886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9D3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建民办</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E98E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汉滨区建民办忠诚小学青春教学点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A09D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3A0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811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4DD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5FF5A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0B1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194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建民办</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D20F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汉滨区建民办二里九年制学校三星教学点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C01E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C2E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F41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E95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64189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9C5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B06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建民办</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1BE9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汉滨区建民办二里九年制学校西山教学点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F586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C30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892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F7A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5A986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DEC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980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建民办</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96C0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汉滨区建民办徐家沟小学庙岭教学点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9BB6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C32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AAD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22E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r>
      <w:tr w14:paraId="3334E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359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566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江北办</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B30B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汉滨区江北九年制</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E781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8FB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566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43D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450</w:t>
            </w:r>
          </w:p>
        </w:tc>
      </w:tr>
      <w:tr w14:paraId="40CBC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FA7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695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江北办</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8216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安康市大升实验学校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B710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440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251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F58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394</w:t>
            </w:r>
          </w:p>
        </w:tc>
      </w:tr>
      <w:tr w14:paraId="75628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AA3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CCD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江北办</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AF2C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汉滨区江北小学长征教学点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79D5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BCB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80D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864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r>
      <w:tr w14:paraId="7B194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279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195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江北办</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E88E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汉滨区刘家沟幼儿园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0097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2E5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B88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F31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w:t>
            </w:r>
          </w:p>
        </w:tc>
      </w:tr>
      <w:tr w14:paraId="201DD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8D3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A0B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江北办</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BC70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汉滨区江北幼儿园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842A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549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E9B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7EA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448</w:t>
            </w:r>
          </w:p>
        </w:tc>
      </w:tr>
      <w:tr w14:paraId="4B76C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245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F6E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区直</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08F8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汉滨区张岭幼儿园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BB9C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7A5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077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FB7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257</w:t>
            </w:r>
          </w:p>
        </w:tc>
      </w:tr>
      <w:tr w14:paraId="69DBF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45D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DCF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区直</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6604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汉滨区大河中学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72BF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完全中学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C8C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AF3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D41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991</w:t>
            </w:r>
          </w:p>
        </w:tc>
      </w:tr>
      <w:tr w14:paraId="10AFC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E12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EF8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区直</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CFD0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汉滨区铁路幼儿园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B4F6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23B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B06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7B8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562</w:t>
            </w:r>
          </w:p>
        </w:tc>
      </w:tr>
      <w:tr w14:paraId="35243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0AA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C7A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区直</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9C8C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汉滨区铁路幼儿园东园区</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43F5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155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46E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221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w:t>
            </w:r>
          </w:p>
        </w:tc>
      </w:tr>
      <w:tr w14:paraId="03EBE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60D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C9C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区直</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12D8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汉滨区铁路小学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4D29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5BF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CDA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121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222</w:t>
            </w:r>
          </w:p>
        </w:tc>
      </w:tr>
      <w:tr w14:paraId="5AEE7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000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09A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区直</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8C0E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汉滨区五里高级中学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83D3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3BF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069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414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1221</w:t>
            </w:r>
          </w:p>
        </w:tc>
      </w:tr>
      <w:tr w14:paraId="1D692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149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357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区直</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19A5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汉滨区江北高中东校区</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3D18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初中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7F9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28F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B87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1103</w:t>
            </w:r>
          </w:p>
        </w:tc>
      </w:tr>
      <w:tr w14:paraId="6F5DE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580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707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区直</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FA94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汉滨区江北高级中学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148F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完全中学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2C6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BA9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967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241</w:t>
            </w:r>
          </w:p>
        </w:tc>
      </w:tr>
      <w:tr w14:paraId="02374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E8F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B8B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区直</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0D53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汉滨区初级中学滨江校区</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9F53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A82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B69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0DC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1045</w:t>
            </w:r>
          </w:p>
        </w:tc>
      </w:tr>
      <w:tr w14:paraId="15D27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F2A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81E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区直</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9115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汉滨区新建中等职业技术学校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C232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职中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C0E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DD6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650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860</w:t>
            </w:r>
          </w:p>
        </w:tc>
      </w:tr>
      <w:tr w14:paraId="74383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196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B45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沈坝镇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D3EA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汉滨区沈坝镇幼儿园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26A2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C3C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87C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CB0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w:t>
            </w:r>
          </w:p>
        </w:tc>
      </w:tr>
      <w:tr w14:paraId="3F2C01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5EE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9B2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沈坝镇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663D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汉滨区沈坝九年制学校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1DCA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0CF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16C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5D2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416</w:t>
            </w:r>
          </w:p>
        </w:tc>
      </w:tr>
      <w:tr w14:paraId="7C7AA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C9A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E3D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沈坝镇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54B5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汉滨区沈坝镇元潭小学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A75E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470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EFF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A93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r>
      <w:tr w14:paraId="356E3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1C5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3ED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沈坝镇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42B3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汉滨区沈坝镇元潭社区幼儿园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58A4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FF3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B10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FF6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3994A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BA2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5FE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沈坝镇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D1A3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汉滨区沈坝九年制学校洛河教学点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731E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D28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335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583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r>
      <w:tr w14:paraId="3D185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5B9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168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石梯镇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4C1A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汉滨区石梯小学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4BB7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CF5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D63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C9E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r>
      <w:tr w14:paraId="5443B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85A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A38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石梯镇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D270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汉滨区石梯小学杨寇教学点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E86B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7CF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B5C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DB9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r>
      <w:tr w14:paraId="4215F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21C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B78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石梯镇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1C31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汉滨区石梯小学大石教学点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CDAF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62F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21F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607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2B0B6A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6ED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3C6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石梯镇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00B0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汉滨区石梯小学丰富教学点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98CE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D04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5C3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BA6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0C97B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2B7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A94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石梯镇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AEA3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汉滨区石梯小学冯山教学点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758A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85C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24F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B71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46426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0AD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CF2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石梯镇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F19D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汉滨区石梯小学青套教学点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1A23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891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A49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842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51314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FFA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D6E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石梯镇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9C9B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汉滨区石梯镇幼儿园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19A3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3FD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6EC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D45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r>
      <w:tr w14:paraId="2268A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631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B9D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谭坝镇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1312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汉滨区谭坝九年制学校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D70F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72A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7AA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5D1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157</w:t>
            </w:r>
          </w:p>
        </w:tc>
      </w:tr>
      <w:tr w14:paraId="7998B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628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A2E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谭坝镇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096F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汉滨区谭坝镇松坝九年制学校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4353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04E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368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777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278</w:t>
            </w:r>
          </w:p>
        </w:tc>
      </w:tr>
      <w:tr w14:paraId="3A9E5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1E3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BBB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谭坝镇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6D3C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汉滨区谭坝镇幼儿园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48A3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D48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B2F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AA1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r>
      <w:tr w14:paraId="706C8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547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4C9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谭坝镇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4358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汉滨区谭坝镇松坝社区幼儿园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E7C7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561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63F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BD8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r>
      <w:tr w14:paraId="6B16F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46C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D92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吉河镇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CDBC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汉滨区吉河九年制学校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2DBF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836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AD4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F32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376</w:t>
            </w:r>
          </w:p>
        </w:tc>
      </w:tr>
      <w:tr w14:paraId="25599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561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DFE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吉河镇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606E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汉滨区吉河镇唐庄小学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1D45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7A5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206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7FF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14:paraId="2AB67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BA4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160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吉河镇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02FA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汉滨区吉河镇唐庄小学天山教学点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AC76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7FB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33E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30E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5A08E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7CF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78</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774517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吉河镇</w:t>
            </w:r>
          </w:p>
        </w:tc>
        <w:tc>
          <w:tcPr>
            <w:tcW w:w="4036" w:type="dxa"/>
            <w:tcBorders>
              <w:top w:val="single" w:color="000000" w:sz="4" w:space="0"/>
              <w:left w:val="single" w:color="000000" w:sz="4" w:space="0"/>
              <w:bottom w:val="nil"/>
              <w:right w:val="single" w:color="000000" w:sz="4" w:space="0"/>
            </w:tcBorders>
            <w:shd w:val="clear" w:color="auto" w:fill="auto"/>
            <w:vAlign w:val="center"/>
          </w:tcPr>
          <w:p w14:paraId="0C4A7F6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汉滨区吉河镇矿石小学</w:t>
            </w:r>
          </w:p>
        </w:tc>
        <w:tc>
          <w:tcPr>
            <w:tcW w:w="1236" w:type="dxa"/>
            <w:tcBorders>
              <w:top w:val="single" w:color="000000" w:sz="4" w:space="0"/>
              <w:left w:val="single" w:color="000000" w:sz="4" w:space="0"/>
              <w:bottom w:val="nil"/>
              <w:right w:val="single" w:color="000000" w:sz="4" w:space="0"/>
            </w:tcBorders>
            <w:shd w:val="clear" w:color="auto" w:fill="auto"/>
            <w:vAlign w:val="center"/>
          </w:tcPr>
          <w:p w14:paraId="40967C8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7B1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259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490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14:paraId="39D32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1A3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99F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吉河镇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BD64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汉滨区吉河九年制学校福滩教学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EF63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268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ED7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305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r>
      <w:tr w14:paraId="64095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B13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F45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吉河镇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0228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汉滨区吉河九年制学校炭沟教学点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D757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109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273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CDA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r>
      <w:tr w14:paraId="054BD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582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621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吉河镇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AF78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汉滨区吉河九年制学校清坪教学点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0B14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577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822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A70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3C23F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959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280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吉河镇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AB17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汉滨区吉河九年制学校高水教学点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02D6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BFF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28A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6FF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76AEE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B0A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EBB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吉河镇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83FA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汉滨区吉河镇幼儿园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3F55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A4D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F4C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A76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w:t>
            </w:r>
          </w:p>
        </w:tc>
      </w:tr>
      <w:tr w14:paraId="5EBFAB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126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84</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47A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吉河镇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3AEA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汉滨区吉河镇炭沟小学附设幼儿园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AB3E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公办附设园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EA0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7B0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45C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35D33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8"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B1D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85</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D14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吉河镇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F503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汉滨区吉河九年制学校高水教学点附设幼儿园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2F35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公办附设园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C66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B74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D02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4E177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AAD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001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吉河镇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B7B5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汉滨区吉河镇唐庄小学附设幼儿园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7F74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公办附设园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658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F01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FA9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1EF6B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492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7CB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叶坪镇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F37B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汉滨区叶坪镇幼儿园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16DC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BB3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657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C3E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r>
      <w:tr w14:paraId="0F8FE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267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3DE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叶坪镇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C813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汉滨区叶坪小学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8FFF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A53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706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6BB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107</w:t>
            </w:r>
          </w:p>
        </w:tc>
      </w:tr>
      <w:tr w14:paraId="441B5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E41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43C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早阳镇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467E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汉滨区早阳镇早阳教学点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42C6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63D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92F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2A0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55F88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D89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887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早阳镇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FF85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汉滨区早阳镇龙泉教学点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0E48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220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4B0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522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0B4D9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C47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4CC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早阳镇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9F7E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汉滨区早阳小学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50AD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29C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921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403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r>
      <w:tr w14:paraId="6FBFE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853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9C7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早阳镇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6E8D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汉滨区早阳镇九里教学点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C99E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C43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CE5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A20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14:paraId="02C27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BF1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FAB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早阳镇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C593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汉滨区早阳小学东方岭教学点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D5F3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FC3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A4B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A1D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682C3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B0D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E2A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早阳镇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D151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汉滨区早阳小学前进教学点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8534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0C5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6DD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AFB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729F38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6B0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00B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早阳镇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3879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汉滨区早阳镇共进小学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11DF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600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933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69A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r>
      <w:tr w14:paraId="4BF1C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C7F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6B8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早阳镇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1C36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汉滨区早阳镇共进幼儿园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C1DB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1AF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FD6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AB9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47064E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40A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4EC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早阳镇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1F08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汉滨区早阳镇包河小学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B4FE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05F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C40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5A1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r>
      <w:tr w14:paraId="1D4C4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3DD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98</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687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早阳镇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C0FA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汉滨区早阳镇早阳小学附设幼儿园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ADD2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公办附设园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823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FE9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47E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2B531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F33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9ED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中原镇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75E1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汉滨区中原九年制学校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14F2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428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FEB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CB3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595</w:t>
            </w:r>
          </w:p>
        </w:tc>
      </w:tr>
      <w:tr w14:paraId="54D36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D47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21C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中原镇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FECB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汉滨区中原小学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C7EE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AF6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73B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1DB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154</w:t>
            </w:r>
          </w:p>
        </w:tc>
      </w:tr>
      <w:tr w14:paraId="504381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2F4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7BD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中原镇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FE17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汉滨区中原镇马坪小学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906C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3F7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E09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11F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w:t>
            </w:r>
          </w:p>
        </w:tc>
      </w:tr>
      <w:tr w14:paraId="168C4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FC7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B65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中原镇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5777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汉滨区中原小学双湾教学点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6F69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46C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CD7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AA5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1FAA8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85D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5F9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中原镇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18B1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汉滨区中原镇幼儿园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4957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59C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065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C8F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83</w:t>
            </w:r>
          </w:p>
        </w:tc>
      </w:tr>
      <w:tr w14:paraId="3976A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1CC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E1C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中原镇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0AF3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汉滨区中原镇马坪社区幼儿园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FEEA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335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B79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1BE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r>
      <w:tr w14:paraId="394C8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BFE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4FA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紫荆镇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9EEF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汉滨区紫荆九年制学校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EE57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FB2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F69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270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177</w:t>
            </w:r>
          </w:p>
        </w:tc>
      </w:tr>
      <w:tr w14:paraId="13A2E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E90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38B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紫荆镇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3D39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汉滨区紫荆九年制学校荆河教学点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F5B1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C88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0EA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210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r>
      <w:tr w14:paraId="6BF9E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4C1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1BE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紫荆镇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B338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汉滨区紫荆镇紫荆九年制学校一军教学点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0DCB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EB0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9F2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F70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r>
      <w:tr w14:paraId="69FF8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9C2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2A7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紫荆镇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EEF8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汉滨区紫荆镇规划小学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2072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529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14F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6C4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r>
      <w:tr w14:paraId="6CB42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5BE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1AE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紫荆镇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71E6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汉滨区紫荆镇规划小学沙坝教学点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ADDF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A85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85C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1EA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r>
      <w:tr w14:paraId="706C9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BDB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994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紫荆镇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B51A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汉滨区紫荆九年制学校荆河社区教学点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085D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F33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3FD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E74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71FF8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3"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0FD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111</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2C1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紫荆镇</w:t>
            </w:r>
          </w:p>
        </w:tc>
        <w:tc>
          <w:tcPr>
            <w:tcW w:w="4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8E78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汉滨区紫荆镇幼儿园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4095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E85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B47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D98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bl>
    <w:p w14:paraId="1B8635C5">
      <w:pPr>
        <w:pageBreakBefore w:val="0"/>
        <w:topLinePunct w:val="0"/>
        <w:bidi w:val="0"/>
        <w:spacing w:line="500" w:lineRule="exact"/>
        <w:ind w:left="0" w:leftChars="0" w:right="0" w:rightChars="0" w:firstLine="440" w:firstLineChars="200"/>
        <w:rPr>
          <w:color w:val="auto"/>
        </w:rPr>
      </w:pPr>
    </w:p>
    <w:p w14:paraId="1D761D8F">
      <w:pPr>
        <w:pStyle w:val="11"/>
        <w:rPr>
          <w:color w:val="auto"/>
        </w:rPr>
      </w:pPr>
    </w:p>
    <w:p w14:paraId="5B66C1EE">
      <w:pPr>
        <w:pStyle w:val="11"/>
        <w:rPr>
          <w:color w:val="auto"/>
        </w:rPr>
      </w:pPr>
    </w:p>
    <w:p w14:paraId="3D2DD11C">
      <w:pPr>
        <w:pStyle w:val="11"/>
        <w:rPr>
          <w:color w:val="auto"/>
        </w:rPr>
      </w:pPr>
    </w:p>
    <w:p w14:paraId="7C12F44F">
      <w:pPr>
        <w:pStyle w:val="11"/>
        <w:rPr>
          <w:color w:val="auto"/>
        </w:rPr>
      </w:pPr>
    </w:p>
    <w:p w14:paraId="761530C4">
      <w:pPr>
        <w:pStyle w:val="11"/>
        <w:rPr>
          <w:color w:val="auto"/>
        </w:rPr>
      </w:pPr>
    </w:p>
    <w:p w14:paraId="19DCE8FD">
      <w:pPr>
        <w:pStyle w:val="11"/>
        <w:rPr>
          <w:color w:val="auto"/>
        </w:rPr>
      </w:pPr>
    </w:p>
    <w:p w14:paraId="2FD66B8B">
      <w:pPr>
        <w:pStyle w:val="11"/>
        <w:rPr>
          <w:color w:val="auto"/>
        </w:rPr>
      </w:pPr>
    </w:p>
    <w:p w14:paraId="069EA7AA">
      <w:pPr>
        <w:pStyle w:val="11"/>
        <w:rPr>
          <w:color w:val="auto"/>
        </w:rPr>
      </w:pPr>
    </w:p>
    <w:p w14:paraId="56048449">
      <w:pPr>
        <w:pStyle w:val="11"/>
        <w:rPr>
          <w:color w:val="auto"/>
        </w:rPr>
      </w:pPr>
    </w:p>
    <w:tbl>
      <w:tblPr>
        <w:tblStyle w:val="23"/>
        <w:tblW w:w="104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8"/>
        <w:gridCol w:w="1096"/>
        <w:gridCol w:w="3848"/>
        <w:gridCol w:w="1316"/>
        <w:gridCol w:w="1200"/>
        <w:gridCol w:w="1187"/>
        <w:gridCol w:w="1115"/>
      </w:tblGrid>
      <w:tr w14:paraId="5977F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10420" w:type="dxa"/>
            <w:gridSpan w:val="7"/>
            <w:tcBorders>
              <w:top w:val="nil"/>
              <w:left w:val="nil"/>
              <w:bottom w:val="nil"/>
              <w:right w:val="nil"/>
            </w:tcBorders>
            <w:shd w:val="clear" w:color="auto" w:fill="auto"/>
            <w:vAlign w:val="center"/>
          </w:tcPr>
          <w:p w14:paraId="0FF2FF9C">
            <w:pPr>
              <w:keepNext w:val="0"/>
              <w:keepLines w:val="0"/>
              <w:widowControl/>
              <w:suppressLineNumbers w:val="0"/>
              <w:jc w:val="center"/>
              <w:textAlignment w:val="center"/>
              <w:rPr>
                <w:rFonts w:ascii="方正小标宋简体" w:hAnsi="方正小标宋简体" w:eastAsia="方正小标宋简体" w:cs="方正小标宋简体"/>
                <w:i w:val="0"/>
                <w:iCs w:val="0"/>
                <w:color w:val="000000"/>
                <w:sz w:val="40"/>
                <w:szCs w:val="40"/>
                <w:u w:val="none"/>
              </w:rPr>
            </w:pPr>
            <w:r>
              <w:rPr>
                <w:rFonts w:hint="default" w:ascii="方正小标宋简体" w:hAnsi="方正小标宋简体" w:eastAsia="方正小标宋简体" w:cs="方正小标宋简体"/>
                <w:i w:val="0"/>
                <w:iCs w:val="0"/>
                <w:color w:val="000000"/>
                <w:kern w:val="0"/>
                <w:sz w:val="40"/>
                <w:szCs w:val="40"/>
                <w:u w:val="none"/>
                <w:lang w:val="en-US" w:eastAsia="zh-CN" w:bidi="ar"/>
              </w:rPr>
              <w:t>汉滨区2026－2027学年度中小学幼儿园大宗食材</w:t>
            </w:r>
            <w:r>
              <w:rPr>
                <w:rFonts w:hint="default" w:ascii="方正小标宋简体" w:hAnsi="方正小标宋简体" w:eastAsia="方正小标宋简体" w:cs="方正小标宋简体"/>
                <w:i w:val="0"/>
                <w:iCs w:val="0"/>
                <w:color w:val="000000"/>
                <w:kern w:val="0"/>
                <w:sz w:val="40"/>
                <w:szCs w:val="40"/>
                <w:u w:val="none"/>
                <w:lang w:val="en-US" w:eastAsia="zh-CN" w:bidi="ar"/>
              </w:rPr>
              <w:br w:type="textWrapping"/>
            </w:r>
            <w:r>
              <w:rPr>
                <w:rFonts w:hint="default" w:ascii="方正小标宋简体" w:hAnsi="方正小标宋简体" w:eastAsia="方正小标宋简体" w:cs="方正小标宋简体"/>
                <w:i w:val="0"/>
                <w:iCs w:val="0"/>
                <w:color w:val="000000"/>
                <w:kern w:val="0"/>
                <w:sz w:val="40"/>
                <w:szCs w:val="40"/>
                <w:u w:val="none"/>
                <w:lang w:val="en-US" w:eastAsia="zh-CN" w:bidi="ar"/>
              </w:rPr>
              <w:t>及原辅材料配送项目 B 片区配送学校名单</w:t>
            </w:r>
          </w:p>
        </w:tc>
      </w:tr>
      <w:tr w14:paraId="3A9C9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09D1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47F7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镇办</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6D52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学校幼儿园名称</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DA38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学校类别</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EBB0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义务段营养餐实施人数</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BB87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非营养餐实施人数</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8139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合计人数</w:t>
            </w:r>
          </w:p>
        </w:tc>
      </w:tr>
      <w:tr w14:paraId="73B5B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A34C2">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AA2F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合计</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03AE0">
            <w:pPr>
              <w:jc w:val="center"/>
              <w:rPr>
                <w:rFonts w:hint="eastAsia" w:ascii="宋体" w:hAnsi="宋体" w:eastAsia="宋体" w:cs="宋体"/>
                <w:i w:val="0"/>
                <w:iCs w:val="0"/>
                <w:color w:val="000000"/>
                <w:sz w:val="22"/>
                <w:szCs w:val="22"/>
                <w:u w:val="none"/>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9439D">
            <w:pPr>
              <w:jc w:val="center"/>
              <w:rPr>
                <w:rFonts w:hint="eastAsia" w:ascii="宋体" w:hAnsi="宋体" w:eastAsia="宋体" w:cs="宋体"/>
                <w:i w:val="0"/>
                <w:iCs w:val="0"/>
                <w:color w:val="000000"/>
                <w:sz w:val="22"/>
                <w:szCs w:val="22"/>
                <w:u w:val="none"/>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C6B1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9917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5D72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7190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C73F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17107</w:t>
            </w:r>
          </w:p>
        </w:tc>
      </w:tr>
      <w:tr w14:paraId="080F7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FA1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2DE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坝河镇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D042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汉滨区坝河九年制学校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B572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0E4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D47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788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290</w:t>
            </w:r>
          </w:p>
        </w:tc>
      </w:tr>
      <w:tr w14:paraId="76D9A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28B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EA8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坝河镇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9E2B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汉滨区勇敢小学蒋河教学点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077B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4DF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C94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8B4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14:paraId="1F51C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B10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5FD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坝河镇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FB0E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汉滨区坝河镇勇敢小学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9BBE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253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D99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658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r>
      <w:tr w14:paraId="46BD2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7F5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AEE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坝河镇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87EA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汉滨区坝河镇幼儿园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F7EF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A6B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E67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A96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r>
      <w:tr w14:paraId="26676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7E5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2B4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坝河镇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27E1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汉滨区坝河镇勇敢小学附设幼儿园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D986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43A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86B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DC8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70899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2B4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472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大竹园镇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1740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汉滨区大竹园镇九年制学校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A037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678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039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9DF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560</w:t>
            </w:r>
          </w:p>
        </w:tc>
      </w:tr>
      <w:tr w14:paraId="54665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191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74A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大竹园镇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DDA6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汉滨区大竹园镇正义小学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2125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971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078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EC4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w:t>
            </w:r>
          </w:p>
        </w:tc>
      </w:tr>
      <w:tr w14:paraId="548D6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A54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60E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大竹园镇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4CAF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汉滨区大竹园镇关联小学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B1B6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D4B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A40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F85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r>
      <w:tr w14:paraId="5DB19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FE8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764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大竹园镇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CC21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汉滨区大竹园镇茶栈小学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C18A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BB2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74A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C1E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w:t>
            </w:r>
          </w:p>
        </w:tc>
      </w:tr>
      <w:tr w14:paraId="0DF235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411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EE3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大竹园镇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B2E8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汉滨区大竹园镇中心社区幼儿园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DFC6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B12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5A9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582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w:t>
            </w:r>
          </w:p>
        </w:tc>
      </w:tr>
      <w:tr w14:paraId="4B601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B2A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E64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大竹园镇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FAB2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汉滨区大竹园镇幼儿园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A8DD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0FC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CFA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18D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r>
      <w:tr w14:paraId="3834C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D8A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8EC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大竹园镇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D4D7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汉滨区大竹园镇茶栈小学附设幼儿园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1298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公办附设园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1F3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411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295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r>
      <w:tr w14:paraId="705CC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434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059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关家镇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A0FD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汉滨区关家镇关家九年制学校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90B2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CD8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DC1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CC9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r>
      <w:tr w14:paraId="197A2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1F3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95B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关家镇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6644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汉滨区关家镇关家幼儿园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E178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80A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8A4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3BF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6A0A6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D36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117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关家镇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2501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汉滨区关家镇邹庙教学点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1977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C4B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73B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2CE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r>
      <w:tr w14:paraId="05781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41C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457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关家镇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304C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汉滨区关家镇李台教学点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0F4C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E04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E7B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B54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42F8B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AC1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CD3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关家镇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1FCA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汉滨区关家镇八庙初小附设幼儿园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CD76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D4A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DF7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6A4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14055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89B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17D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关家镇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7F25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汉滨区关家镇八庙教学点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2B5C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DF8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461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04D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r>
      <w:tr w14:paraId="7BD5E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801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73D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关家镇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5F1D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汉滨区关家镇小关九年制学校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076D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3AC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AD3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6E6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137</w:t>
            </w:r>
          </w:p>
        </w:tc>
      </w:tr>
      <w:tr w14:paraId="07056B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C16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19E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关家镇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379A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汉滨区关家镇小关社区幼儿园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5DEA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6F2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77E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065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r>
      <w:tr w14:paraId="6B431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5CC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7AE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关家镇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2682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汉滨区关家镇乌垭教学点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604D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6E0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79F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2CE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r>
      <w:tr w14:paraId="5020D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996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FE7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洪山镇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3527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汉滨区洪山镇石转九年制学校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0AE2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2F5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9E6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26E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199</w:t>
            </w:r>
          </w:p>
        </w:tc>
      </w:tr>
      <w:tr w14:paraId="248F7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CA0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413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洪山镇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79A1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汉滨区洪山九年制学校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06DC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F21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B1E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88F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336</w:t>
            </w:r>
          </w:p>
        </w:tc>
      </w:tr>
      <w:tr w14:paraId="1537B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C8B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615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洪山镇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EECE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汉滨区洪山镇幼儿园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4737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49A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A8E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627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r>
      <w:tr w14:paraId="19F4B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E0F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D57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洪山镇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6FC2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汉滨区洪山镇石转幼儿园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9F7C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8F6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2B0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1DB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w:t>
            </w:r>
          </w:p>
        </w:tc>
      </w:tr>
      <w:tr w14:paraId="10DCA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687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04A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洪山镇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DDF8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汉滨区洪山九年制学校瓦仓教学点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6846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5AB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315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E17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2346C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44B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C21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江南办</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777E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汉滨区枣园幼儿园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164B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CBB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549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B33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171</w:t>
            </w:r>
          </w:p>
        </w:tc>
      </w:tr>
      <w:tr w14:paraId="0C462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A62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53A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江南办</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9386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安康黄冈实验学校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F3D8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十二年制</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7A2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DA5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18A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87</w:t>
            </w:r>
          </w:p>
        </w:tc>
      </w:tr>
      <w:tr w14:paraId="5B3C0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973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E1E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江南办</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260C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汉滨区育才小学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B093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5C4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527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171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r>
      <w:tr w14:paraId="2695B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03A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348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江南办</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6780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汉滨区东关民族幼儿园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25BF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AAB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93C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40F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183</w:t>
            </w:r>
          </w:p>
        </w:tc>
      </w:tr>
      <w:tr w14:paraId="47A07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C24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228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流水镇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ED9A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汉滨区流水镇新坝九年制学校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9736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527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4F5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CEE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178</w:t>
            </w:r>
          </w:p>
        </w:tc>
      </w:tr>
      <w:tr w14:paraId="51F69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67F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562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流水镇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1D21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汉滨区汉滨区流水小学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245B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48D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131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617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192</w:t>
            </w:r>
          </w:p>
        </w:tc>
      </w:tr>
      <w:tr w14:paraId="32236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BB5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9C5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流水镇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0754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汉滨区流水小学田心教学点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3CDE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649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51B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A39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6C2C6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A44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87C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流水镇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D9DF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汉滨区流水小学学坊垭教学点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3C7C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C46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A4A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713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39DA8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99F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EA4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流水镇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A262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汉滨区流水镇新庄教学点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D761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9AC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3BF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964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r>
      <w:tr w14:paraId="17E5C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1CC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04D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流水镇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078B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汉滨区流水镇良田教学点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E8D2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947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A97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639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14:paraId="28C19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60E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D83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流水镇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63A5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汉滨区流水镇幼儿园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0AD8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446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845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35F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w:t>
            </w:r>
          </w:p>
        </w:tc>
      </w:tr>
      <w:tr w14:paraId="0FB1B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247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D87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流水镇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0E52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汉滨区流水镇新坝幼儿园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0A21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F57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651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591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r>
      <w:tr w14:paraId="61A83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13F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512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流水镇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2B5E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汉滨区流水小学新庄教学点附设幼儿园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E16B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公办附设园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DAD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216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8D8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r>
      <w:tr w14:paraId="063F8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EE4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0AC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牛蹄镇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4C60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汉滨区牛蹄镇牛蹄幼儿园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CF5C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B81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997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AB3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r>
      <w:tr w14:paraId="6B73D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521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8AF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牛蹄镇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31EE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汉滨区牛蹄九年制学校林本教学点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6131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22C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F15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A60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14:paraId="119CB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206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BFE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牛蹄镇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6AD4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汉滨区牛蹄九年制学校吉安教学点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1AD7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A63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0CB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38E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r>
      <w:tr w14:paraId="21534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68F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EED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牛蹄镇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8228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汉滨区牛蹄九年制学校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1727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579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B22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5BE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359</w:t>
            </w:r>
          </w:p>
        </w:tc>
      </w:tr>
      <w:tr w14:paraId="7F4DD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B90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59D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区直</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CFF1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79D7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8C8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CEB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873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545</w:t>
            </w:r>
          </w:p>
        </w:tc>
      </w:tr>
      <w:tr w14:paraId="0B52E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186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78E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区直</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BE73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汉滨区幼儿园公园中央分园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C2A1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89E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E4B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3BD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w:t>
            </w:r>
          </w:p>
        </w:tc>
      </w:tr>
      <w:tr w14:paraId="7841D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FF8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D16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区直</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A96D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汉滨区流水中学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74A9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完全中学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31F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573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84B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691</w:t>
            </w:r>
          </w:p>
        </w:tc>
      </w:tr>
      <w:tr w14:paraId="439F2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B5E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D50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区直</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9AAC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汉滨初级中学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9BD4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初中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654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DCE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6AD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559</w:t>
            </w:r>
          </w:p>
        </w:tc>
      </w:tr>
      <w:tr w14:paraId="36AAC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0C0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77A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区直</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891D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汉滨区瀛湖中学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6729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完全中学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4AE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531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BC8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1063</w:t>
            </w:r>
          </w:p>
        </w:tc>
      </w:tr>
      <w:tr w14:paraId="1F2C2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E77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304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区直</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CB6A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汉滨区江南幼儿园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7EC9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09F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716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192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387</w:t>
            </w:r>
          </w:p>
        </w:tc>
      </w:tr>
      <w:tr w14:paraId="17EFE3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1B7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34A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区直</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230A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汉滨区初级中学大桥路校区</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1A50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初中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F24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2E2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6D0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w:t>
            </w:r>
          </w:p>
        </w:tc>
      </w:tr>
      <w:tr w14:paraId="02AEC7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B24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480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区直</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0954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汉滨区张滩高级中学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F083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完全中学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B19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7E0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785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1482</w:t>
            </w:r>
          </w:p>
        </w:tc>
      </w:tr>
      <w:tr w14:paraId="1279A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DDC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08846B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五里镇</w:t>
            </w:r>
          </w:p>
        </w:tc>
        <w:tc>
          <w:tcPr>
            <w:tcW w:w="3985" w:type="dxa"/>
            <w:tcBorders>
              <w:top w:val="single" w:color="000000" w:sz="4" w:space="0"/>
              <w:left w:val="single" w:color="000000" w:sz="4" w:space="0"/>
              <w:bottom w:val="nil"/>
              <w:right w:val="single" w:color="000000" w:sz="4" w:space="0"/>
            </w:tcBorders>
            <w:shd w:val="clear" w:color="auto" w:fill="auto"/>
            <w:vAlign w:val="center"/>
          </w:tcPr>
          <w:p w14:paraId="3DADB87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汉滨区五里镇东升小学</w:t>
            </w:r>
          </w:p>
        </w:tc>
        <w:tc>
          <w:tcPr>
            <w:tcW w:w="1236" w:type="dxa"/>
            <w:tcBorders>
              <w:top w:val="single" w:color="000000" w:sz="4" w:space="0"/>
              <w:left w:val="single" w:color="000000" w:sz="4" w:space="0"/>
              <w:bottom w:val="nil"/>
              <w:right w:val="single" w:color="000000" w:sz="4" w:space="0"/>
            </w:tcBorders>
            <w:shd w:val="clear" w:color="auto" w:fill="auto"/>
            <w:vAlign w:val="center"/>
          </w:tcPr>
          <w:p w14:paraId="2C4D1B2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6C8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71D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623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r>
      <w:tr w14:paraId="096C1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4C0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96F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五里镇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CDF0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汉滨区五里镇刘营小学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9C9B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DF4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E94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091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r>
      <w:tr w14:paraId="55874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E0F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B22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五里镇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F94A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汉滨区五里镇刘营幼儿园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A14B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77E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176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67A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3008E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F73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3C1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五里镇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74B9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汉滨区五里镇七里教学点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55CF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8AE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DBF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A5F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67BFF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F7B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56</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151E48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五里镇</w:t>
            </w:r>
          </w:p>
        </w:tc>
        <w:tc>
          <w:tcPr>
            <w:tcW w:w="3985" w:type="dxa"/>
            <w:tcBorders>
              <w:top w:val="single" w:color="000000" w:sz="4" w:space="0"/>
              <w:left w:val="single" w:color="000000" w:sz="4" w:space="0"/>
              <w:bottom w:val="nil"/>
              <w:right w:val="single" w:color="000000" w:sz="4" w:space="0"/>
            </w:tcBorders>
            <w:shd w:val="clear" w:color="auto" w:fill="auto"/>
            <w:vAlign w:val="center"/>
          </w:tcPr>
          <w:p w14:paraId="3F3F58C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汉滨区五里镇李家坝小学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7B13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CB9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977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165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r>
      <w:tr w14:paraId="238AA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112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479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五里镇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0A55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汉滨区五里小学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90A1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C02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092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C24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1300</w:t>
            </w:r>
          </w:p>
        </w:tc>
      </w:tr>
      <w:tr w14:paraId="1514F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C4C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745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五里镇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2C76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汉滨区五里镇冉砭小学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0B86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FB0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8EF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EEB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7808C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E2B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0D8287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五里镇</w:t>
            </w:r>
          </w:p>
        </w:tc>
        <w:tc>
          <w:tcPr>
            <w:tcW w:w="3985" w:type="dxa"/>
            <w:tcBorders>
              <w:top w:val="single" w:color="000000" w:sz="4" w:space="0"/>
              <w:left w:val="single" w:color="000000" w:sz="4" w:space="0"/>
              <w:bottom w:val="nil"/>
              <w:right w:val="single" w:color="000000" w:sz="4" w:space="0"/>
            </w:tcBorders>
            <w:shd w:val="clear" w:color="auto" w:fill="auto"/>
            <w:vAlign w:val="center"/>
          </w:tcPr>
          <w:p w14:paraId="5C48EAD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汉滨区五里镇团结小学</w:t>
            </w:r>
          </w:p>
        </w:tc>
        <w:tc>
          <w:tcPr>
            <w:tcW w:w="1236" w:type="dxa"/>
            <w:tcBorders>
              <w:top w:val="single" w:color="000000" w:sz="4" w:space="0"/>
              <w:left w:val="single" w:color="000000" w:sz="4" w:space="0"/>
              <w:bottom w:val="nil"/>
              <w:right w:val="single" w:color="000000" w:sz="4" w:space="0"/>
            </w:tcBorders>
            <w:shd w:val="clear" w:color="auto" w:fill="auto"/>
            <w:vAlign w:val="center"/>
          </w:tcPr>
          <w:p w14:paraId="5E09071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990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A58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075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r>
      <w:tr w14:paraId="7ED96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76E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7F5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五里镇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9F58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汉滨区四合九年制学校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215F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39D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B1C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E2A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443</w:t>
            </w:r>
          </w:p>
        </w:tc>
      </w:tr>
      <w:tr w14:paraId="38803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886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813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五里镇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4F20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汉滨区五里镇幼儿园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4751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BFF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525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A6B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253</w:t>
            </w:r>
          </w:p>
        </w:tc>
      </w:tr>
      <w:tr w14:paraId="2EAFA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105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1ADD06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五里镇</w:t>
            </w:r>
          </w:p>
        </w:tc>
        <w:tc>
          <w:tcPr>
            <w:tcW w:w="3985" w:type="dxa"/>
            <w:tcBorders>
              <w:top w:val="single" w:color="000000" w:sz="4" w:space="0"/>
              <w:left w:val="single" w:color="000000" w:sz="4" w:space="0"/>
              <w:bottom w:val="nil"/>
              <w:right w:val="single" w:color="000000" w:sz="4" w:space="0"/>
            </w:tcBorders>
            <w:shd w:val="clear" w:color="auto" w:fill="auto"/>
            <w:vAlign w:val="center"/>
          </w:tcPr>
          <w:p w14:paraId="01F4302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汉滨区五里镇梅花石小学</w:t>
            </w:r>
          </w:p>
        </w:tc>
        <w:tc>
          <w:tcPr>
            <w:tcW w:w="1236" w:type="dxa"/>
            <w:tcBorders>
              <w:top w:val="single" w:color="000000" w:sz="4" w:space="0"/>
              <w:left w:val="single" w:color="000000" w:sz="4" w:space="0"/>
              <w:bottom w:val="nil"/>
              <w:right w:val="single" w:color="000000" w:sz="4" w:space="0"/>
            </w:tcBorders>
            <w:shd w:val="clear" w:color="auto" w:fill="auto"/>
            <w:vAlign w:val="center"/>
          </w:tcPr>
          <w:p w14:paraId="26E6297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298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6E6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3D1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45668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080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511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五里镇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2E97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汉滨区民主九年制学校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24E7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236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8D9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E47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1494</w:t>
            </w:r>
          </w:p>
        </w:tc>
      </w:tr>
      <w:tr w14:paraId="2DF34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2C0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249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五里镇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AA35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汉滨区五里镇富强幼儿园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0789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ADB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5DA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B2D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7B0E5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C6E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DF4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五里镇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5D87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汉滨区富强九年制学校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AA84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0F7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FCA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235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78</w:t>
            </w:r>
          </w:p>
        </w:tc>
      </w:tr>
      <w:tr w14:paraId="7F4BE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F03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BC2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双龙镇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A137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汉滨区双龙镇幼儿园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533F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8BC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465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0C2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r>
      <w:tr w14:paraId="5E27C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135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2E9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双龙镇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D105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汉滨区双龙镇中心社区幼儿园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52BF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EBF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EC2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B83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r>
      <w:tr w14:paraId="3368A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0EF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841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双龙镇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6A20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汉滨区双龙镇五四小学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7767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126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CE2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8BE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r>
      <w:tr w14:paraId="2F44C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784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51B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双龙镇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B4E2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汉滨区双龙镇三星小学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6B96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B26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AB2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2E4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r>
      <w:tr w14:paraId="3DCC6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070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473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双龙镇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733A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汉滨区双龙镇双龙小学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A519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C6F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6F0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A79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287</w:t>
            </w:r>
          </w:p>
        </w:tc>
      </w:tr>
      <w:tr w14:paraId="1C077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D36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22D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双龙镇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75E0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双龙镇双龙小学三山教学点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2659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5C0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D60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124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r>
      <w:tr w14:paraId="78909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488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90C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双龙镇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3384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汉滨区双龙初级中学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BCE5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初中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269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983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DB9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263</w:t>
            </w:r>
          </w:p>
        </w:tc>
      </w:tr>
      <w:tr w14:paraId="36A13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D8A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73</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374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双龙镇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77E3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汉滨区双龙镇五四小学附设幼儿园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28F8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公办附设园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B54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961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A70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r>
      <w:tr w14:paraId="35664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D83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74</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17E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双龙镇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CE4F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汉滨区双龙镇三星小学附设幼儿园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8DD4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公办附设园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1BC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B1C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1CD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5A2D9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ECA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4B2A6C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县河镇</w:t>
            </w:r>
          </w:p>
        </w:tc>
        <w:tc>
          <w:tcPr>
            <w:tcW w:w="3985" w:type="dxa"/>
            <w:tcBorders>
              <w:top w:val="single" w:color="000000" w:sz="4" w:space="0"/>
              <w:left w:val="single" w:color="000000" w:sz="4" w:space="0"/>
              <w:bottom w:val="nil"/>
              <w:right w:val="single" w:color="000000" w:sz="4" w:space="0"/>
            </w:tcBorders>
            <w:shd w:val="clear" w:color="auto" w:fill="auto"/>
            <w:vAlign w:val="center"/>
          </w:tcPr>
          <w:p w14:paraId="4DE548F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汉滨区县河九年制学校</w:t>
            </w:r>
          </w:p>
        </w:tc>
        <w:tc>
          <w:tcPr>
            <w:tcW w:w="1236" w:type="dxa"/>
            <w:tcBorders>
              <w:top w:val="single" w:color="000000" w:sz="4" w:space="0"/>
              <w:left w:val="single" w:color="000000" w:sz="4" w:space="0"/>
              <w:bottom w:val="nil"/>
              <w:right w:val="single" w:color="000000" w:sz="4" w:space="0"/>
            </w:tcBorders>
            <w:shd w:val="clear" w:color="auto" w:fill="auto"/>
            <w:vAlign w:val="center"/>
          </w:tcPr>
          <w:p w14:paraId="1906886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DFD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34A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06A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w:t>
            </w:r>
          </w:p>
        </w:tc>
      </w:tr>
      <w:tr w14:paraId="1C966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2A6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D63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县河镇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4EAB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汉滨区迎风九年制学校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C69F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B4F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3A7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9DE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179</w:t>
            </w:r>
          </w:p>
        </w:tc>
      </w:tr>
      <w:tr w14:paraId="61A83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08E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81F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县河镇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6AB5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汉滨区财梁九年制学校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2578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94F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2A6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E21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73</w:t>
            </w:r>
          </w:p>
        </w:tc>
      </w:tr>
      <w:tr w14:paraId="20A4B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4CF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932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县河镇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BC71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汉滨区县河镇牛岭教学点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510D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671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044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AC3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14:paraId="498DB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F22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AC7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县河镇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6073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汉滨区县河镇草庙教学点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F3A0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851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E97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723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7F010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9A7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5B4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县河镇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DC6F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汉滨区县河镇欣荣教学点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34A1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FD3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314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863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4B212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9A6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340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县河镇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4297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汉滨区县河镇灯塔教学点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84EA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6EF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9C6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AE0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r>
      <w:tr w14:paraId="46D5D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8F9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366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县河镇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B800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汉滨区县河镇枫树教学点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371E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87D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BCF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FF0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r>
      <w:tr w14:paraId="02364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E4A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62B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县河镇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D8D2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汉滨区县河镇幼儿园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F5F0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5CA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580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128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r>
      <w:tr w14:paraId="5941C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ABC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84</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89B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县河镇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92F2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汉滨区县河镇迎风九年制学校附设幼儿园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74FD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公办附设园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D3B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56B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616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14:paraId="612B2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581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85</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FF4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县河镇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025B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汉滨区县河镇财梁社区幼儿园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37A1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公办附设园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0EA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38C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409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r>
      <w:tr w14:paraId="5ECD9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6FB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1C7E60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晏坝镇</w:t>
            </w:r>
          </w:p>
        </w:tc>
        <w:tc>
          <w:tcPr>
            <w:tcW w:w="3985" w:type="dxa"/>
            <w:tcBorders>
              <w:top w:val="single" w:color="000000" w:sz="4" w:space="0"/>
              <w:left w:val="single" w:color="000000" w:sz="4" w:space="0"/>
              <w:bottom w:val="nil"/>
              <w:right w:val="single" w:color="000000" w:sz="4" w:space="0"/>
            </w:tcBorders>
            <w:shd w:val="clear" w:color="auto" w:fill="auto"/>
            <w:vAlign w:val="center"/>
          </w:tcPr>
          <w:p w14:paraId="733DE3C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汉滨区晏坝镇晏坝初级中学</w:t>
            </w:r>
          </w:p>
        </w:tc>
        <w:tc>
          <w:tcPr>
            <w:tcW w:w="1236" w:type="dxa"/>
            <w:tcBorders>
              <w:top w:val="single" w:color="000000" w:sz="4" w:space="0"/>
              <w:left w:val="single" w:color="000000" w:sz="4" w:space="0"/>
              <w:bottom w:val="nil"/>
              <w:right w:val="single" w:color="000000" w:sz="4" w:space="0"/>
            </w:tcBorders>
            <w:shd w:val="clear" w:color="auto" w:fill="auto"/>
            <w:vAlign w:val="center"/>
          </w:tcPr>
          <w:p w14:paraId="446E214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初中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13C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4F6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876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157</w:t>
            </w:r>
          </w:p>
        </w:tc>
      </w:tr>
      <w:tr w14:paraId="7DE4B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0B8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BFE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晏坝镇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0A80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汉滨区晏坝镇正衡九年制学校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78A0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11E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A8B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087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104</w:t>
            </w:r>
          </w:p>
        </w:tc>
      </w:tr>
      <w:tr w14:paraId="217DB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19E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791D5F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晏坝镇</w:t>
            </w:r>
          </w:p>
        </w:tc>
        <w:tc>
          <w:tcPr>
            <w:tcW w:w="3985" w:type="dxa"/>
            <w:tcBorders>
              <w:top w:val="single" w:color="000000" w:sz="4" w:space="0"/>
              <w:left w:val="single" w:color="000000" w:sz="4" w:space="0"/>
              <w:bottom w:val="nil"/>
              <w:right w:val="single" w:color="000000" w:sz="4" w:space="0"/>
            </w:tcBorders>
            <w:shd w:val="clear" w:color="auto" w:fill="auto"/>
            <w:vAlign w:val="center"/>
          </w:tcPr>
          <w:p w14:paraId="7BF6EEF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汉滨区晏坝镇晏坝小学</w:t>
            </w:r>
          </w:p>
        </w:tc>
        <w:tc>
          <w:tcPr>
            <w:tcW w:w="1236" w:type="dxa"/>
            <w:tcBorders>
              <w:top w:val="single" w:color="000000" w:sz="4" w:space="0"/>
              <w:left w:val="single" w:color="000000" w:sz="4" w:space="0"/>
              <w:bottom w:val="nil"/>
              <w:right w:val="single" w:color="000000" w:sz="4" w:space="0"/>
            </w:tcBorders>
            <w:shd w:val="clear" w:color="auto" w:fill="auto"/>
            <w:vAlign w:val="center"/>
          </w:tcPr>
          <w:p w14:paraId="66686E3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F6C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191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1FA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143</w:t>
            </w:r>
          </w:p>
        </w:tc>
      </w:tr>
      <w:tr w14:paraId="06102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B33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836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晏坝镇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1B77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汉滨区晏坝镇幼儿园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D07D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77F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14C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739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r>
      <w:tr w14:paraId="2B882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35C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741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晏坝镇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3228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汉滨区晏坝镇田坝幼儿园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924A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449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5EE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611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r>
      <w:tr w14:paraId="61389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1A2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8B1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瀛湖镇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888D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汉滨区瀛湖镇玉岚九年制学校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3B82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5F6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CE8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DAF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116</w:t>
            </w:r>
          </w:p>
        </w:tc>
      </w:tr>
      <w:tr w14:paraId="66B24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42F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398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瀛湖镇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BC68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汉滨区瀛湖小学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66AC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1AA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D34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913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459</w:t>
            </w:r>
          </w:p>
        </w:tc>
      </w:tr>
      <w:tr w14:paraId="71F54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C56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863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瀛湖镇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2D76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汉滨区瀛湖小学剑锋教学点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7209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DA2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FA0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F05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5AD60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249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41E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瀛湖镇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16F3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汉滨区瀛湖小学学房教学点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0C13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D7A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34A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833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547C0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E2C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606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瀛湖镇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8439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汉滨区瀛湖镇幼儿园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8201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591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2E4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73B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97</w:t>
            </w:r>
          </w:p>
        </w:tc>
      </w:tr>
      <w:tr w14:paraId="61B2E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CFF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146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瀛湖镇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476E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汉滨区瀛湖镇武进希望小学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6C02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721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9F1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444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r>
      <w:tr w14:paraId="2A997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BC7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C0F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瀛湖镇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39A1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汉滨区瀛湖小学天柱教学点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51BC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73B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57C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25D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r>
      <w:tr w14:paraId="2A837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B88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3FB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瀛湖镇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E7AC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汉滨区瀛湖镇南溪小学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B518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F88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258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C39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r>
      <w:tr w14:paraId="2FA2E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1DB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C7B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瀛湖镇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F2C8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汉滨区瀛湖镇瀛湖小学学房教学点附设幼儿园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6E21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公办附设园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590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7D1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1E4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30F55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347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218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瀛湖镇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56EE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汉滨区瀛湖镇瀛湖小学天柱教学点附设幼儿园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CCF1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公办附设园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3D0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6C5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A52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r>
      <w:tr w14:paraId="50D22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EF3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101</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F88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瀛湖镇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1F68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汉滨区瀛湖镇武进希望小学附设幼儿园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E193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公办附设园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652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260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287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r>
      <w:tr w14:paraId="72024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06E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447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瀛湖镇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F5DF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汉滨区瀛湖镇南溪小学附设幼儿园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C91F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公办附设园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665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4B2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9EA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r>
      <w:tr w14:paraId="59A3F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322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103</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91D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瀛湖镇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A5F3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汉滨区瀛湖镇玉岚九年制学校附设幼儿园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96C1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7D0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244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C1B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r>
      <w:tr w14:paraId="220AE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665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36A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张滩镇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F873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汉滨区张滩镇汪岭小学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3CDD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149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92B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598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r>
      <w:tr w14:paraId="6DC06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C5C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FDE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张滩镇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C146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汉滨区张滩镇余湾小学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0339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EBC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1BB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3D3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r>
      <w:tr w14:paraId="56760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B6F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DB8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张滩镇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33BA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汉滨区张滩镇公正小学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1838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11E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D65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CEA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67062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167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B2D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张滩镇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BF23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汉滨区张滩镇奠安小学</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B3F4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小学</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19E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54A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9B3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r>
      <w:tr w14:paraId="2221C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703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85A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张滩镇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36EB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汉滨区张滩镇奠安小学附设幼儿园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D94A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088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B65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794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43CEE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7C4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045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张滩镇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50F5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汉滨区张滩镇邹坡教学点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426F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8D7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36D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673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408B3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ED2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8E0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张滩镇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FE96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汉滨区张滩镇徐庄教学点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F0FC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教学点</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64E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C20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B94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13332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19B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C89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张滩镇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3D48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汉滨区张滩九年制学校</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B2C1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BD8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DE9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D74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798</w:t>
            </w:r>
          </w:p>
        </w:tc>
      </w:tr>
      <w:tr w14:paraId="6C3A2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369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A1C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张滩镇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57CD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汉滨区张滩镇幼儿园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C27D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E7B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9F3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187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w:t>
            </w:r>
          </w:p>
        </w:tc>
      </w:tr>
      <w:tr w14:paraId="24DDF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C1B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D70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张滩镇</w:t>
            </w:r>
          </w:p>
        </w:tc>
        <w:tc>
          <w:tcPr>
            <w:tcW w:w="3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AEB5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汉滨区张滩镇中心社区幼儿园</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3ACE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EB0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AB2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9F8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r>
      <w:tr w14:paraId="640C0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593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A19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市直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344E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安康市阳光学校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8E15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九年制学校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A2A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2D0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C99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226</w:t>
            </w:r>
          </w:p>
        </w:tc>
      </w:tr>
      <w:tr w14:paraId="32873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790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7DA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市直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B79D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安康市幼儿园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EEE4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E69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566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C9C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476</w:t>
            </w:r>
          </w:p>
        </w:tc>
      </w:tr>
      <w:tr w14:paraId="43E9F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4"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30F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074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市直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1A45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安康市第二幼儿园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0396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公办幼儿园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215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932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691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380</w:t>
            </w:r>
          </w:p>
        </w:tc>
      </w:tr>
    </w:tbl>
    <w:p w14:paraId="7E9B9094">
      <w:pPr>
        <w:pStyle w:val="11"/>
        <w:rPr>
          <w:color w:val="auto"/>
        </w:rPr>
      </w:pPr>
    </w:p>
    <w:p w14:paraId="5372CB9B">
      <w:pPr>
        <w:pStyle w:val="11"/>
        <w:rPr>
          <w:color w:val="auto"/>
        </w:rPr>
      </w:pPr>
    </w:p>
    <w:p w14:paraId="31CA15C6">
      <w:pPr>
        <w:pStyle w:val="11"/>
        <w:rPr>
          <w:b/>
          <w:bCs/>
          <w:color w:val="auto"/>
          <w:sz w:val="44"/>
          <w:szCs w:val="32"/>
        </w:rPr>
        <w:sectPr>
          <w:headerReference r:id="rId11" w:type="default"/>
          <w:pgSz w:w="11910" w:h="16840"/>
          <w:pgMar w:top="1060" w:right="1020" w:bottom="1200" w:left="1040" w:header="872" w:footer="1005" w:gutter="0"/>
          <w:pgNumType w:fmt="decimal"/>
          <w:cols w:space="720" w:num="1"/>
        </w:sectPr>
      </w:pPr>
      <w:r>
        <w:rPr>
          <w:rFonts w:hint="eastAsia" w:ascii="宋体" w:hAnsi="宋体" w:eastAsia="宋体" w:cs="宋体"/>
          <w:b/>
          <w:bCs/>
          <w:i w:val="0"/>
          <w:iCs w:val="0"/>
          <w:color w:val="auto"/>
          <w:kern w:val="0"/>
          <w:sz w:val="32"/>
          <w:szCs w:val="32"/>
          <w:u w:val="none"/>
          <w:lang w:val="en-US" w:eastAsia="zh-CN" w:bidi="ar"/>
        </w:rPr>
        <w:t>注：1.表中学校及学生人数仅供供应商投标时参考。</w:t>
      </w:r>
      <w:r>
        <w:rPr>
          <w:rFonts w:hint="eastAsia" w:ascii="宋体" w:hAnsi="宋体" w:eastAsia="宋体" w:cs="宋体"/>
          <w:b/>
          <w:bCs/>
          <w:i w:val="0"/>
          <w:iCs w:val="0"/>
          <w:color w:val="auto"/>
          <w:kern w:val="0"/>
          <w:sz w:val="32"/>
          <w:szCs w:val="32"/>
          <w:u w:val="none"/>
          <w:lang w:val="en-US" w:eastAsia="zh-CN" w:bidi="ar"/>
        </w:rPr>
        <w:br w:type="textWrapping"/>
      </w:r>
      <w:r>
        <w:rPr>
          <w:rFonts w:hint="eastAsia" w:ascii="宋体" w:hAnsi="宋体" w:eastAsia="宋体" w:cs="宋体"/>
          <w:b/>
          <w:bCs/>
          <w:i w:val="0"/>
          <w:iCs w:val="0"/>
          <w:color w:val="auto"/>
          <w:kern w:val="0"/>
          <w:sz w:val="32"/>
          <w:szCs w:val="32"/>
          <w:u w:val="none"/>
          <w:lang w:val="en-US" w:eastAsia="zh-CN" w:bidi="ar"/>
        </w:rPr>
        <w:t xml:space="preserve">    2.秋季学期因学校整合、生源变动、供餐模式调整，配送覆盖学校数量与就餐学生规模将同步发生变动，相关数据需重新测算核定，本项目不锁定固定采购规模。</w:t>
      </w:r>
      <w:r>
        <w:rPr>
          <w:rFonts w:hint="eastAsia" w:ascii="宋体" w:hAnsi="宋体" w:eastAsia="宋体" w:cs="宋体"/>
          <w:b/>
          <w:bCs/>
          <w:i w:val="0"/>
          <w:iCs w:val="0"/>
          <w:color w:val="auto"/>
          <w:kern w:val="0"/>
          <w:sz w:val="32"/>
          <w:szCs w:val="32"/>
          <w:u w:val="none"/>
          <w:lang w:val="en-US" w:eastAsia="zh-CN" w:bidi="ar"/>
        </w:rPr>
        <w:br w:type="textWrapping"/>
      </w:r>
      <w:r>
        <w:rPr>
          <w:rFonts w:hint="eastAsia" w:ascii="宋体" w:hAnsi="宋体" w:eastAsia="宋体" w:cs="宋体"/>
          <w:b/>
          <w:bCs/>
          <w:i w:val="0"/>
          <w:iCs w:val="0"/>
          <w:color w:val="auto"/>
          <w:kern w:val="0"/>
          <w:sz w:val="32"/>
          <w:szCs w:val="32"/>
          <w:u w:val="none"/>
          <w:lang w:val="en-US" w:eastAsia="zh-CN" w:bidi="ar"/>
        </w:rPr>
        <w:t xml:space="preserve">    3.供应商自行对各配送学校位置及路程进行实地考察，并考虑到投标报价中。</w:t>
      </w:r>
    </w:p>
    <w:p w14:paraId="098C4F35">
      <w:pPr>
        <w:pStyle w:val="5"/>
        <w:pageBreakBefore w:val="0"/>
        <w:numPr>
          <w:ilvl w:val="0"/>
          <w:numId w:val="0"/>
        </w:numPr>
        <w:topLinePunct w:val="0"/>
        <w:bidi w:val="0"/>
        <w:spacing w:line="500" w:lineRule="exact"/>
        <w:ind w:left="0" w:leftChars="0" w:right="0" w:rightChars="0" w:firstLine="562" w:firstLineChars="200"/>
        <w:jc w:val="left"/>
        <w:rPr>
          <w:color w:val="auto"/>
        </w:rPr>
      </w:pPr>
      <w:r>
        <w:rPr>
          <w:rFonts w:hint="eastAsia"/>
          <w:color w:val="auto"/>
          <w:lang w:val="en-US" w:eastAsia="zh-CN"/>
        </w:rPr>
        <w:t>五、</w:t>
      </w:r>
      <w:r>
        <w:rPr>
          <w:color w:val="auto"/>
        </w:rPr>
        <w:t>配送要求：</w:t>
      </w:r>
    </w:p>
    <w:p w14:paraId="55639A13">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w:t>
      </w:r>
      <w:r>
        <w:rPr>
          <w:rFonts w:hint="eastAsia"/>
          <w:color w:val="auto"/>
          <w:sz w:val="24"/>
          <w:szCs w:val="24"/>
          <w:lang w:val="en-US" w:eastAsia="zh-CN"/>
        </w:rPr>
        <w:t>.</w:t>
      </w:r>
      <w:r>
        <w:rPr>
          <w:rFonts w:hint="eastAsia"/>
          <w:color w:val="auto"/>
          <w:sz w:val="24"/>
          <w:szCs w:val="24"/>
          <w:lang w:val="en-US"/>
        </w:rPr>
        <w:t>运输</w:t>
      </w:r>
    </w:p>
    <w:p w14:paraId="5A78B67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（1）必须用专用</w:t>
      </w:r>
      <w:r>
        <w:rPr>
          <w:rFonts w:hint="eastAsia"/>
          <w:color w:val="auto"/>
          <w:sz w:val="24"/>
          <w:szCs w:val="24"/>
          <w:lang w:val="en-US" w:eastAsia="zh-CN"/>
        </w:rPr>
        <w:t>厢式</w:t>
      </w:r>
      <w:r>
        <w:rPr>
          <w:rFonts w:hint="eastAsia"/>
          <w:color w:val="auto"/>
          <w:sz w:val="24"/>
          <w:szCs w:val="24"/>
          <w:lang w:val="en-US"/>
        </w:rPr>
        <w:t>货车运输，符合卫生要求</w:t>
      </w:r>
      <w:r>
        <w:rPr>
          <w:rFonts w:hint="eastAsia"/>
          <w:color w:val="auto"/>
          <w:sz w:val="24"/>
          <w:szCs w:val="24"/>
          <w:lang w:val="en-US" w:eastAsia="zh-CN"/>
        </w:rPr>
        <w:t>，</w:t>
      </w:r>
      <w:r>
        <w:rPr>
          <w:rFonts w:hint="eastAsia"/>
          <w:color w:val="auto"/>
          <w:sz w:val="24"/>
          <w:szCs w:val="24"/>
          <w:lang w:val="en-US"/>
        </w:rPr>
        <w:t>具有防雨防尘设施。</w:t>
      </w:r>
    </w:p>
    <w:p w14:paraId="11E4AE15">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（2）运输作业应防止污染</w:t>
      </w:r>
      <w:r>
        <w:rPr>
          <w:rFonts w:hint="eastAsia"/>
          <w:color w:val="auto"/>
          <w:sz w:val="24"/>
          <w:szCs w:val="24"/>
          <w:lang w:val="en-US" w:eastAsia="zh-CN"/>
        </w:rPr>
        <w:t>，</w:t>
      </w:r>
      <w:r>
        <w:rPr>
          <w:rFonts w:hint="eastAsia"/>
          <w:color w:val="auto"/>
          <w:sz w:val="24"/>
          <w:szCs w:val="24"/>
          <w:lang w:val="en-US"/>
        </w:rPr>
        <w:t>不得与非食品同时混放，不得与有毒、有害物品同时装运。</w:t>
      </w:r>
    </w:p>
    <w:p w14:paraId="1E985B7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（3）建立卫生</w:t>
      </w:r>
      <w:r>
        <w:rPr>
          <w:rFonts w:hint="eastAsia"/>
          <w:color w:val="auto"/>
          <w:sz w:val="24"/>
          <w:szCs w:val="24"/>
          <w:lang w:val="en-US" w:eastAsia="zh-CN"/>
        </w:rPr>
        <w:t>安全</w:t>
      </w:r>
      <w:r>
        <w:rPr>
          <w:rFonts w:hint="eastAsia"/>
          <w:color w:val="auto"/>
          <w:sz w:val="24"/>
          <w:szCs w:val="24"/>
          <w:lang w:val="en-US"/>
        </w:rPr>
        <w:t>制度</w:t>
      </w:r>
      <w:r>
        <w:rPr>
          <w:rFonts w:hint="eastAsia"/>
          <w:color w:val="auto"/>
          <w:sz w:val="24"/>
          <w:szCs w:val="24"/>
          <w:lang w:val="en-US" w:eastAsia="zh-CN"/>
        </w:rPr>
        <w:t>，</w:t>
      </w:r>
      <w:r>
        <w:rPr>
          <w:rFonts w:hint="eastAsia"/>
          <w:color w:val="auto"/>
          <w:sz w:val="24"/>
          <w:szCs w:val="24"/>
          <w:lang w:val="en-US"/>
        </w:rPr>
        <w:t>定期清洗、消毒</w:t>
      </w:r>
      <w:r>
        <w:rPr>
          <w:rFonts w:hint="eastAsia"/>
          <w:color w:val="auto"/>
          <w:sz w:val="24"/>
          <w:szCs w:val="24"/>
          <w:lang w:val="en-US" w:eastAsia="zh-CN"/>
        </w:rPr>
        <w:t>运输设备</w:t>
      </w:r>
      <w:r>
        <w:rPr>
          <w:rFonts w:hint="eastAsia"/>
          <w:color w:val="auto"/>
          <w:sz w:val="24"/>
          <w:szCs w:val="24"/>
          <w:lang w:val="en-US"/>
        </w:rPr>
        <w:t>、保持洁净卫生。</w:t>
      </w:r>
    </w:p>
    <w:p w14:paraId="404625D8">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w:t>
      </w:r>
      <w:r>
        <w:rPr>
          <w:rFonts w:hint="eastAsia"/>
          <w:color w:val="auto"/>
          <w:sz w:val="24"/>
          <w:szCs w:val="24"/>
          <w:lang w:val="en-US" w:eastAsia="zh-CN"/>
        </w:rPr>
        <w:t>.</w:t>
      </w:r>
      <w:r>
        <w:rPr>
          <w:rFonts w:hint="eastAsia"/>
          <w:color w:val="auto"/>
          <w:sz w:val="24"/>
          <w:szCs w:val="24"/>
          <w:lang w:val="en-US"/>
        </w:rPr>
        <w:t>贮存</w:t>
      </w:r>
    </w:p>
    <w:p w14:paraId="6B1452F3">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（1）设置与配送食材相适应的专用库房。</w:t>
      </w:r>
    </w:p>
    <w:p w14:paraId="07E1800D">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（2）库房位于交通便利、无闲杂人员流动的场所；</w:t>
      </w:r>
    </w:p>
    <w:p w14:paraId="3197FE0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（3）仓库必须是独立的（食品材料存储专用库），库房面积、货柜架要满足存储需求；</w:t>
      </w:r>
    </w:p>
    <w:p w14:paraId="22EEF1C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（4）仓库应符合相关食材所要求的温、湿度条件。</w:t>
      </w:r>
    </w:p>
    <w:p w14:paraId="2FE59D00">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（5）库房“七防”设施（防火、防盗、防潮、防投毒、防鼠、防蝇、防尘）齐全。</w:t>
      </w:r>
    </w:p>
    <w:p w14:paraId="56FA806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（6）仓库应地面平整</w:t>
      </w:r>
      <w:r>
        <w:rPr>
          <w:rFonts w:hint="eastAsia"/>
          <w:color w:val="auto"/>
          <w:sz w:val="24"/>
          <w:szCs w:val="24"/>
          <w:lang w:val="en-US" w:eastAsia="zh-CN"/>
        </w:rPr>
        <w:t>，</w:t>
      </w:r>
      <w:r>
        <w:rPr>
          <w:rFonts w:hint="eastAsia"/>
          <w:color w:val="auto"/>
          <w:sz w:val="24"/>
          <w:szCs w:val="24"/>
          <w:lang w:val="en-US"/>
        </w:rPr>
        <w:t>通风换气。</w:t>
      </w:r>
    </w:p>
    <w:p w14:paraId="5B9D5545">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（7）库房要有专人管理，制度完备，职责明确；要建立相关工作台账，有准确的入库、出库明细；</w:t>
      </w:r>
    </w:p>
    <w:p w14:paraId="2652AA31">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（8）各种原材料应按品种分类分批贮存</w:t>
      </w:r>
      <w:r>
        <w:rPr>
          <w:rFonts w:hint="eastAsia"/>
          <w:color w:val="auto"/>
          <w:sz w:val="24"/>
          <w:szCs w:val="24"/>
          <w:lang w:val="en-US" w:eastAsia="zh-CN"/>
        </w:rPr>
        <w:t>，</w:t>
      </w:r>
      <w:r>
        <w:rPr>
          <w:rFonts w:hint="eastAsia"/>
          <w:color w:val="auto"/>
          <w:sz w:val="24"/>
          <w:szCs w:val="24"/>
          <w:lang w:val="en-US"/>
        </w:rPr>
        <w:t>每批原材料均有明显标志</w:t>
      </w:r>
      <w:r>
        <w:rPr>
          <w:rFonts w:hint="eastAsia"/>
          <w:color w:val="auto"/>
          <w:sz w:val="24"/>
          <w:szCs w:val="24"/>
          <w:lang w:val="en-US" w:eastAsia="zh-CN"/>
        </w:rPr>
        <w:t>，</w:t>
      </w:r>
      <w:r>
        <w:rPr>
          <w:rFonts w:hint="eastAsia"/>
          <w:color w:val="auto"/>
          <w:sz w:val="24"/>
          <w:szCs w:val="24"/>
          <w:lang w:val="en-US"/>
        </w:rPr>
        <w:t>同一库内不得贮存相互影响风味的原材料。</w:t>
      </w:r>
    </w:p>
    <w:p w14:paraId="1AB90128">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（9）原材料应离地、离墙并与屋顶保持一定距离</w:t>
      </w:r>
      <w:r>
        <w:rPr>
          <w:rFonts w:hint="eastAsia"/>
          <w:color w:val="auto"/>
          <w:sz w:val="24"/>
          <w:szCs w:val="24"/>
          <w:lang w:val="en-US" w:eastAsia="zh-CN"/>
        </w:rPr>
        <w:t>，</w:t>
      </w:r>
      <w:r>
        <w:rPr>
          <w:rFonts w:hint="eastAsia"/>
          <w:color w:val="auto"/>
          <w:sz w:val="24"/>
          <w:szCs w:val="24"/>
          <w:lang w:val="en-US"/>
        </w:rPr>
        <w:t>垛与垛之间也应有适当间隔。</w:t>
      </w:r>
    </w:p>
    <w:p w14:paraId="1AAD1796">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（10）先进先出</w:t>
      </w:r>
      <w:r>
        <w:rPr>
          <w:rFonts w:hint="eastAsia"/>
          <w:color w:val="auto"/>
          <w:sz w:val="24"/>
          <w:szCs w:val="24"/>
          <w:lang w:val="en-US" w:eastAsia="zh-CN"/>
        </w:rPr>
        <w:t>，</w:t>
      </w:r>
      <w:r>
        <w:rPr>
          <w:rFonts w:hint="eastAsia"/>
          <w:color w:val="auto"/>
          <w:sz w:val="24"/>
          <w:szCs w:val="24"/>
          <w:lang w:val="en-US"/>
        </w:rPr>
        <w:t>及时剔出不符合质量和卫生标准的原料</w:t>
      </w:r>
      <w:r>
        <w:rPr>
          <w:rFonts w:hint="eastAsia"/>
          <w:color w:val="auto"/>
          <w:sz w:val="24"/>
          <w:szCs w:val="24"/>
          <w:lang w:val="en-US" w:eastAsia="zh-CN"/>
        </w:rPr>
        <w:t>，</w:t>
      </w:r>
      <w:r>
        <w:rPr>
          <w:rFonts w:hint="eastAsia"/>
          <w:color w:val="auto"/>
          <w:sz w:val="24"/>
          <w:szCs w:val="24"/>
          <w:lang w:val="en-US"/>
        </w:rPr>
        <w:t>防止污染。</w:t>
      </w:r>
    </w:p>
    <w:p w14:paraId="10CCC66E">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（11）库房内外要按相关规定安装电子监控并实时监管。</w:t>
      </w:r>
    </w:p>
    <w:p w14:paraId="6175DADA">
      <w:pPr>
        <w:pageBreakBefore w:val="0"/>
        <w:topLinePunct w:val="0"/>
        <w:bidi w:val="0"/>
        <w:spacing w:line="500" w:lineRule="exact"/>
        <w:ind w:left="0" w:leftChars="0" w:right="0" w:rightChars="0" w:firstLine="480" w:firstLineChars="200"/>
        <w:rPr>
          <w:rFonts w:hint="default" w:eastAsia="宋体"/>
          <w:color w:val="auto"/>
          <w:sz w:val="24"/>
          <w:szCs w:val="24"/>
          <w:lang w:val="en-US" w:eastAsia="zh-CN"/>
        </w:rPr>
      </w:pPr>
      <w:r>
        <w:rPr>
          <w:rFonts w:hint="eastAsia"/>
          <w:color w:val="auto"/>
          <w:sz w:val="24"/>
          <w:szCs w:val="24"/>
          <w:lang w:val="en-US" w:eastAsia="zh-CN"/>
        </w:rPr>
        <w:t>（12）根据每学期开学时间及学校食材采购计划，按时配送到校。</w:t>
      </w:r>
    </w:p>
    <w:p w14:paraId="55EA20B4">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w:t>
      </w:r>
      <w:r>
        <w:rPr>
          <w:rFonts w:hint="eastAsia"/>
          <w:color w:val="auto"/>
          <w:sz w:val="24"/>
          <w:szCs w:val="24"/>
          <w:lang w:val="en-US" w:eastAsia="zh-CN"/>
        </w:rPr>
        <w:t>.安全</w:t>
      </w:r>
      <w:r>
        <w:rPr>
          <w:rFonts w:hint="eastAsia"/>
          <w:color w:val="auto"/>
          <w:sz w:val="24"/>
          <w:szCs w:val="24"/>
          <w:lang w:val="en-US"/>
        </w:rPr>
        <w:t>管理</w:t>
      </w:r>
    </w:p>
    <w:p w14:paraId="3050AF54">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3.1机构</w:t>
      </w:r>
    </w:p>
    <w:p w14:paraId="0AD0CBEF">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（1）企业要制定和完善本单位的各项卫生管理制度和规划；</w:t>
      </w:r>
    </w:p>
    <w:p w14:paraId="779D0B1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（2）管理机构应配备经专业培训的专职或兼职的食品</w:t>
      </w:r>
      <w:r>
        <w:rPr>
          <w:rFonts w:hint="eastAsia"/>
          <w:color w:val="auto"/>
          <w:sz w:val="24"/>
          <w:szCs w:val="24"/>
          <w:lang w:val="en-US" w:eastAsia="zh-CN"/>
        </w:rPr>
        <w:t>安全</w:t>
      </w:r>
      <w:r>
        <w:rPr>
          <w:rFonts w:hint="eastAsia"/>
          <w:color w:val="auto"/>
          <w:sz w:val="24"/>
          <w:szCs w:val="24"/>
          <w:lang w:val="en-US"/>
        </w:rPr>
        <w:t>管理人员。</w:t>
      </w:r>
    </w:p>
    <w:p w14:paraId="7017937D">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3.2职责</w:t>
      </w:r>
    </w:p>
    <w:p w14:paraId="2AAA8182">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（1）宣传和贯彻食品</w:t>
      </w:r>
      <w:r>
        <w:rPr>
          <w:rFonts w:hint="eastAsia"/>
          <w:color w:val="auto"/>
          <w:sz w:val="24"/>
          <w:szCs w:val="24"/>
          <w:lang w:val="en-US" w:eastAsia="zh-CN"/>
        </w:rPr>
        <w:t>安全</w:t>
      </w:r>
      <w:r>
        <w:rPr>
          <w:rFonts w:hint="eastAsia"/>
          <w:color w:val="auto"/>
          <w:sz w:val="24"/>
          <w:szCs w:val="24"/>
          <w:lang w:val="en-US"/>
        </w:rPr>
        <w:t>法规和有关规章制度</w:t>
      </w:r>
      <w:r>
        <w:rPr>
          <w:rFonts w:hint="eastAsia"/>
          <w:color w:val="auto"/>
          <w:sz w:val="24"/>
          <w:szCs w:val="24"/>
          <w:lang w:val="en-US" w:eastAsia="zh-CN"/>
        </w:rPr>
        <w:t>，</w:t>
      </w:r>
      <w:r>
        <w:rPr>
          <w:rFonts w:hint="eastAsia"/>
          <w:color w:val="auto"/>
          <w:sz w:val="24"/>
          <w:szCs w:val="24"/>
          <w:lang w:val="en-US"/>
        </w:rPr>
        <w:t>监督、检查在本单位的执行情况</w:t>
      </w:r>
      <w:r>
        <w:rPr>
          <w:rFonts w:hint="eastAsia"/>
          <w:color w:val="auto"/>
          <w:sz w:val="24"/>
          <w:szCs w:val="24"/>
          <w:lang w:val="en-US" w:eastAsia="zh-CN"/>
        </w:rPr>
        <w:t>，</w:t>
      </w:r>
      <w:r>
        <w:rPr>
          <w:rFonts w:hint="eastAsia"/>
          <w:color w:val="auto"/>
          <w:sz w:val="24"/>
          <w:szCs w:val="24"/>
          <w:lang w:val="en-US"/>
        </w:rPr>
        <w:t xml:space="preserve"> 定期向食品</w:t>
      </w:r>
      <w:r>
        <w:rPr>
          <w:rFonts w:hint="eastAsia"/>
          <w:color w:val="auto"/>
          <w:sz w:val="24"/>
          <w:szCs w:val="24"/>
          <w:lang w:val="en-US" w:eastAsia="zh-CN"/>
        </w:rPr>
        <w:t>安全</w:t>
      </w:r>
      <w:r>
        <w:rPr>
          <w:rFonts w:hint="eastAsia"/>
          <w:color w:val="auto"/>
          <w:sz w:val="24"/>
          <w:szCs w:val="24"/>
          <w:lang w:val="en-US"/>
        </w:rPr>
        <w:t>监督部门报告。</w:t>
      </w:r>
    </w:p>
    <w:p w14:paraId="58ED8764">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（2）制定和修改本单位的各项卫生管理制度和规划。</w:t>
      </w:r>
    </w:p>
    <w:p w14:paraId="243A51A1">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（3）组织卫生宣传教育工作</w:t>
      </w:r>
      <w:r>
        <w:rPr>
          <w:rFonts w:hint="eastAsia"/>
          <w:color w:val="auto"/>
          <w:sz w:val="24"/>
          <w:szCs w:val="24"/>
          <w:lang w:val="en-US" w:eastAsia="zh-CN"/>
        </w:rPr>
        <w:t>，</w:t>
      </w:r>
      <w:r>
        <w:rPr>
          <w:rFonts w:hint="eastAsia"/>
          <w:color w:val="auto"/>
          <w:sz w:val="24"/>
          <w:szCs w:val="24"/>
          <w:lang w:val="en-US"/>
        </w:rPr>
        <w:t>培训食品从业人员。</w:t>
      </w:r>
    </w:p>
    <w:p w14:paraId="6ABAE2F5">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（4）定期进行本单位从业人员的健康检查</w:t>
      </w:r>
      <w:r>
        <w:rPr>
          <w:rFonts w:hint="eastAsia"/>
          <w:color w:val="auto"/>
          <w:sz w:val="24"/>
          <w:szCs w:val="24"/>
          <w:lang w:val="en-US" w:eastAsia="zh-CN"/>
        </w:rPr>
        <w:t>，</w:t>
      </w:r>
      <w:r>
        <w:rPr>
          <w:rFonts w:hint="eastAsia"/>
          <w:color w:val="auto"/>
          <w:sz w:val="24"/>
          <w:szCs w:val="24"/>
          <w:lang w:val="en-US"/>
        </w:rPr>
        <w:t>并</w:t>
      </w:r>
      <w:r>
        <w:rPr>
          <w:rFonts w:hint="eastAsia"/>
          <w:color w:val="auto"/>
          <w:sz w:val="24"/>
          <w:szCs w:val="24"/>
          <w:lang w:val="en-US" w:eastAsia="zh-CN"/>
        </w:rPr>
        <w:t>做好</w:t>
      </w:r>
      <w:r>
        <w:rPr>
          <w:rFonts w:hint="eastAsia"/>
          <w:color w:val="auto"/>
          <w:sz w:val="24"/>
          <w:szCs w:val="24"/>
          <w:lang w:val="en-US"/>
        </w:rPr>
        <w:t>善后处理工作。</w:t>
      </w:r>
    </w:p>
    <w:p w14:paraId="6B525C32">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（5）积极开展卫生清洁，建立完善卫生消毒、卫生检查工作台账。</w:t>
      </w:r>
    </w:p>
    <w:p w14:paraId="7522CF35">
      <w:pPr>
        <w:pStyle w:val="5"/>
        <w:pageBreakBefore w:val="0"/>
        <w:numPr>
          <w:ilvl w:val="0"/>
          <w:numId w:val="0"/>
        </w:numPr>
        <w:topLinePunct w:val="0"/>
        <w:bidi w:val="0"/>
        <w:spacing w:line="500" w:lineRule="exact"/>
        <w:ind w:leftChars="200" w:right="0" w:rightChars="0"/>
        <w:jc w:val="left"/>
        <w:rPr>
          <w:color w:val="auto"/>
        </w:rPr>
      </w:pPr>
      <w:r>
        <w:rPr>
          <w:rFonts w:hint="eastAsia"/>
          <w:color w:val="auto"/>
          <w:lang w:val="en-US" w:eastAsia="zh-CN"/>
        </w:rPr>
        <w:t>六、</w:t>
      </w:r>
      <w:r>
        <w:rPr>
          <w:rFonts w:hint="eastAsia"/>
          <w:color w:val="auto"/>
        </w:rPr>
        <w:t>服务要求：</w:t>
      </w:r>
    </w:p>
    <w:p w14:paraId="62FB37C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w:t>
      </w:r>
      <w:r>
        <w:rPr>
          <w:rFonts w:hint="eastAsia"/>
          <w:color w:val="auto"/>
          <w:sz w:val="24"/>
          <w:szCs w:val="24"/>
          <w:lang w:val="en-US" w:eastAsia="zh-CN"/>
        </w:rPr>
        <w:t>.</w:t>
      </w:r>
      <w:r>
        <w:rPr>
          <w:rFonts w:hint="eastAsia"/>
          <w:color w:val="auto"/>
          <w:sz w:val="24"/>
          <w:szCs w:val="24"/>
          <w:lang w:val="en-US"/>
        </w:rPr>
        <w:t>中标人要定期开展师生食品</w:t>
      </w:r>
      <w:r>
        <w:rPr>
          <w:rFonts w:hint="eastAsia"/>
          <w:color w:val="auto"/>
          <w:sz w:val="24"/>
          <w:szCs w:val="24"/>
          <w:lang w:val="en-US" w:eastAsia="zh-CN"/>
        </w:rPr>
        <w:t>安全</w:t>
      </w:r>
      <w:r>
        <w:rPr>
          <w:rFonts w:hint="eastAsia"/>
          <w:color w:val="auto"/>
          <w:sz w:val="24"/>
          <w:szCs w:val="24"/>
          <w:lang w:val="en-US"/>
        </w:rPr>
        <w:t>知识宣传、培训；配送时要对学校食品储藏间的管理予以监督指导，并及时报告</w:t>
      </w:r>
      <w:r>
        <w:rPr>
          <w:rFonts w:hint="eastAsia"/>
          <w:color w:val="auto"/>
          <w:sz w:val="24"/>
          <w:szCs w:val="24"/>
          <w:lang w:val="en-US" w:eastAsia="zh-CN"/>
        </w:rPr>
        <w:t>汉滨区教育体育局</w:t>
      </w:r>
      <w:r>
        <w:rPr>
          <w:rFonts w:hint="eastAsia"/>
          <w:color w:val="auto"/>
          <w:sz w:val="24"/>
          <w:szCs w:val="24"/>
          <w:lang w:val="en-US"/>
        </w:rPr>
        <w:t>；中标人需保持与学校的信息畅通，建立定期与各学校进行回访、沟通的机制并有售后服务专用电话号码，并保证该号码全天畅通。</w:t>
      </w:r>
    </w:p>
    <w:p w14:paraId="4D01771D">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w:t>
      </w:r>
      <w:r>
        <w:rPr>
          <w:rFonts w:hint="eastAsia"/>
          <w:color w:val="auto"/>
          <w:sz w:val="24"/>
          <w:szCs w:val="24"/>
          <w:lang w:val="en-US" w:eastAsia="zh-CN"/>
        </w:rPr>
        <w:t>.</w:t>
      </w:r>
      <w:r>
        <w:rPr>
          <w:rFonts w:hint="eastAsia"/>
          <w:color w:val="auto"/>
          <w:sz w:val="24"/>
          <w:szCs w:val="24"/>
          <w:lang w:val="en-US"/>
        </w:rPr>
        <w:t>做到专车专用，要有专用的、固定的车辆配送相关食材入校，要求车辆定期清洗和消毒，统一制作车体形象，配送人员统一服装并</w:t>
      </w:r>
      <w:r>
        <w:rPr>
          <w:rFonts w:hint="eastAsia"/>
          <w:color w:val="auto"/>
          <w:sz w:val="24"/>
          <w:szCs w:val="24"/>
          <w:lang w:val="en-US" w:eastAsia="zh-CN"/>
        </w:rPr>
        <w:t>佩戴</w:t>
      </w:r>
      <w:r>
        <w:rPr>
          <w:rFonts w:hint="eastAsia"/>
          <w:color w:val="auto"/>
          <w:sz w:val="24"/>
          <w:szCs w:val="24"/>
          <w:lang w:val="en-US"/>
        </w:rPr>
        <w:t>胸卡。</w:t>
      </w:r>
    </w:p>
    <w:p w14:paraId="2582B6B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w:t>
      </w:r>
      <w:r>
        <w:rPr>
          <w:rFonts w:hint="eastAsia"/>
          <w:color w:val="auto"/>
          <w:sz w:val="24"/>
          <w:szCs w:val="24"/>
          <w:lang w:val="en-US" w:eastAsia="zh-CN"/>
        </w:rPr>
        <w:t>.</w:t>
      </w:r>
      <w:r>
        <w:rPr>
          <w:rFonts w:hint="eastAsia"/>
          <w:color w:val="auto"/>
          <w:sz w:val="24"/>
          <w:szCs w:val="24"/>
          <w:lang w:val="en-US"/>
        </w:rPr>
        <w:t>中标人必须将供应的产品定时、定量送至所有指定学校。“定时”指产品必须根据配送要求按时送达。</w:t>
      </w:r>
    </w:p>
    <w:p w14:paraId="6E4993D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“定量”指中标人必须根据各配送学校人数将相应数量的产品配送到各学校。</w:t>
      </w:r>
    </w:p>
    <w:p w14:paraId="2886697F">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4</w:t>
      </w:r>
      <w:r>
        <w:rPr>
          <w:rFonts w:hint="eastAsia"/>
          <w:color w:val="auto"/>
          <w:sz w:val="24"/>
          <w:szCs w:val="24"/>
          <w:lang w:val="en-US" w:eastAsia="zh-CN"/>
        </w:rPr>
        <w:t>.</w:t>
      </w:r>
      <w:r>
        <w:rPr>
          <w:rFonts w:hint="eastAsia"/>
          <w:color w:val="auto"/>
          <w:sz w:val="24"/>
          <w:szCs w:val="24"/>
          <w:lang w:val="en-US"/>
        </w:rPr>
        <w:t>人员管理。</w:t>
      </w:r>
    </w:p>
    <w:p w14:paraId="3D22397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所有从事与食品材料接触的从业人员必须持有健康证；</w:t>
      </w:r>
    </w:p>
    <w:p w14:paraId="52D62164">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掌握相应相关食品安全知识；心理健康，无不良行为记录，遵纪守法。</w:t>
      </w:r>
    </w:p>
    <w:p w14:paraId="7B33C62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聘用的司机驾龄必须在三年以上、有一定驾驶经验，配送车上必须有一位责任心强的工作人员负责押运，运送过程规范；配送人员要热情服务，细致工作，与学校交接时手续完备，数量准确；</w:t>
      </w:r>
    </w:p>
    <w:p w14:paraId="17DDD398">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5</w:t>
      </w:r>
      <w:r>
        <w:rPr>
          <w:rFonts w:hint="eastAsia"/>
          <w:color w:val="auto"/>
          <w:sz w:val="24"/>
          <w:szCs w:val="24"/>
          <w:lang w:val="en-US" w:eastAsia="zh-CN"/>
        </w:rPr>
        <w:t>.</w:t>
      </w:r>
      <w:r>
        <w:rPr>
          <w:rFonts w:hint="eastAsia"/>
          <w:color w:val="auto"/>
          <w:sz w:val="24"/>
          <w:szCs w:val="24"/>
          <w:lang w:val="en-US"/>
        </w:rPr>
        <w:t>账务管理要求。</w:t>
      </w:r>
    </w:p>
    <w:p w14:paraId="6E14D2F8">
      <w:pPr>
        <w:pageBreakBefore w:val="0"/>
        <w:topLinePunct w:val="0"/>
        <w:bidi w:val="0"/>
        <w:spacing w:line="500" w:lineRule="exact"/>
        <w:ind w:left="0" w:leftChars="0" w:right="0" w:rightChars="0" w:firstLine="480" w:firstLineChars="200"/>
        <w:rPr>
          <w:color w:val="auto"/>
          <w:sz w:val="24"/>
          <w:szCs w:val="24"/>
        </w:rPr>
      </w:pPr>
      <w:r>
        <w:rPr>
          <w:rFonts w:hint="eastAsia"/>
          <w:color w:val="auto"/>
          <w:sz w:val="24"/>
          <w:szCs w:val="24"/>
        </w:rPr>
        <w:t>企业必须</w:t>
      </w:r>
      <w:r>
        <w:rPr>
          <w:rFonts w:hint="eastAsia"/>
          <w:color w:val="auto"/>
          <w:sz w:val="24"/>
          <w:szCs w:val="24"/>
          <w:lang w:eastAsia="zh-CN"/>
        </w:rPr>
        <w:t>分别</w:t>
      </w:r>
      <w:r>
        <w:rPr>
          <w:rFonts w:hint="eastAsia"/>
          <w:color w:val="auto"/>
          <w:sz w:val="24"/>
          <w:szCs w:val="24"/>
        </w:rPr>
        <w:t>建立营养改善计划</w:t>
      </w:r>
      <w:r>
        <w:rPr>
          <w:rFonts w:hint="eastAsia"/>
          <w:color w:val="auto"/>
          <w:sz w:val="24"/>
          <w:szCs w:val="24"/>
          <w:lang w:eastAsia="zh-CN"/>
        </w:rPr>
        <w:t>和非</w:t>
      </w:r>
      <w:r>
        <w:rPr>
          <w:rFonts w:hint="eastAsia"/>
          <w:color w:val="auto"/>
          <w:sz w:val="24"/>
          <w:szCs w:val="24"/>
        </w:rPr>
        <w:t>营养改善计划</w:t>
      </w:r>
      <w:r>
        <w:rPr>
          <w:rFonts w:hint="eastAsia"/>
          <w:color w:val="auto"/>
          <w:sz w:val="24"/>
          <w:szCs w:val="24"/>
          <w:lang w:eastAsia="zh-CN"/>
        </w:rPr>
        <w:t>资金，独立</w:t>
      </w:r>
      <w:r>
        <w:rPr>
          <w:rFonts w:hint="eastAsia"/>
          <w:color w:val="auto"/>
          <w:sz w:val="24"/>
          <w:szCs w:val="24"/>
        </w:rPr>
        <w:t>专</w:t>
      </w:r>
      <w:r>
        <w:rPr>
          <w:rFonts w:hint="eastAsia"/>
          <w:color w:val="auto"/>
          <w:sz w:val="24"/>
          <w:szCs w:val="24"/>
          <w:lang w:eastAsia="zh-CN"/>
        </w:rPr>
        <w:t>账，不得挤占</w:t>
      </w:r>
      <w:r>
        <w:rPr>
          <w:rFonts w:hint="eastAsia"/>
          <w:color w:val="auto"/>
          <w:sz w:val="24"/>
          <w:szCs w:val="24"/>
        </w:rPr>
        <w:t>营养改善计划</w:t>
      </w:r>
      <w:r>
        <w:rPr>
          <w:rFonts w:hint="eastAsia"/>
          <w:color w:val="auto"/>
          <w:sz w:val="24"/>
          <w:szCs w:val="24"/>
          <w:lang w:eastAsia="zh-CN"/>
        </w:rPr>
        <w:t>专项资金</w:t>
      </w:r>
      <w:r>
        <w:rPr>
          <w:rFonts w:hint="eastAsia"/>
          <w:color w:val="auto"/>
          <w:sz w:val="24"/>
          <w:szCs w:val="24"/>
        </w:rPr>
        <w:t>。建立商品采购、配送台账；配送到校的食材，在交接过程中要开具加盖配送企业公章的三联单票据，配送人员、接收人员要签字确认。</w:t>
      </w:r>
    </w:p>
    <w:p w14:paraId="4F01A989">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6</w:t>
      </w:r>
      <w:r>
        <w:rPr>
          <w:rFonts w:hint="eastAsia"/>
          <w:color w:val="auto"/>
          <w:sz w:val="24"/>
          <w:szCs w:val="24"/>
          <w:lang w:val="en-US" w:eastAsia="zh-CN"/>
        </w:rPr>
        <w:t>.</w:t>
      </w:r>
      <w:r>
        <w:rPr>
          <w:rFonts w:hint="eastAsia"/>
          <w:color w:val="auto"/>
          <w:sz w:val="24"/>
          <w:szCs w:val="24"/>
          <w:lang w:val="en-US"/>
        </w:rPr>
        <w:t>索证索票。</w:t>
      </w:r>
    </w:p>
    <w:p w14:paraId="159A6EF2">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企业必须对所有采购配送到校的食材及相关食材原供货商索取规范完整的</w:t>
      </w:r>
      <w:r>
        <w:rPr>
          <w:rFonts w:hint="eastAsia"/>
          <w:color w:val="auto"/>
          <w:sz w:val="24"/>
          <w:szCs w:val="24"/>
          <w:lang w:val="en-US" w:eastAsia="zh-CN"/>
        </w:rPr>
        <w:t>票证</w:t>
      </w:r>
      <w:r>
        <w:rPr>
          <w:rFonts w:hint="eastAsia"/>
          <w:color w:val="auto"/>
          <w:sz w:val="24"/>
          <w:szCs w:val="24"/>
          <w:lang w:val="en-US"/>
        </w:rPr>
        <w:t>，建立票证管理专档确保所有相关证票齐全、完整、有效。企业按有关索证索票管理规定为学校提供加盖有本企业红色公章的完整票据。</w:t>
      </w:r>
    </w:p>
    <w:p w14:paraId="51C7CE81">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7</w:t>
      </w:r>
      <w:r>
        <w:rPr>
          <w:rFonts w:hint="eastAsia"/>
          <w:color w:val="auto"/>
          <w:sz w:val="24"/>
          <w:szCs w:val="24"/>
          <w:lang w:val="en-US" w:eastAsia="zh-CN"/>
        </w:rPr>
        <w:t>.</w:t>
      </w:r>
      <w:r>
        <w:rPr>
          <w:rFonts w:hint="eastAsia"/>
          <w:color w:val="auto"/>
          <w:sz w:val="24"/>
          <w:szCs w:val="24"/>
          <w:lang w:val="en-US"/>
        </w:rPr>
        <w:t>监督管理。</w:t>
      </w:r>
    </w:p>
    <w:p w14:paraId="20946319">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（1）对中标配送企业库房和重点操作（重点项目、重点环节及其工作区域）实行电子监管。企业须将工作期间的视频同期上传，供采购人实时监管。</w:t>
      </w:r>
    </w:p>
    <w:p w14:paraId="2D1C7B7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w:t>
      </w:r>
      <w:bookmarkStart w:id="18" w:name="第四章_商务要求"/>
      <w:bookmarkEnd w:id="18"/>
      <w:r>
        <w:rPr>
          <w:rFonts w:hint="eastAsia"/>
          <w:color w:val="auto"/>
          <w:sz w:val="24"/>
          <w:szCs w:val="24"/>
          <w:lang w:val="en-US"/>
        </w:rPr>
        <w:t>企业须自觉主动接受区政府各职能部门对配送食材的生产、采购、加工、存储、配送等环节的监督检查及企业管理的监督检查。</w:t>
      </w:r>
    </w:p>
    <w:p w14:paraId="5289394A">
      <w:pPr>
        <w:keepNext w:val="0"/>
        <w:keepLines w:val="0"/>
        <w:widowControl/>
        <w:suppressLineNumbers w:val="0"/>
        <w:spacing w:line="360" w:lineRule="auto"/>
        <w:ind w:firstLine="482" w:firstLineChars="200"/>
        <w:jc w:val="left"/>
        <w:rPr>
          <w:color w:val="auto"/>
          <w:sz w:val="24"/>
          <w:szCs w:val="24"/>
        </w:rPr>
      </w:pPr>
      <w:bookmarkStart w:id="19" w:name="_Toc11111"/>
      <w:r>
        <w:rPr>
          <w:rFonts w:hint="eastAsia" w:ascii="宋体" w:hAnsi="宋体" w:eastAsia="宋体" w:cs="宋体"/>
          <w:b/>
          <w:bCs/>
          <w:color w:val="auto"/>
          <w:kern w:val="0"/>
          <w:sz w:val="24"/>
          <w:szCs w:val="24"/>
          <w:lang w:val="en-US" w:eastAsia="zh-CN" w:bidi="ar"/>
        </w:rPr>
        <w:t>注：</w:t>
      </w:r>
      <w:r>
        <w:rPr>
          <w:rFonts w:hint="eastAsia" w:cs="宋体"/>
          <w:b/>
          <w:bCs/>
          <w:color w:val="auto"/>
          <w:kern w:val="0"/>
          <w:sz w:val="24"/>
          <w:szCs w:val="24"/>
          <w:lang w:val="en-US" w:eastAsia="zh-CN" w:bidi="ar"/>
        </w:rPr>
        <w:t>1.</w:t>
      </w:r>
      <w:r>
        <w:rPr>
          <w:rFonts w:hint="eastAsia" w:ascii="宋体" w:hAnsi="宋体" w:eastAsia="宋体" w:cs="宋体"/>
          <w:b/>
          <w:bCs/>
          <w:color w:val="auto"/>
          <w:kern w:val="0"/>
          <w:sz w:val="24"/>
          <w:szCs w:val="24"/>
          <w:lang w:val="en-US" w:eastAsia="zh-CN" w:bidi="ar"/>
        </w:rPr>
        <w:t xml:space="preserve">服务期间采购方有权对供应商履约情况进行抽查及考核，若乙方出现质量不合格、价格不合理、多次出现配送不及时等履约问题时，采购方有权单方面停止供应商供货，严重者将解除供应合同取消其供货资格。 </w:t>
      </w:r>
    </w:p>
    <w:p w14:paraId="3BB5FCCE">
      <w:pPr>
        <w:keepNext w:val="0"/>
        <w:keepLines w:val="0"/>
        <w:widowControl/>
        <w:suppressLineNumbers w:val="0"/>
        <w:shd w:val="clear"/>
        <w:spacing w:line="360" w:lineRule="auto"/>
        <w:ind w:firstLine="482" w:firstLineChars="200"/>
        <w:jc w:val="left"/>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2</w:t>
      </w:r>
      <w:r>
        <w:rPr>
          <w:rFonts w:hint="eastAsia" w:cs="宋体"/>
          <w:b/>
          <w:bCs/>
          <w:color w:val="auto"/>
          <w:kern w:val="0"/>
          <w:sz w:val="24"/>
          <w:szCs w:val="24"/>
          <w:lang w:val="en-US" w:eastAsia="zh-CN" w:bidi="ar"/>
        </w:rPr>
        <w:t>.</w:t>
      </w:r>
      <w:r>
        <w:rPr>
          <w:rFonts w:hint="eastAsia" w:ascii="宋体" w:hAnsi="宋体" w:eastAsia="宋体" w:cs="宋体"/>
          <w:b/>
          <w:bCs/>
          <w:color w:val="auto"/>
          <w:kern w:val="0"/>
          <w:sz w:val="24"/>
          <w:szCs w:val="24"/>
          <w:lang w:val="en-US" w:eastAsia="zh-CN" w:bidi="ar"/>
        </w:rPr>
        <w:t xml:space="preserve">供货商必须严格按照《学校食堂大宗食材采购验收管理工作指引》的明确规定执行，禁止采购、使用以下各类食品：一是超过保质期、腐败变质、油脂酸败、霉变生虫、污秽不洁、混有异物、掺假掺杂或者感官性状异常的食品；二是无标签的预包装食品；三是国家明令禁止生产经营的食品。凡供应商所供商品质量方面出现重大安全事故或严重的社会不良影响，采购方有权终止中标供应商供货。  </w:t>
      </w:r>
    </w:p>
    <w:p w14:paraId="30F7F724">
      <w:pPr>
        <w:keepNext w:val="0"/>
        <w:keepLines w:val="0"/>
        <w:widowControl/>
        <w:suppressLineNumbers w:val="0"/>
        <w:shd w:val="clear"/>
        <w:spacing w:line="360" w:lineRule="auto"/>
        <w:ind w:firstLine="482" w:firstLineChars="200"/>
        <w:jc w:val="left"/>
        <w:rPr>
          <w:rFonts w:hint="eastAsia" w:ascii="宋体" w:hAnsi="宋体" w:eastAsia="宋体" w:cs="宋体"/>
          <w:b/>
          <w:bCs/>
          <w:color w:val="auto"/>
          <w:kern w:val="0"/>
          <w:sz w:val="28"/>
          <w:szCs w:val="28"/>
          <w:shd w:val="clear"/>
          <w:lang w:val="en-US" w:eastAsia="zh-CN" w:bidi="ar"/>
        </w:rPr>
      </w:pPr>
      <w:r>
        <w:rPr>
          <w:rFonts w:hint="eastAsia" w:ascii="宋体" w:hAnsi="宋体" w:eastAsia="宋体" w:cs="宋体"/>
          <w:b/>
          <w:bCs/>
          <w:color w:val="auto"/>
          <w:kern w:val="0"/>
          <w:sz w:val="24"/>
          <w:szCs w:val="24"/>
          <w:lang w:val="en-US" w:eastAsia="zh-CN" w:bidi="ar"/>
        </w:rPr>
        <w:t>3</w:t>
      </w:r>
      <w:r>
        <w:rPr>
          <w:rFonts w:hint="eastAsia" w:cs="宋体"/>
          <w:b/>
          <w:bCs/>
          <w:color w:val="auto"/>
          <w:kern w:val="0"/>
          <w:sz w:val="24"/>
          <w:szCs w:val="24"/>
          <w:lang w:val="en-US" w:eastAsia="zh-CN" w:bidi="ar"/>
        </w:rPr>
        <w:t>.</w:t>
      </w:r>
      <w:r>
        <w:rPr>
          <w:rFonts w:hint="eastAsia" w:ascii="宋体" w:hAnsi="宋体" w:eastAsia="宋体" w:cs="宋体"/>
          <w:b/>
          <w:bCs/>
          <w:color w:val="auto"/>
          <w:kern w:val="0"/>
          <w:sz w:val="24"/>
          <w:szCs w:val="24"/>
          <w:lang w:val="en-US" w:eastAsia="zh-CN" w:bidi="ar"/>
        </w:rPr>
        <w:t>供应商所供应的产品与投标文件中的产品品牌等相关参数必须保证一致</w:t>
      </w:r>
      <w:r>
        <w:rPr>
          <w:rFonts w:hint="eastAsia" w:cs="宋体"/>
          <w:b/>
          <w:bCs/>
          <w:color w:val="auto"/>
          <w:kern w:val="0"/>
          <w:sz w:val="24"/>
          <w:szCs w:val="24"/>
          <w:lang w:val="en-US" w:eastAsia="zh-CN" w:bidi="ar"/>
        </w:rPr>
        <w:t>（</w:t>
      </w:r>
      <w:r>
        <w:rPr>
          <w:rFonts w:hint="eastAsia" w:cs="宋体"/>
          <w:b/>
          <w:bCs/>
          <w:color w:val="auto"/>
          <w:kern w:val="0"/>
          <w:sz w:val="24"/>
          <w:szCs w:val="24"/>
          <w:shd w:val="clear"/>
          <w:lang w:val="en-US" w:eastAsia="zh-CN" w:bidi="ar"/>
        </w:rPr>
        <w:t>如因不可抗因素发生变化，需报汉滨区教育体育局，经采购人审核批准同意后才可以调整，并及时签订补充协议）</w:t>
      </w:r>
      <w:r>
        <w:rPr>
          <w:rFonts w:hint="eastAsia" w:ascii="宋体" w:hAnsi="宋体" w:eastAsia="宋体" w:cs="宋体"/>
          <w:b/>
          <w:bCs/>
          <w:color w:val="auto"/>
          <w:kern w:val="0"/>
          <w:sz w:val="24"/>
          <w:szCs w:val="24"/>
          <w:shd w:val="clear"/>
          <w:lang w:val="en-US" w:eastAsia="zh-CN" w:bidi="ar"/>
        </w:rPr>
        <w:t>。</w:t>
      </w:r>
    </w:p>
    <w:p w14:paraId="673A62D1">
      <w:pPr>
        <w:rPr>
          <w:rFonts w:hint="eastAsia"/>
          <w:color w:val="auto"/>
          <w:lang w:val="en-US"/>
        </w:rPr>
      </w:pPr>
    </w:p>
    <w:p w14:paraId="73FA64F4">
      <w:pPr>
        <w:pStyle w:val="2"/>
        <w:pageBreakBefore w:val="0"/>
        <w:topLinePunct w:val="0"/>
        <w:bidi w:val="0"/>
        <w:spacing w:before="0" w:line="500" w:lineRule="exact"/>
        <w:ind w:left="0" w:leftChars="0" w:right="0" w:rightChars="0" w:firstLine="723" w:firstLineChars="200"/>
        <w:rPr>
          <w:rFonts w:hint="eastAsia"/>
          <w:color w:val="auto"/>
          <w:lang w:val="en-US"/>
        </w:rPr>
      </w:pPr>
    </w:p>
    <w:p w14:paraId="0B12DB47">
      <w:pPr>
        <w:pStyle w:val="2"/>
        <w:pageBreakBefore w:val="0"/>
        <w:topLinePunct w:val="0"/>
        <w:bidi w:val="0"/>
        <w:spacing w:before="0" w:line="500" w:lineRule="exact"/>
        <w:ind w:left="0" w:leftChars="0" w:right="0" w:rightChars="0" w:firstLine="723" w:firstLineChars="200"/>
        <w:rPr>
          <w:rFonts w:hint="eastAsia"/>
          <w:color w:val="auto"/>
          <w:lang w:val="en-US"/>
        </w:rPr>
      </w:pPr>
    </w:p>
    <w:p w14:paraId="0AC9C3B5">
      <w:pPr>
        <w:pStyle w:val="2"/>
        <w:pageBreakBefore w:val="0"/>
        <w:topLinePunct w:val="0"/>
        <w:bidi w:val="0"/>
        <w:spacing w:before="0" w:line="500" w:lineRule="exact"/>
        <w:ind w:left="0" w:leftChars="0" w:right="0" w:rightChars="0" w:firstLine="723" w:firstLineChars="200"/>
        <w:rPr>
          <w:rFonts w:hint="eastAsia"/>
          <w:color w:val="auto"/>
          <w:lang w:val="en-US"/>
        </w:rPr>
      </w:pPr>
    </w:p>
    <w:p w14:paraId="35AF3FFE">
      <w:pPr>
        <w:pStyle w:val="2"/>
        <w:pageBreakBefore w:val="0"/>
        <w:topLinePunct w:val="0"/>
        <w:bidi w:val="0"/>
        <w:spacing w:before="0" w:line="500" w:lineRule="exact"/>
        <w:ind w:left="0" w:leftChars="0" w:right="0" w:rightChars="0" w:firstLine="723" w:firstLineChars="200"/>
        <w:rPr>
          <w:rFonts w:hint="eastAsia"/>
          <w:color w:val="auto"/>
          <w:lang w:val="en-US"/>
        </w:rPr>
      </w:pPr>
    </w:p>
    <w:p w14:paraId="7509FA27">
      <w:pPr>
        <w:pStyle w:val="2"/>
        <w:pageBreakBefore w:val="0"/>
        <w:topLinePunct w:val="0"/>
        <w:bidi w:val="0"/>
        <w:spacing w:before="0" w:line="500" w:lineRule="exact"/>
        <w:ind w:left="0" w:leftChars="0" w:right="0" w:rightChars="0" w:firstLine="723" w:firstLineChars="200"/>
        <w:rPr>
          <w:rFonts w:hint="eastAsia"/>
          <w:color w:val="auto"/>
          <w:lang w:val="en-US"/>
        </w:rPr>
      </w:pPr>
    </w:p>
    <w:p w14:paraId="19E1B6D4">
      <w:pPr>
        <w:pStyle w:val="2"/>
        <w:pageBreakBefore w:val="0"/>
        <w:topLinePunct w:val="0"/>
        <w:bidi w:val="0"/>
        <w:spacing w:before="0" w:line="500" w:lineRule="exact"/>
        <w:ind w:left="0" w:leftChars="0" w:right="0" w:rightChars="0" w:firstLine="723" w:firstLineChars="200"/>
        <w:rPr>
          <w:rFonts w:hint="eastAsia"/>
          <w:color w:val="auto"/>
          <w:lang w:val="en-US"/>
        </w:rPr>
      </w:pPr>
    </w:p>
    <w:p w14:paraId="34DE81DA">
      <w:pPr>
        <w:pStyle w:val="2"/>
        <w:pageBreakBefore w:val="0"/>
        <w:topLinePunct w:val="0"/>
        <w:bidi w:val="0"/>
        <w:spacing w:before="0" w:line="500" w:lineRule="exact"/>
        <w:ind w:left="0" w:leftChars="0" w:right="0" w:rightChars="0" w:firstLine="723" w:firstLineChars="200"/>
        <w:rPr>
          <w:rFonts w:hint="eastAsia"/>
          <w:color w:val="auto"/>
          <w:lang w:val="en-US"/>
        </w:rPr>
      </w:pPr>
    </w:p>
    <w:p w14:paraId="361EE661">
      <w:pPr>
        <w:pStyle w:val="2"/>
        <w:pageBreakBefore w:val="0"/>
        <w:topLinePunct w:val="0"/>
        <w:bidi w:val="0"/>
        <w:spacing w:before="0" w:line="500" w:lineRule="exact"/>
        <w:ind w:left="0" w:leftChars="0" w:right="0" w:rightChars="0" w:firstLine="723" w:firstLineChars="200"/>
        <w:rPr>
          <w:rFonts w:hint="eastAsia"/>
          <w:color w:val="auto"/>
          <w:lang w:val="en-US"/>
        </w:rPr>
      </w:pPr>
    </w:p>
    <w:p w14:paraId="3913C242">
      <w:pPr>
        <w:pStyle w:val="2"/>
        <w:pageBreakBefore w:val="0"/>
        <w:topLinePunct w:val="0"/>
        <w:bidi w:val="0"/>
        <w:spacing w:before="0" w:line="500" w:lineRule="exact"/>
        <w:ind w:left="0" w:leftChars="0" w:right="0" w:rightChars="0" w:firstLine="723" w:firstLineChars="200"/>
        <w:rPr>
          <w:rFonts w:hint="eastAsia"/>
          <w:color w:val="auto"/>
          <w:lang w:val="en-US"/>
        </w:rPr>
      </w:pPr>
    </w:p>
    <w:p w14:paraId="6C71EDC6">
      <w:pPr>
        <w:pStyle w:val="2"/>
        <w:pageBreakBefore w:val="0"/>
        <w:topLinePunct w:val="0"/>
        <w:bidi w:val="0"/>
        <w:spacing w:before="0" w:line="500" w:lineRule="exact"/>
        <w:ind w:left="0" w:leftChars="0" w:right="0" w:rightChars="0" w:firstLine="723" w:firstLineChars="200"/>
        <w:rPr>
          <w:rFonts w:hint="eastAsia"/>
          <w:color w:val="auto"/>
          <w:lang w:val="en-US"/>
        </w:rPr>
      </w:pPr>
    </w:p>
    <w:p w14:paraId="38D60334">
      <w:pPr>
        <w:pStyle w:val="2"/>
        <w:pageBreakBefore w:val="0"/>
        <w:topLinePunct w:val="0"/>
        <w:bidi w:val="0"/>
        <w:spacing w:before="0" w:line="500" w:lineRule="exact"/>
        <w:ind w:left="0" w:leftChars="0" w:right="0" w:rightChars="0" w:firstLine="723" w:firstLineChars="200"/>
        <w:rPr>
          <w:rFonts w:hint="eastAsia"/>
          <w:color w:val="auto"/>
          <w:lang w:val="en-US"/>
        </w:rPr>
      </w:pPr>
    </w:p>
    <w:p w14:paraId="78AFF8EF">
      <w:pPr>
        <w:pStyle w:val="2"/>
        <w:pageBreakBefore w:val="0"/>
        <w:topLinePunct w:val="0"/>
        <w:bidi w:val="0"/>
        <w:spacing w:before="0" w:line="500" w:lineRule="exact"/>
        <w:ind w:left="0" w:leftChars="0" w:right="0" w:rightChars="0" w:firstLine="723" w:firstLineChars="200"/>
        <w:rPr>
          <w:rFonts w:hint="eastAsia"/>
          <w:color w:val="auto"/>
          <w:lang w:val="en-US"/>
        </w:rPr>
      </w:pPr>
    </w:p>
    <w:p w14:paraId="27FAE3FF">
      <w:pPr>
        <w:pStyle w:val="2"/>
        <w:pageBreakBefore w:val="0"/>
        <w:topLinePunct w:val="0"/>
        <w:bidi w:val="0"/>
        <w:spacing w:before="0" w:line="500" w:lineRule="exact"/>
        <w:ind w:left="0" w:leftChars="0" w:right="0" w:rightChars="0" w:firstLine="723" w:firstLineChars="200"/>
        <w:rPr>
          <w:rFonts w:hint="eastAsia"/>
          <w:color w:val="auto"/>
          <w:lang w:val="en-US"/>
        </w:rPr>
      </w:pPr>
    </w:p>
    <w:p w14:paraId="592A8DBF">
      <w:pPr>
        <w:pStyle w:val="2"/>
        <w:pageBreakBefore w:val="0"/>
        <w:topLinePunct w:val="0"/>
        <w:bidi w:val="0"/>
        <w:spacing w:before="0" w:line="500" w:lineRule="exact"/>
        <w:ind w:left="0" w:leftChars="0" w:right="0" w:rightChars="0" w:firstLine="723" w:firstLineChars="200"/>
        <w:rPr>
          <w:rFonts w:hint="eastAsia"/>
          <w:color w:val="auto"/>
          <w:lang w:val="en-US"/>
        </w:rPr>
      </w:pPr>
    </w:p>
    <w:p w14:paraId="1CF0E62A">
      <w:pPr>
        <w:pStyle w:val="2"/>
        <w:pageBreakBefore w:val="0"/>
        <w:topLinePunct w:val="0"/>
        <w:bidi w:val="0"/>
        <w:spacing w:before="0" w:line="500" w:lineRule="exact"/>
        <w:ind w:left="0" w:leftChars="0" w:right="0" w:rightChars="0" w:firstLine="723" w:firstLineChars="200"/>
        <w:rPr>
          <w:rFonts w:hint="eastAsia"/>
          <w:color w:val="auto"/>
          <w:lang w:val="en-US"/>
        </w:rPr>
      </w:pPr>
    </w:p>
    <w:p w14:paraId="4CED3A61">
      <w:pPr>
        <w:pStyle w:val="2"/>
        <w:pageBreakBefore w:val="0"/>
        <w:topLinePunct w:val="0"/>
        <w:bidi w:val="0"/>
        <w:spacing w:before="0" w:line="500" w:lineRule="exact"/>
        <w:ind w:left="0" w:leftChars="0" w:right="0" w:rightChars="0" w:firstLine="723" w:firstLineChars="200"/>
        <w:rPr>
          <w:rFonts w:hint="eastAsia"/>
          <w:color w:val="auto"/>
          <w:lang w:val="en-US"/>
        </w:rPr>
      </w:pPr>
    </w:p>
    <w:p w14:paraId="156CB938">
      <w:pPr>
        <w:pStyle w:val="2"/>
        <w:pageBreakBefore w:val="0"/>
        <w:topLinePunct w:val="0"/>
        <w:bidi w:val="0"/>
        <w:spacing w:before="0" w:line="500" w:lineRule="exact"/>
        <w:ind w:right="0" w:rightChars="0"/>
        <w:jc w:val="both"/>
        <w:rPr>
          <w:rFonts w:hint="eastAsia"/>
          <w:color w:val="auto"/>
          <w:lang w:val="en-US"/>
        </w:rPr>
      </w:pPr>
    </w:p>
    <w:p w14:paraId="755FB1E1">
      <w:pPr>
        <w:pStyle w:val="2"/>
        <w:pageBreakBefore w:val="0"/>
        <w:topLinePunct w:val="0"/>
        <w:bidi w:val="0"/>
        <w:spacing w:before="0" w:line="500" w:lineRule="exact"/>
        <w:ind w:left="0" w:leftChars="0" w:right="0" w:rightChars="0" w:firstLine="723" w:firstLineChars="200"/>
        <w:rPr>
          <w:color w:val="auto"/>
        </w:rPr>
      </w:pPr>
      <w:r>
        <w:rPr>
          <w:rFonts w:hint="eastAsia"/>
          <w:color w:val="auto"/>
          <w:lang w:val="en-US"/>
        </w:rPr>
        <w:t xml:space="preserve">第四章 </w:t>
      </w:r>
      <w:r>
        <w:rPr>
          <w:color w:val="auto"/>
        </w:rPr>
        <w:t>商务要求</w:t>
      </w:r>
      <w:bookmarkEnd w:id="19"/>
    </w:p>
    <w:p w14:paraId="219A8933">
      <w:pPr>
        <w:pageBreakBefore w:val="0"/>
        <w:topLinePunct w:val="0"/>
        <w:bidi w:val="0"/>
        <w:spacing w:line="500" w:lineRule="exact"/>
        <w:ind w:left="0" w:leftChars="0" w:right="0" w:rightChars="0" w:firstLine="440" w:firstLineChars="200"/>
        <w:rPr>
          <w:color w:val="auto"/>
        </w:rPr>
      </w:pPr>
    </w:p>
    <w:p w14:paraId="164D79FA">
      <w:pPr>
        <w:keepNext w:val="0"/>
        <w:keepLines w:val="0"/>
        <w:pageBreakBefore w:val="0"/>
        <w:kinsoku/>
        <w:wordWrap/>
        <w:overflowPunct/>
        <w:topLinePunct w:val="0"/>
        <w:autoSpaceDE/>
        <w:autoSpaceDN/>
        <w:bidi w:val="0"/>
        <w:adjustRightInd/>
        <w:snapToGrid/>
        <w:spacing w:line="500" w:lineRule="exact"/>
        <w:ind w:left="0" w:leftChars="0" w:right="0" w:rightChars="0" w:firstLine="643" w:firstLineChars="200"/>
        <w:jc w:val="center"/>
        <w:textAlignment w:val="auto"/>
        <w:rPr>
          <w:rFonts w:hint="eastAsia" w:ascii="仿宋" w:hAnsi="仿宋" w:eastAsia="仿宋" w:cs="仿宋"/>
          <w:b/>
          <w:bCs/>
          <w:color w:val="auto"/>
          <w:sz w:val="32"/>
          <w:szCs w:val="32"/>
        </w:rPr>
      </w:pPr>
      <w:r>
        <w:rPr>
          <w:rFonts w:hint="eastAsia" w:ascii="仿宋" w:hAnsi="仿宋" w:eastAsia="仿宋" w:cs="仿宋"/>
          <w:b/>
          <w:bCs/>
          <w:color w:val="auto"/>
          <w:sz w:val="32"/>
          <w:szCs w:val="32"/>
          <w:lang w:val="en-US" w:eastAsia="zh-CN"/>
        </w:rPr>
        <w:t>合同包一至合同包三</w:t>
      </w:r>
      <w:r>
        <w:rPr>
          <w:rFonts w:hint="eastAsia" w:ascii="仿宋" w:hAnsi="仿宋" w:eastAsia="仿宋" w:cs="仿宋"/>
          <w:b/>
          <w:bCs/>
          <w:color w:val="auto"/>
          <w:sz w:val="32"/>
          <w:szCs w:val="32"/>
        </w:rPr>
        <w:t>商务条款</w:t>
      </w:r>
    </w:p>
    <w:p w14:paraId="4B8787EA">
      <w:pPr>
        <w:keepNext w:val="0"/>
        <w:keepLines w:val="0"/>
        <w:pageBreakBefore w:val="0"/>
        <w:widowControl/>
        <w:numPr>
          <w:ilvl w:val="0"/>
          <w:numId w:val="13"/>
        </w:numPr>
        <w:suppressLineNumbers w:val="0"/>
        <w:kinsoku/>
        <w:wordWrap/>
        <w:overflowPunct/>
        <w:topLinePunct w:val="0"/>
        <w:bidi w:val="0"/>
        <w:adjustRightInd/>
        <w:snapToGrid/>
        <w:spacing w:line="500" w:lineRule="exact"/>
        <w:ind w:left="0" w:leftChars="0" w:right="0" w:rightChars="0" w:firstLine="482" w:firstLineChars="200"/>
        <w:jc w:val="left"/>
        <w:textAlignment w:val="auto"/>
        <w:rPr>
          <w:rFonts w:hint="eastAsia" w:ascii="仿宋" w:hAnsi="仿宋" w:eastAsia="仿宋" w:cs="仿宋"/>
          <w:b/>
          <w:bCs/>
          <w:color w:val="auto"/>
          <w:sz w:val="32"/>
          <w:szCs w:val="32"/>
          <w:lang w:val="en-US" w:eastAsia="zh-CN"/>
        </w:rPr>
      </w:pPr>
      <w:r>
        <w:rPr>
          <w:rFonts w:hint="eastAsia"/>
          <w:b/>
          <w:bCs/>
          <w:color w:val="auto"/>
          <w:sz w:val="24"/>
          <w:szCs w:val="24"/>
          <w:lang w:val="en-US" w:eastAsia="zh-CN"/>
        </w:rPr>
        <w:t>合同履行期限、地点、合同签订：</w:t>
      </w:r>
    </w:p>
    <w:p w14:paraId="6A386696">
      <w:pPr>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color w:val="auto"/>
          <w:sz w:val="24"/>
          <w:szCs w:val="24"/>
          <w:lang w:val="en-US" w:eastAsia="zh-CN"/>
        </w:rPr>
      </w:pPr>
      <w:r>
        <w:rPr>
          <w:rFonts w:hint="eastAsia"/>
          <w:color w:val="auto"/>
          <w:sz w:val="24"/>
          <w:szCs w:val="24"/>
          <w:lang w:val="en-US" w:eastAsia="zh-CN"/>
        </w:rPr>
        <w:t>1.合同履行期限：</w:t>
      </w:r>
      <w:r>
        <w:rPr>
          <w:rFonts w:hint="eastAsia" w:ascii="宋体" w:hAnsi="宋体" w:eastAsia="宋体" w:cs="宋体"/>
          <w:i w:val="0"/>
          <w:iCs w:val="0"/>
          <w:color w:val="auto"/>
          <w:sz w:val="24"/>
          <w:szCs w:val="24"/>
        </w:rPr>
        <w:t>一学年</w:t>
      </w:r>
    </w:p>
    <w:p w14:paraId="0AA4C3DD">
      <w:pPr>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color w:val="auto"/>
          <w:sz w:val="24"/>
          <w:szCs w:val="24"/>
          <w:lang w:val="en-US" w:eastAsia="zh-CN"/>
        </w:rPr>
      </w:pPr>
      <w:r>
        <w:rPr>
          <w:rFonts w:hint="eastAsia"/>
          <w:color w:val="auto"/>
          <w:sz w:val="24"/>
          <w:szCs w:val="24"/>
          <w:lang w:val="en-US" w:eastAsia="zh-CN"/>
        </w:rPr>
        <w:t>2.配送周期：米面油每两周配送一次；肉类每周两次（十人以下的教学点每周配送一次）、鸡蛋每周一次；城区及周边部分学校、幼儿园库房条件无法满足存储的，每日配送一次。</w:t>
      </w:r>
    </w:p>
    <w:p w14:paraId="7EEDBB18">
      <w:pPr>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color w:val="auto"/>
          <w:sz w:val="24"/>
          <w:szCs w:val="24"/>
          <w:lang w:val="en-US" w:eastAsia="zh-CN"/>
        </w:rPr>
      </w:pPr>
      <w:r>
        <w:rPr>
          <w:rFonts w:hint="eastAsia"/>
          <w:color w:val="auto"/>
          <w:sz w:val="24"/>
          <w:szCs w:val="24"/>
          <w:lang w:val="en-US" w:eastAsia="zh-CN"/>
        </w:rPr>
        <w:t xml:space="preserve">3.供货地点：采购单位指定的各学校。 </w:t>
      </w:r>
    </w:p>
    <w:p w14:paraId="7917B37F">
      <w:pPr>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color w:val="auto"/>
          <w:sz w:val="24"/>
          <w:szCs w:val="24"/>
          <w:lang w:val="en-US"/>
        </w:rPr>
      </w:pPr>
      <w:r>
        <w:rPr>
          <w:rFonts w:hint="eastAsia"/>
          <w:color w:val="auto"/>
          <w:sz w:val="24"/>
          <w:szCs w:val="24"/>
          <w:lang w:val="en-US" w:eastAsia="zh-CN"/>
        </w:rPr>
        <w:t>4.合同签订：</w:t>
      </w:r>
      <w:r>
        <w:rPr>
          <w:rFonts w:hint="eastAsia" w:ascii="宋体" w:hAnsi="宋体" w:eastAsia="宋体" w:cs="宋体"/>
          <w:i w:val="0"/>
          <w:iCs w:val="0"/>
          <w:color w:val="auto"/>
          <w:sz w:val="24"/>
          <w:szCs w:val="24"/>
        </w:rPr>
        <w:t>中标通知书发出后，中标人须按时与采购单位签订合同。中标人须对各类肉类食材各申报1个应急备选品牌，备选产品质量、检疫、验收标准及供货价格与中标品牌完全统一。履约过程中，中标品牌出现停产、断货等情况的，供应商应提交书面申请，采购人审批通过后方可使用备选品牌供货。</w:t>
      </w:r>
    </w:p>
    <w:p w14:paraId="7DDAB2BF">
      <w:pPr>
        <w:keepNext w:val="0"/>
        <w:keepLines w:val="0"/>
        <w:pageBreakBefore w:val="0"/>
        <w:widowControl/>
        <w:numPr>
          <w:ilvl w:val="0"/>
          <w:numId w:val="13"/>
        </w:numPr>
        <w:suppressLineNumbers w:val="0"/>
        <w:kinsoku/>
        <w:wordWrap/>
        <w:overflowPunct/>
        <w:topLinePunct w:val="0"/>
        <w:bidi w:val="0"/>
        <w:adjustRightInd/>
        <w:snapToGrid/>
        <w:spacing w:line="500" w:lineRule="exact"/>
        <w:ind w:left="0" w:leftChars="0" w:right="0" w:rightChars="0" w:firstLine="482" w:firstLineChars="200"/>
        <w:jc w:val="left"/>
        <w:textAlignment w:val="auto"/>
        <w:rPr>
          <w:rFonts w:hint="eastAsia"/>
          <w:b/>
          <w:bCs/>
          <w:color w:val="auto"/>
          <w:sz w:val="24"/>
          <w:szCs w:val="24"/>
          <w:lang w:val="en-US" w:eastAsia="zh-CN"/>
        </w:rPr>
      </w:pPr>
      <w:r>
        <w:rPr>
          <w:rFonts w:hint="eastAsia"/>
          <w:b/>
          <w:bCs/>
          <w:color w:val="auto"/>
          <w:sz w:val="24"/>
          <w:szCs w:val="24"/>
          <w:lang w:val="en-US" w:eastAsia="zh-CN"/>
        </w:rPr>
        <w:t>合同款的支付方式：</w:t>
      </w:r>
    </w:p>
    <w:p w14:paraId="435E1B84">
      <w:pPr>
        <w:pageBreakBefore w:val="0"/>
        <w:topLinePunct w:val="0"/>
        <w:bidi w:val="0"/>
        <w:spacing w:line="500" w:lineRule="exact"/>
        <w:ind w:left="0" w:leftChars="0" w:right="0" w:rightChars="0" w:firstLine="480" w:firstLineChars="200"/>
        <w:rPr>
          <w:rFonts w:hint="eastAsia"/>
          <w:color w:val="auto"/>
          <w:lang w:val="en-US" w:eastAsia="zh-CN"/>
        </w:rPr>
      </w:pPr>
      <w:r>
        <w:rPr>
          <w:rFonts w:hint="eastAsia" w:ascii="宋体" w:hAnsi="宋体" w:eastAsia="宋体" w:cs="宋体"/>
          <w:i w:val="0"/>
          <w:iCs w:val="0"/>
          <w:color w:val="auto"/>
          <w:sz w:val="24"/>
          <w:szCs w:val="24"/>
        </w:rPr>
        <w:t>付款方式为月结，即每月结算一次。乙方于当月供货期满后开出正式发票，由使用学校与中标单位结算。</w:t>
      </w:r>
      <w:r>
        <w:rPr>
          <w:rFonts w:hint="eastAsia" w:cs="宋体"/>
          <w:i w:val="0"/>
          <w:iCs w:val="0"/>
          <w:color w:val="auto"/>
          <w:sz w:val="24"/>
          <w:szCs w:val="24"/>
          <w:lang w:eastAsia="zh-CN"/>
        </w:rPr>
        <w:t>（</w:t>
      </w:r>
      <w:r>
        <w:rPr>
          <w:rFonts w:hint="eastAsia" w:ascii="宋体" w:hAnsi="宋体" w:eastAsia="宋体" w:cs="宋体"/>
          <w:i w:val="0"/>
          <w:iCs w:val="0"/>
          <w:color w:val="auto"/>
          <w:sz w:val="24"/>
          <w:szCs w:val="24"/>
        </w:rPr>
        <w:t>镇办核心校负责辖区学校各相关票据、数据的审核和资金审查工作，区级相关部门负责实施工作督查和相关资金审计。</w:t>
      </w:r>
      <w:r>
        <w:rPr>
          <w:rFonts w:hint="eastAsia" w:cs="宋体"/>
          <w:i w:val="0"/>
          <w:iCs w:val="0"/>
          <w:color w:val="auto"/>
          <w:sz w:val="24"/>
          <w:szCs w:val="24"/>
          <w:lang w:eastAsia="zh-CN"/>
        </w:rPr>
        <w:t>）</w:t>
      </w:r>
    </w:p>
    <w:p w14:paraId="1425D251">
      <w:pPr>
        <w:pageBreakBefore w:val="0"/>
        <w:topLinePunct w:val="0"/>
        <w:bidi w:val="0"/>
        <w:spacing w:line="500" w:lineRule="exact"/>
        <w:ind w:left="0" w:leftChars="0" w:right="0" w:rightChars="0" w:firstLine="482" w:firstLineChars="200"/>
        <w:jc w:val="both"/>
        <w:rPr>
          <w:rFonts w:hint="eastAsia"/>
          <w:b/>
          <w:bCs/>
          <w:color w:val="auto"/>
          <w:sz w:val="24"/>
          <w:szCs w:val="24"/>
          <w:lang w:val="en-US" w:eastAsia="zh-CN"/>
        </w:rPr>
      </w:pPr>
      <w:r>
        <w:rPr>
          <w:rFonts w:hint="eastAsia"/>
          <w:b/>
          <w:bCs/>
          <w:color w:val="auto"/>
          <w:sz w:val="24"/>
          <w:szCs w:val="24"/>
          <w:lang w:val="en-US" w:eastAsia="zh-CN"/>
        </w:rPr>
        <w:t>三、报价要求：</w:t>
      </w:r>
    </w:p>
    <w:p w14:paraId="7A435D3F">
      <w:pPr>
        <w:pageBreakBefore w:val="0"/>
        <w:topLinePunct w:val="0"/>
        <w:bidi w:val="0"/>
        <w:spacing w:line="500" w:lineRule="exact"/>
        <w:ind w:right="0" w:rightChars="0" w:firstLine="480" w:firstLineChars="200"/>
        <w:rPr>
          <w:rFonts w:hint="eastAsia"/>
          <w:color w:val="auto"/>
          <w:spacing w:val="-2"/>
          <w:position w:val="15"/>
          <w:sz w:val="24"/>
          <w:szCs w:val="24"/>
          <w:lang w:val="en-US" w:eastAsia="zh-CN"/>
        </w:rPr>
      </w:pPr>
      <w:r>
        <w:rPr>
          <w:rFonts w:hint="eastAsia" w:ascii="宋体" w:hAnsi="宋体" w:eastAsia="宋体" w:cs="宋体"/>
          <w:i w:val="0"/>
          <w:iCs w:val="0"/>
          <w:color w:val="auto"/>
          <w:sz w:val="24"/>
          <w:szCs w:val="24"/>
          <w:lang w:val="en-US" w:eastAsia="zh-CN"/>
        </w:rPr>
        <w:t>1</w:t>
      </w:r>
      <w:r>
        <w:rPr>
          <w:rFonts w:hint="eastAsia" w:cs="宋体"/>
          <w:i w:val="0"/>
          <w:iCs w:val="0"/>
          <w:color w:val="auto"/>
          <w:sz w:val="24"/>
          <w:szCs w:val="24"/>
          <w:lang w:val="en-US" w:eastAsia="zh-CN"/>
        </w:rPr>
        <w:t>.</w:t>
      </w:r>
      <w:r>
        <w:rPr>
          <w:rFonts w:hint="eastAsia" w:ascii="宋体" w:hAnsi="宋体" w:eastAsia="宋体" w:cs="宋体"/>
          <w:i w:val="0"/>
          <w:iCs w:val="0"/>
          <w:color w:val="auto"/>
          <w:sz w:val="24"/>
          <w:szCs w:val="24"/>
          <w:lang w:val="en-US" w:eastAsia="zh-CN"/>
        </w:rPr>
        <w:t>投</w:t>
      </w:r>
      <w:r>
        <w:rPr>
          <w:rFonts w:hint="eastAsia" w:cs="宋体"/>
          <w:i w:val="0"/>
          <w:iCs w:val="0"/>
          <w:color w:val="auto"/>
          <w:sz w:val="24"/>
          <w:szCs w:val="24"/>
          <w:lang w:val="en-US" w:eastAsia="zh-CN"/>
        </w:rPr>
        <w:t>标</w:t>
      </w:r>
      <w:r>
        <w:rPr>
          <w:rFonts w:hint="eastAsia" w:ascii="宋体" w:hAnsi="宋体" w:eastAsia="宋体" w:cs="宋体"/>
          <w:i w:val="0"/>
          <w:iCs w:val="0"/>
          <w:color w:val="auto"/>
          <w:sz w:val="24"/>
          <w:szCs w:val="24"/>
          <w:lang w:val="en-US" w:eastAsia="zh-CN"/>
        </w:rPr>
        <w:t>单价应包括食品采购、包装、运输、装卸、加工、供货服务期限、配送</w:t>
      </w:r>
      <w:r>
        <w:rPr>
          <w:rFonts w:hint="eastAsia" w:cs="宋体"/>
          <w:i w:val="0"/>
          <w:iCs w:val="0"/>
          <w:color w:val="auto"/>
          <w:sz w:val="24"/>
          <w:szCs w:val="24"/>
          <w:lang w:val="en-US" w:eastAsia="zh-CN"/>
        </w:rPr>
        <w:t>（</w:t>
      </w:r>
      <w:r>
        <w:rPr>
          <w:rFonts w:hint="eastAsia" w:ascii="宋体" w:hAnsi="宋体" w:eastAsia="宋体" w:cs="宋体"/>
          <w:i w:val="0"/>
          <w:iCs w:val="0"/>
          <w:color w:val="auto"/>
          <w:sz w:val="24"/>
          <w:szCs w:val="24"/>
          <w:lang w:val="en-US" w:eastAsia="zh-CN"/>
        </w:rPr>
        <w:t>配送到指定学校地点</w:t>
      </w:r>
      <w:r>
        <w:rPr>
          <w:rFonts w:hint="eastAsia" w:cs="宋体"/>
          <w:i w:val="0"/>
          <w:iCs w:val="0"/>
          <w:color w:val="auto"/>
          <w:sz w:val="24"/>
          <w:szCs w:val="24"/>
          <w:lang w:val="en-US" w:eastAsia="zh-CN"/>
        </w:rPr>
        <w:t>）</w:t>
      </w:r>
      <w:r>
        <w:rPr>
          <w:rFonts w:hint="eastAsia" w:ascii="宋体" w:hAnsi="宋体" w:eastAsia="宋体" w:cs="宋体"/>
          <w:i w:val="0"/>
          <w:iCs w:val="0"/>
          <w:color w:val="auto"/>
          <w:sz w:val="24"/>
          <w:szCs w:val="24"/>
          <w:lang w:val="en-US" w:eastAsia="zh-CN"/>
        </w:rPr>
        <w:t>、</w:t>
      </w:r>
      <w:r>
        <w:rPr>
          <w:rFonts w:hint="eastAsia" w:ascii="宋体" w:hAnsi="宋体" w:eastAsia="宋体" w:cs="宋体"/>
          <w:i w:val="0"/>
          <w:iCs w:val="0"/>
          <w:color w:val="auto"/>
          <w:sz w:val="24"/>
          <w:szCs w:val="24"/>
        </w:rPr>
        <w:t>售后服务及国家按现行税收政策征收的一切税费等。</w:t>
      </w:r>
    </w:p>
    <w:p w14:paraId="2D382BBF">
      <w:pPr>
        <w:spacing w:line="360" w:lineRule="auto"/>
        <w:ind w:firstLine="480" w:firstLineChars="20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2</w:t>
      </w:r>
      <w:r>
        <w:rPr>
          <w:rFonts w:hint="eastAsia" w:cs="宋体"/>
          <w:i w:val="0"/>
          <w:iCs w:val="0"/>
          <w:color w:val="auto"/>
          <w:sz w:val="24"/>
          <w:szCs w:val="24"/>
          <w:lang w:val="en-US" w:eastAsia="zh-CN"/>
        </w:rPr>
        <w:t>.</w:t>
      </w:r>
      <w:r>
        <w:rPr>
          <w:rFonts w:hint="eastAsia" w:ascii="宋体" w:hAnsi="宋体" w:eastAsia="宋体" w:cs="宋体"/>
          <w:i w:val="0"/>
          <w:iCs w:val="0"/>
          <w:color w:val="auto"/>
          <w:sz w:val="24"/>
          <w:szCs w:val="24"/>
        </w:rPr>
        <w:t>合同包一</w:t>
      </w:r>
      <w:r>
        <w:rPr>
          <w:rFonts w:hint="eastAsia" w:cs="宋体"/>
          <w:i w:val="0"/>
          <w:iCs w:val="0"/>
          <w:color w:val="auto"/>
          <w:sz w:val="24"/>
          <w:szCs w:val="24"/>
          <w:lang w:eastAsia="zh-CN"/>
        </w:rPr>
        <w:t>：</w:t>
      </w:r>
    </w:p>
    <w:p w14:paraId="52CDF5A5">
      <w:pPr>
        <w:numPr>
          <w:ilvl w:val="0"/>
          <w:numId w:val="0"/>
        </w:numPr>
        <w:spacing w:line="360" w:lineRule="auto"/>
        <w:ind w:firstLine="480" w:firstLineChars="20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投标报价表中</w:t>
      </w:r>
      <w:r>
        <w:rPr>
          <w:rFonts w:hint="eastAsia" w:ascii="宋体" w:hAnsi="宋体" w:eastAsia="宋体" w:cs="宋体"/>
          <w:i w:val="0"/>
          <w:iCs w:val="0"/>
          <w:color w:val="auto"/>
          <w:sz w:val="24"/>
          <w:szCs w:val="24"/>
          <w:lang w:eastAsia="zh-CN"/>
        </w:rPr>
        <w:t>（</w:t>
      </w:r>
      <w:r>
        <w:rPr>
          <w:rFonts w:hint="eastAsia" w:ascii="宋体" w:hAnsi="宋体" w:eastAsia="宋体" w:cs="宋体"/>
          <w:i w:val="0"/>
          <w:iCs w:val="0"/>
          <w:color w:val="auto"/>
          <w:sz w:val="24"/>
          <w:szCs w:val="24"/>
        </w:rPr>
        <w:t>大米、面粉</w:t>
      </w:r>
      <w:r>
        <w:rPr>
          <w:rFonts w:hint="eastAsia" w:ascii="宋体" w:hAnsi="宋体" w:eastAsia="宋体" w:cs="宋体"/>
          <w:i w:val="0"/>
          <w:iCs w:val="0"/>
          <w:color w:val="auto"/>
          <w:sz w:val="24"/>
          <w:szCs w:val="24"/>
          <w:lang w:eastAsia="zh-CN"/>
        </w:rPr>
        <w:t>、</w:t>
      </w:r>
      <w:r>
        <w:rPr>
          <w:rFonts w:hint="eastAsia" w:ascii="宋体" w:hAnsi="宋体" w:eastAsia="宋体" w:cs="宋体"/>
          <w:i w:val="0"/>
          <w:iCs w:val="0"/>
          <w:color w:val="auto"/>
          <w:sz w:val="24"/>
          <w:szCs w:val="24"/>
        </w:rPr>
        <w:t>菜籽油</w:t>
      </w:r>
      <w:r>
        <w:rPr>
          <w:rFonts w:hint="eastAsia" w:ascii="宋体" w:hAnsi="宋体" w:eastAsia="宋体" w:cs="宋体"/>
          <w:i w:val="0"/>
          <w:iCs w:val="0"/>
          <w:color w:val="auto"/>
          <w:sz w:val="24"/>
          <w:szCs w:val="24"/>
          <w:lang w:eastAsia="zh-CN"/>
        </w:rPr>
        <w:t>）</w:t>
      </w:r>
      <w:r>
        <w:rPr>
          <w:rFonts w:hint="eastAsia" w:ascii="宋体" w:hAnsi="宋体" w:eastAsia="宋体" w:cs="宋体"/>
          <w:i w:val="0"/>
          <w:iCs w:val="0"/>
          <w:color w:val="auto"/>
          <w:sz w:val="24"/>
          <w:szCs w:val="24"/>
        </w:rPr>
        <w:t>标明的价格应为履行合同的固定综合单价，合同有效期内合同单价一次包死。最终结算价格以固定综合单价乘以实际供货数量的合计为准。</w:t>
      </w:r>
    </w:p>
    <w:p w14:paraId="21B6156A">
      <w:pPr>
        <w:numPr>
          <w:ilvl w:val="0"/>
          <w:numId w:val="0"/>
        </w:numPr>
        <w:spacing w:line="360" w:lineRule="auto"/>
        <w:ind w:firstLine="480" w:firstLineChars="20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投标报价表中</w:t>
      </w:r>
      <w:r>
        <w:rPr>
          <w:rFonts w:hint="eastAsia" w:cs="宋体"/>
          <w:i w:val="0"/>
          <w:iCs w:val="0"/>
          <w:color w:val="auto"/>
          <w:sz w:val="24"/>
          <w:szCs w:val="24"/>
          <w:lang w:eastAsia="zh-CN"/>
        </w:rPr>
        <w:t>面制品</w:t>
      </w:r>
      <w:r>
        <w:rPr>
          <w:rFonts w:hint="eastAsia" w:ascii="宋体" w:hAnsi="宋体" w:eastAsia="宋体" w:cs="宋体"/>
          <w:i w:val="0"/>
          <w:iCs w:val="0"/>
          <w:color w:val="auto"/>
          <w:sz w:val="24"/>
          <w:szCs w:val="24"/>
        </w:rPr>
        <w:t>标明的价格为总价，最终结算价格单价因此类原辅料价格因市场行情波动较大，需采取市场采价确定。具体为汉滨区教体局联合区发改部门及各学校成立询价小组，选择在汉滨城区3家及以上大型商超及农贸市场进行询价。每月开展两次市场采价询价工作，将每次所取的市场均价作为后半月的结算价。故每</w:t>
      </w:r>
      <w:r>
        <w:rPr>
          <w:rFonts w:hint="eastAsia" w:cs="宋体"/>
          <w:i w:val="0"/>
          <w:iCs w:val="0"/>
          <w:color w:val="auto"/>
          <w:sz w:val="24"/>
          <w:szCs w:val="24"/>
          <w:lang w:val="en-US" w:eastAsia="zh-CN"/>
        </w:rPr>
        <w:t>次</w:t>
      </w:r>
      <w:r>
        <w:rPr>
          <w:rFonts w:hint="eastAsia" w:ascii="宋体" w:hAnsi="宋体" w:eastAsia="宋体" w:cs="宋体"/>
          <w:i w:val="0"/>
          <w:iCs w:val="0"/>
          <w:color w:val="auto"/>
          <w:sz w:val="24"/>
          <w:szCs w:val="24"/>
        </w:rPr>
        <w:t>结算单价的计算方式为：所取的市场均价为基准*（1－优惠率），依据实际供货量据实结算。</w:t>
      </w:r>
    </w:p>
    <w:p w14:paraId="6EB79CF0">
      <w:pPr>
        <w:numPr>
          <w:ilvl w:val="0"/>
          <w:numId w:val="0"/>
        </w:numPr>
        <w:spacing w:line="360" w:lineRule="auto"/>
        <w:ind w:firstLine="480" w:firstLineChars="200"/>
        <w:rPr>
          <w:rFonts w:hint="eastAsia"/>
          <w:color w:val="auto"/>
        </w:rPr>
      </w:pPr>
      <w:r>
        <w:rPr>
          <w:rFonts w:hint="eastAsia" w:ascii="宋体" w:hAnsi="宋体" w:eastAsia="宋体" w:cs="宋体"/>
          <w:i w:val="0"/>
          <w:iCs w:val="0"/>
          <w:color w:val="auto"/>
          <w:sz w:val="24"/>
          <w:szCs w:val="24"/>
        </w:rPr>
        <w:t>投标报价表中</w:t>
      </w:r>
      <w:r>
        <w:rPr>
          <w:rFonts w:hint="eastAsia" w:ascii="宋体" w:hAnsi="宋体" w:eastAsia="宋体" w:cs="宋体"/>
          <w:i w:val="0"/>
          <w:iCs w:val="0"/>
          <w:color w:val="auto"/>
          <w:sz w:val="24"/>
          <w:szCs w:val="24"/>
          <w:lang w:eastAsia="zh-CN"/>
        </w:rPr>
        <w:t>牛奶</w:t>
      </w:r>
      <w:r>
        <w:rPr>
          <w:rFonts w:hint="eastAsia" w:ascii="宋体" w:hAnsi="宋体" w:eastAsia="宋体" w:cs="宋体"/>
          <w:i w:val="0"/>
          <w:iCs w:val="0"/>
          <w:color w:val="auto"/>
          <w:sz w:val="24"/>
          <w:szCs w:val="24"/>
        </w:rPr>
        <w:t>标明的价格为总价，最终结算价格单价因此类原辅料价格因市场行情波动较大，需采取市场采价确定。具体为汉滨区教体局联合区发改部门及各学校成立询价小组，选择在汉滨城区3家及以上大型商超及农贸市场进行询价。每月开展两次市场采价询价工作，将每次所取的市场均价作为后半月的结算价。故每</w:t>
      </w:r>
      <w:r>
        <w:rPr>
          <w:rFonts w:hint="eastAsia" w:cs="宋体"/>
          <w:i w:val="0"/>
          <w:iCs w:val="0"/>
          <w:color w:val="auto"/>
          <w:sz w:val="24"/>
          <w:szCs w:val="24"/>
          <w:lang w:val="en-US" w:eastAsia="zh-CN"/>
        </w:rPr>
        <w:t>次</w:t>
      </w:r>
      <w:r>
        <w:rPr>
          <w:rFonts w:hint="eastAsia" w:ascii="宋体" w:hAnsi="宋体" w:eastAsia="宋体" w:cs="宋体"/>
          <w:i w:val="0"/>
          <w:iCs w:val="0"/>
          <w:color w:val="auto"/>
          <w:sz w:val="24"/>
          <w:szCs w:val="24"/>
        </w:rPr>
        <w:t>结算单价的计算方式为：所取的市场均价为基准*（1－优惠率），依据实际供货量据实结算。</w:t>
      </w:r>
    </w:p>
    <w:p w14:paraId="2C81630E">
      <w:pPr>
        <w:numPr>
          <w:ilvl w:val="0"/>
          <w:numId w:val="0"/>
        </w:numPr>
        <w:spacing w:line="360" w:lineRule="auto"/>
        <w:ind w:firstLine="480" w:firstLineChars="200"/>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rPr>
        <w:t>投标报价表中</w:t>
      </w:r>
      <w:r>
        <w:rPr>
          <w:rFonts w:hint="eastAsia" w:ascii="宋体" w:hAnsi="宋体" w:eastAsia="宋体" w:cs="宋体"/>
          <w:i w:val="0"/>
          <w:iCs w:val="0"/>
          <w:color w:val="auto"/>
          <w:sz w:val="24"/>
          <w:szCs w:val="24"/>
          <w:lang w:eastAsia="zh-CN"/>
        </w:rPr>
        <w:t>（杂粮）</w:t>
      </w:r>
      <w:r>
        <w:rPr>
          <w:rFonts w:hint="eastAsia" w:ascii="宋体" w:hAnsi="宋体" w:eastAsia="宋体" w:cs="宋体"/>
          <w:i w:val="0"/>
          <w:iCs w:val="0"/>
          <w:color w:val="auto"/>
          <w:sz w:val="24"/>
          <w:szCs w:val="24"/>
        </w:rPr>
        <w:t>标明的价格为总价，最终结算价格单价</w:t>
      </w:r>
      <w:r>
        <w:rPr>
          <w:rFonts w:hint="eastAsia" w:ascii="宋体" w:hAnsi="宋体" w:eastAsia="宋体" w:cs="宋体"/>
          <w:i w:val="0"/>
          <w:iCs w:val="0"/>
          <w:color w:val="auto"/>
          <w:sz w:val="24"/>
          <w:szCs w:val="24"/>
          <w:lang w:eastAsia="zh-CN"/>
        </w:rPr>
        <w:t>因</w:t>
      </w:r>
      <w:r>
        <w:rPr>
          <w:rFonts w:hint="eastAsia" w:ascii="宋体" w:hAnsi="宋体" w:eastAsia="宋体" w:cs="宋体"/>
          <w:i w:val="0"/>
          <w:iCs w:val="0"/>
          <w:color w:val="auto"/>
          <w:sz w:val="24"/>
          <w:szCs w:val="24"/>
          <w:lang w:val="en-US" w:eastAsia="zh-CN"/>
        </w:rPr>
        <w:t>此类原辅料价格因市场行情波动较大，需采取市场采价确定。具体为汉滨区教体局联合区发改部门及各学校成立询价小组，选择在汉滨城区3家及以上大型商超及农贸市场进行询价。每月开展两次市场采价询价工作，将每次所取的市场均价作为后半月的结算价</w:t>
      </w:r>
      <w:r>
        <w:rPr>
          <w:rFonts w:hint="eastAsia" w:ascii="宋体" w:hAnsi="宋体" w:eastAsia="宋体" w:cs="宋体"/>
          <w:i w:val="0"/>
          <w:iCs w:val="0"/>
          <w:color w:val="auto"/>
          <w:sz w:val="24"/>
          <w:szCs w:val="24"/>
        </w:rPr>
        <w:t>。故每</w:t>
      </w:r>
      <w:r>
        <w:rPr>
          <w:rFonts w:hint="eastAsia" w:cs="宋体"/>
          <w:i w:val="0"/>
          <w:iCs w:val="0"/>
          <w:color w:val="auto"/>
          <w:sz w:val="24"/>
          <w:szCs w:val="24"/>
          <w:lang w:val="en-US" w:eastAsia="zh-CN"/>
        </w:rPr>
        <w:t>次</w:t>
      </w:r>
      <w:r>
        <w:rPr>
          <w:rFonts w:hint="eastAsia" w:ascii="宋体" w:hAnsi="宋体" w:eastAsia="宋体" w:cs="宋体"/>
          <w:i w:val="0"/>
          <w:iCs w:val="0"/>
          <w:color w:val="auto"/>
          <w:sz w:val="24"/>
          <w:szCs w:val="24"/>
        </w:rPr>
        <w:t>结算单价</w:t>
      </w:r>
      <w:r>
        <w:rPr>
          <w:rFonts w:hint="eastAsia" w:ascii="宋体" w:hAnsi="宋体" w:eastAsia="宋体" w:cs="宋体"/>
          <w:i w:val="0"/>
          <w:iCs w:val="0"/>
          <w:color w:val="auto"/>
          <w:sz w:val="24"/>
          <w:szCs w:val="24"/>
          <w:lang w:eastAsia="zh-CN"/>
        </w:rPr>
        <w:t>的</w:t>
      </w:r>
      <w:r>
        <w:rPr>
          <w:rFonts w:hint="eastAsia" w:ascii="宋体" w:hAnsi="宋体" w:eastAsia="宋体" w:cs="宋体"/>
          <w:i w:val="0"/>
          <w:iCs w:val="0"/>
          <w:color w:val="auto"/>
          <w:sz w:val="24"/>
          <w:szCs w:val="24"/>
        </w:rPr>
        <w:t>计算方式为</w:t>
      </w:r>
      <w:r>
        <w:rPr>
          <w:rFonts w:hint="eastAsia" w:ascii="宋体" w:hAnsi="宋体" w:eastAsia="宋体" w:cs="宋体"/>
          <w:i w:val="0"/>
          <w:iCs w:val="0"/>
          <w:color w:val="auto"/>
          <w:sz w:val="24"/>
          <w:szCs w:val="24"/>
          <w:lang w:eastAsia="zh-CN"/>
        </w:rPr>
        <w:t>：</w:t>
      </w:r>
      <w:r>
        <w:rPr>
          <w:rFonts w:hint="eastAsia" w:ascii="宋体" w:hAnsi="宋体" w:eastAsia="宋体" w:cs="宋体"/>
          <w:i w:val="0"/>
          <w:iCs w:val="0"/>
          <w:color w:val="auto"/>
          <w:sz w:val="24"/>
          <w:szCs w:val="24"/>
          <w:lang w:val="en-US" w:eastAsia="zh-CN"/>
        </w:rPr>
        <w:t>所取的市场均价</w:t>
      </w:r>
      <w:r>
        <w:rPr>
          <w:rFonts w:hint="eastAsia" w:ascii="宋体" w:hAnsi="宋体" w:eastAsia="宋体" w:cs="宋体"/>
          <w:i w:val="0"/>
          <w:iCs w:val="0"/>
          <w:color w:val="auto"/>
          <w:sz w:val="24"/>
          <w:szCs w:val="24"/>
        </w:rPr>
        <w:t>为基准*</w:t>
      </w:r>
      <w:r>
        <w:rPr>
          <w:rFonts w:hint="eastAsia" w:ascii="宋体" w:hAnsi="宋体" w:eastAsia="宋体" w:cs="宋体"/>
          <w:i w:val="0"/>
          <w:iCs w:val="0"/>
          <w:color w:val="auto"/>
          <w:sz w:val="24"/>
          <w:szCs w:val="24"/>
          <w:lang w:eastAsia="zh-CN"/>
        </w:rPr>
        <w:t>（</w:t>
      </w:r>
      <w:r>
        <w:rPr>
          <w:rFonts w:hint="eastAsia" w:ascii="宋体" w:hAnsi="宋体" w:eastAsia="宋体" w:cs="宋体"/>
          <w:i w:val="0"/>
          <w:iCs w:val="0"/>
          <w:color w:val="auto"/>
          <w:sz w:val="24"/>
          <w:szCs w:val="24"/>
        </w:rPr>
        <w:t>1</w:t>
      </w:r>
      <w:r>
        <w:rPr>
          <w:rFonts w:hint="eastAsia" w:ascii="宋体" w:hAnsi="宋体" w:eastAsia="宋体" w:cs="宋体"/>
          <w:i w:val="0"/>
          <w:iCs w:val="0"/>
          <w:color w:val="auto"/>
          <w:sz w:val="24"/>
          <w:szCs w:val="24"/>
          <w:lang w:eastAsia="zh-CN"/>
        </w:rPr>
        <w:t>－</w:t>
      </w:r>
      <w:r>
        <w:rPr>
          <w:rFonts w:hint="eastAsia" w:ascii="宋体" w:hAnsi="宋体" w:eastAsia="宋体" w:cs="宋体"/>
          <w:i w:val="0"/>
          <w:iCs w:val="0"/>
          <w:color w:val="auto"/>
          <w:sz w:val="24"/>
          <w:szCs w:val="24"/>
        </w:rPr>
        <w:t>优惠率</w:t>
      </w:r>
      <w:r>
        <w:rPr>
          <w:rFonts w:hint="eastAsia" w:ascii="宋体" w:hAnsi="宋体" w:eastAsia="宋体" w:cs="宋体"/>
          <w:i w:val="0"/>
          <w:iCs w:val="0"/>
          <w:color w:val="auto"/>
          <w:sz w:val="24"/>
          <w:szCs w:val="24"/>
          <w:lang w:eastAsia="zh-CN"/>
        </w:rPr>
        <w:t>）</w:t>
      </w:r>
      <w:r>
        <w:rPr>
          <w:rFonts w:hint="eastAsia" w:ascii="宋体" w:hAnsi="宋体" w:eastAsia="宋体" w:cs="宋体"/>
          <w:i w:val="0"/>
          <w:iCs w:val="0"/>
          <w:color w:val="auto"/>
          <w:sz w:val="24"/>
          <w:szCs w:val="24"/>
        </w:rPr>
        <w:t>，依据实际供货量据实结算</w:t>
      </w:r>
      <w:r>
        <w:rPr>
          <w:rFonts w:hint="eastAsia" w:ascii="宋体" w:hAnsi="宋体" w:eastAsia="宋体" w:cs="宋体"/>
          <w:i w:val="0"/>
          <w:iCs w:val="0"/>
          <w:color w:val="auto"/>
          <w:sz w:val="24"/>
          <w:szCs w:val="24"/>
          <w:lang w:eastAsia="zh-CN"/>
        </w:rPr>
        <w:t>。</w:t>
      </w:r>
    </w:p>
    <w:p w14:paraId="7D22DFDE">
      <w:pPr>
        <w:numPr>
          <w:ilvl w:val="0"/>
          <w:numId w:val="0"/>
        </w:numPr>
        <w:spacing w:line="360" w:lineRule="auto"/>
        <w:ind w:firstLine="480" w:firstLineChars="200"/>
        <w:rPr>
          <w:rFonts w:hint="eastAsia" w:ascii="宋体" w:hAnsi="宋体" w:eastAsia="宋体" w:cs="宋体"/>
          <w:i w:val="0"/>
          <w:iCs w:val="0"/>
          <w:color w:val="auto"/>
          <w:sz w:val="24"/>
          <w:szCs w:val="24"/>
        </w:rPr>
      </w:pPr>
      <w:r>
        <w:rPr>
          <w:rFonts w:hint="eastAsia" w:cs="宋体"/>
          <w:i w:val="0"/>
          <w:iCs w:val="0"/>
          <w:color w:val="auto"/>
          <w:sz w:val="24"/>
          <w:szCs w:val="24"/>
          <w:lang w:val="en-US" w:eastAsia="zh-CN"/>
        </w:rPr>
        <w:t>3.</w:t>
      </w:r>
      <w:r>
        <w:rPr>
          <w:rFonts w:hint="eastAsia" w:ascii="宋体" w:hAnsi="宋体" w:eastAsia="宋体" w:cs="宋体"/>
          <w:i w:val="0"/>
          <w:iCs w:val="0"/>
          <w:color w:val="auto"/>
          <w:sz w:val="24"/>
          <w:szCs w:val="24"/>
        </w:rPr>
        <w:t>合同包二、</w:t>
      </w:r>
      <w:r>
        <w:rPr>
          <w:rFonts w:hint="eastAsia" w:cs="宋体"/>
          <w:i w:val="0"/>
          <w:iCs w:val="0"/>
          <w:color w:val="auto"/>
          <w:sz w:val="24"/>
          <w:szCs w:val="24"/>
          <w:lang w:eastAsia="zh-CN"/>
        </w:rPr>
        <w:t>合同包三：</w:t>
      </w:r>
    </w:p>
    <w:p w14:paraId="4B2D395B">
      <w:pPr>
        <w:numPr>
          <w:ilvl w:val="0"/>
          <w:numId w:val="0"/>
        </w:numPr>
        <w:spacing w:line="360" w:lineRule="auto"/>
        <w:ind w:firstLine="480" w:firstLineChars="200"/>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rPr>
        <w:t>投标报价表中</w:t>
      </w:r>
      <w:r>
        <w:rPr>
          <w:rFonts w:hint="eastAsia" w:cs="宋体"/>
          <w:i w:val="0"/>
          <w:iCs w:val="0"/>
          <w:color w:val="auto"/>
          <w:sz w:val="24"/>
          <w:szCs w:val="24"/>
          <w:lang w:eastAsia="zh-CN"/>
        </w:rPr>
        <w:t>（</w:t>
      </w:r>
      <w:r>
        <w:rPr>
          <w:rFonts w:hint="eastAsia" w:ascii="宋体" w:hAnsi="宋体" w:eastAsia="宋体" w:cs="宋体"/>
          <w:i w:val="0"/>
          <w:iCs w:val="0"/>
          <w:color w:val="auto"/>
          <w:sz w:val="24"/>
          <w:szCs w:val="24"/>
          <w:lang w:val="en-US" w:eastAsia="zh-CN"/>
        </w:rPr>
        <w:t>肉类食材和鸡蛋</w:t>
      </w:r>
      <w:r>
        <w:rPr>
          <w:rFonts w:hint="eastAsia" w:cs="宋体"/>
          <w:i w:val="0"/>
          <w:iCs w:val="0"/>
          <w:color w:val="auto"/>
          <w:sz w:val="24"/>
          <w:szCs w:val="24"/>
          <w:lang w:eastAsia="zh-CN"/>
        </w:rPr>
        <w:t>）</w:t>
      </w:r>
      <w:r>
        <w:rPr>
          <w:rFonts w:hint="eastAsia" w:ascii="宋体" w:hAnsi="宋体" w:eastAsia="宋体" w:cs="宋体"/>
          <w:i w:val="0"/>
          <w:iCs w:val="0"/>
          <w:color w:val="auto"/>
          <w:sz w:val="24"/>
          <w:szCs w:val="24"/>
        </w:rPr>
        <w:t>标明的价格为总价，</w:t>
      </w:r>
      <w:r>
        <w:rPr>
          <w:rFonts w:hint="eastAsia" w:ascii="宋体" w:hAnsi="宋体" w:eastAsia="宋体" w:cs="宋体"/>
          <w:i w:val="0"/>
          <w:iCs w:val="0"/>
          <w:color w:val="auto"/>
          <w:sz w:val="24"/>
          <w:szCs w:val="24"/>
          <w:shd w:val="clear" w:color="auto" w:fill="auto"/>
        </w:rPr>
        <w:t>最终结算价格单价</w:t>
      </w:r>
      <w:r>
        <w:rPr>
          <w:rFonts w:hint="eastAsia" w:ascii="宋体" w:hAnsi="宋体" w:eastAsia="宋体" w:cs="宋体"/>
          <w:i w:val="0"/>
          <w:iCs w:val="0"/>
          <w:color w:val="auto"/>
          <w:sz w:val="24"/>
          <w:szCs w:val="24"/>
          <w:shd w:val="clear" w:color="auto" w:fill="auto"/>
          <w:lang w:eastAsia="zh-CN"/>
        </w:rPr>
        <w:t>因</w:t>
      </w:r>
      <w:r>
        <w:rPr>
          <w:rFonts w:hint="eastAsia" w:ascii="宋体" w:hAnsi="宋体" w:eastAsia="宋体" w:cs="宋体"/>
          <w:i w:val="0"/>
          <w:iCs w:val="0"/>
          <w:color w:val="auto"/>
          <w:sz w:val="24"/>
          <w:szCs w:val="24"/>
          <w:shd w:val="clear" w:color="auto" w:fill="auto"/>
          <w:lang w:val="en-US" w:eastAsia="zh-CN"/>
        </w:rPr>
        <w:t>此类原辅料价格因市场行情波动较大，需采取市场采价确定。</w:t>
      </w:r>
      <w:r>
        <w:rPr>
          <w:rFonts w:hint="eastAsia" w:ascii="宋体" w:hAnsi="宋体" w:eastAsia="宋体" w:cs="宋体"/>
          <w:i w:val="0"/>
          <w:iCs w:val="0"/>
          <w:color w:val="auto"/>
          <w:sz w:val="24"/>
          <w:szCs w:val="24"/>
          <w:highlight w:val="none"/>
          <w:u w:val="none"/>
          <w:lang w:val="en-US" w:eastAsia="zh-CN"/>
        </w:rPr>
        <w:t>具体为汉滨区教体局联合区发改部门及各学校成立询价小组，选择在汉滨城区3家及以上大型商超及农贸市场进行询价。每月开展两次市场采价询价工作（调味品可每学期采价1至2次），将每次所取的市场均价作为后半月的结算价</w:t>
      </w:r>
      <w:r>
        <w:rPr>
          <w:rFonts w:hint="eastAsia" w:ascii="宋体" w:hAnsi="宋体" w:eastAsia="宋体" w:cs="宋体"/>
          <w:i w:val="0"/>
          <w:iCs w:val="0"/>
          <w:color w:val="auto"/>
          <w:sz w:val="24"/>
          <w:szCs w:val="24"/>
          <w:u w:val="none"/>
          <w:shd w:val="clear" w:color="auto" w:fill="auto"/>
        </w:rPr>
        <w:t>。</w:t>
      </w:r>
      <w:r>
        <w:rPr>
          <w:rFonts w:hint="eastAsia" w:ascii="宋体" w:hAnsi="宋体" w:eastAsia="宋体" w:cs="宋体"/>
          <w:i w:val="0"/>
          <w:iCs w:val="0"/>
          <w:color w:val="auto"/>
          <w:sz w:val="24"/>
          <w:szCs w:val="24"/>
        </w:rPr>
        <w:t>故每</w:t>
      </w:r>
      <w:r>
        <w:rPr>
          <w:rFonts w:hint="eastAsia" w:cs="宋体"/>
          <w:i w:val="0"/>
          <w:iCs w:val="0"/>
          <w:color w:val="auto"/>
          <w:sz w:val="24"/>
          <w:szCs w:val="24"/>
          <w:lang w:val="en-US" w:eastAsia="zh-CN"/>
        </w:rPr>
        <w:t>次</w:t>
      </w:r>
      <w:r>
        <w:rPr>
          <w:rFonts w:hint="eastAsia" w:ascii="宋体" w:hAnsi="宋体" w:eastAsia="宋体" w:cs="宋体"/>
          <w:i w:val="0"/>
          <w:iCs w:val="0"/>
          <w:color w:val="auto"/>
          <w:sz w:val="24"/>
          <w:szCs w:val="24"/>
        </w:rPr>
        <w:t>结算单价</w:t>
      </w:r>
      <w:r>
        <w:rPr>
          <w:rFonts w:hint="eastAsia" w:cs="宋体"/>
          <w:i w:val="0"/>
          <w:iCs w:val="0"/>
          <w:color w:val="auto"/>
          <w:sz w:val="24"/>
          <w:szCs w:val="24"/>
          <w:lang w:eastAsia="zh-CN"/>
        </w:rPr>
        <w:t>的</w:t>
      </w:r>
      <w:r>
        <w:rPr>
          <w:rFonts w:hint="eastAsia" w:ascii="宋体" w:hAnsi="宋体" w:eastAsia="宋体" w:cs="宋体"/>
          <w:i w:val="0"/>
          <w:iCs w:val="0"/>
          <w:color w:val="auto"/>
          <w:sz w:val="24"/>
          <w:szCs w:val="24"/>
        </w:rPr>
        <w:t>计算方式为</w:t>
      </w:r>
      <w:r>
        <w:rPr>
          <w:rFonts w:hint="eastAsia" w:cs="宋体"/>
          <w:i w:val="0"/>
          <w:iCs w:val="0"/>
          <w:color w:val="auto"/>
          <w:sz w:val="24"/>
          <w:szCs w:val="24"/>
          <w:lang w:eastAsia="zh-CN"/>
        </w:rPr>
        <w:t>：</w:t>
      </w:r>
      <w:r>
        <w:rPr>
          <w:rFonts w:hint="eastAsia" w:ascii="宋体" w:hAnsi="宋体" w:eastAsia="宋体" w:cs="宋体"/>
          <w:i w:val="0"/>
          <w:iCs w:val="0"/>
          <w:color w:val="auto"/>
          <w:sz w:val="24"/>
          <w:szCs w:val="24"/>
          <w:shd w:val="clear" w:color="auto" w:fill="auto"/>
          <w:lang w:val="en-US" w:eastAsia="zh-CN"/>
        </w:rPr>
        <w:t>所取的市场均价</w:t>
      </w:r>
      <w:r>
        <w:rPr>
          <w:rFonts w:hint="eastAsia" w:ascii="宋体" w:hAnsi="宋体" w:eastAsia="宋体" w:cs="宋体"/>
          <w:i w:val="0"/>
          <w:iCs w:val="0"/>
          <w:color w:val="auto"/>
          <w:sz w:val="24"/>
          <w:szCs w:val="24"/>
          <w:shd w:val="clear" w:color="auto" w:fill="auto"/>
        </w:rPr>
        <w:t>为基准*</w:t>
      </w:r>
      <w:r>
        <w:rPr>
          <w:rFonts w:hint="eastAsia" w:cs="宋体"/>
          <w:i w:val="0"/>
          <w:iCs w:val="0"/>
          <w:color w:val="auto"/>
          <w:sz w:val="24"/>
          <w:szCs w:val="24"/>
          <w:shd w:val="clear" w:color="auto" w:fill="auto"/>
          <w:lang w:eastAsia="zh-CN"/>
        </w:rPr>
        <w:t>（</w:t>
      </w:r>
      <w:r>
        <w:rPr>
          <w:rFonts w:hint="eastAsia" w:ascii="宋体" w:hAnsi="宋体" w:eastAsia="宋体" w:cs="宋体"/>
          <w:i w:val="0"/>
          <w:iCs w:val="0"/>
          <w:color w:val="auto"/>
          <w:sz w:val="24"/>
          <w:szCs w:val="24"/>
          <w:shd w:val="clear" w:color="auto" w:fill="auto"/>
        </w:rPr>
        <w:t>1</w:t>
      </w:r>
      <w:r>
        <w:rPr>
          <w:rFonts w:hint="eastAsia" w:cs="宋体"/>
          <w:i w:val="0"/>
          <w:iCs w:val="0"/>
          <w:color w:val="auto"/>
          <w:sz w:val="24"/>
          <w:szCs w:val="24"/>
          <w:shd w:val="clear" w:color="auto" w:fill="auto"/>
          <w:lang w:eastAsia="zh-CN"/>
        </w:rPr>
        <w:t>－</w:t>
      </w:r>
      <w:r>
        <w:rPr>
          <w:rFonts w:hint="eastAsia" w:ascii="宋体" w:hAnsi="宋体" w:eastAsia="宋体" w:cs="宋体"/>
          <w:i w:val="0"/>
          <w:iCs w:val="0"/>
          <w:color w:val="auto"/>
          <w:sz w:val="24"/>
          <w:szCs w:val="24"/>
          <w:shd w:val="clear" w:color="auto" w:fill="auto"/>
        </w:rPr>
        <w:t>优惠率</w:t>
      </w:r>
      <w:r>
        <w:rPr>
          <w:rFonts w:hint="eastAsia" w:cs="宋体"/>
          <w:i w:val="0"/>
          <w:iCs w:val="0"/>
          <w:color w:val="auto"/>
          <w:sz w:val="24"/>
          <w:szCs w:val="24"/>
          <w:shd w:val="clear" w:color="auto" w:fill="auto"/>
          <w:lang w:eastAsia="zh-CN"/>
        </w:rPr>
        <w:t>）</w:t>
      </w:r>
      <w:r>
        <w:rPr>
          <w:rFonts w:hint="eastAsia" w:ascii="宋体" w:hAnsi="宋体" w:eastAsia="宋体" w:cs="宋体"/>
          <w:i w:val="0"/>
          <w:iCs w:val="0"/>
          <w:color w:val="auto"/>
          <w:sz w:val="24"/>
          <w:szCs w:val="24"/>
          <w:shd w:val="clear" w:color="auto" w:fill="auto"/>
        </w:rPr>
        <w:t>，依据实际供货量据实结</w:t>
      </w:r>
      <w:r>
        <w:rPr>
          <w:rFonts w:hint="eastAsia" w:ascii="宋体" w:hAnsi="宋体" w:eastAsia="宋体" w:cs="宋体"/>
          <w:i w:val="0"/>
          <w:iCs w:val="0"/>
          <w:color w:val="auto"/>
          <w:sz w:val="24"/>
          <w:szCs w:val="24"/>
        </w:rPr>
        <w:t>算</w:t>
      </w:r>
      <w:r>
        <w:rPr>
          <w:rFonts w:hint="eastAsia" w:ascii="宋体" w:hAnsi="宋体" w:eastAsia="宋体" w:cs="宋体"/>
          <w:i w:val="0"/>
          <w:iCs w:val="0"/>
          <w:color w:val="auto"/>
          <w:sz w:val="24"/>
          <w:szCs w:val="24"/>
          <w:lang w:eastAsia="zh-CN"/>
        </w:rPr>
        <w:t>。</w:t>
      </w:r>
    </w:p>
    <w:p w14:paraId="4612591D">
      <w:pPr>
        <w:pageBreakBefore w:val="0"/>
        <w:topLinePunct w:val="0"/>
        <w:bidi w:val="0"/>
        <w:spacing w:line="500" w:lineRule="exact"/>
        <w:ind w:left="0" w:leftChars="0" w:right="0" w:rightChars="0" w:firstLine="482" w:firstLineChars="200"/>
        <w:jc w:val="both"/>
        <w:rPr>
          <w:rFonts w:hint="eastAsia"/>
          <w:b/>
          <w:bCs/>
          <w:color w:val="auto"/>
          <w:sz w:val="24"/>
          <w:szCs w:val="24"/>
          <w:lang w:val="en-US" w:eastAsia="zh-CN"/>
        </w:rPr>
      </w:pPr>
      <w:r>
        <w:rPr>
          <w:rFonts w:hint="eastAsia"/>
          <w:b/>
          <w:bCs/>
          <w:color w:val="auto"/>
          <w:sz w:val="24"/>
          <w:szCs w:val="24"/>
          <w:lang w:val="en-US" w:eastAsia="zh-CN"/>
        </w:rPr>
        <w:t>四、包装、运输：</w:t>
      </w:r>
    </w:p>
    <w:p w14:paraId="152FB7D0">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1.包装</w:t>
      </w:r>
      <w:r>
        <w:rPr>
          <w:rFonts w:hint="eastAsia" w:cs="宋体"/>
          <w:i w:val="0"/>
          <w:iCs w:val="0"/>
          <w:color w:val="auto"/>
          <w:sz w:val="24"/>
          <w:szCs w:val="24"/>
          <w:lang w:eastAsia="zh-CN"/>
        </w:rPr>
        <w:t>：</w:t>
      </w:r>
      <w:r>
        <w:rPr>
          <w:rFonts w:hint="eastAsia" w:ascii="宋体" w:hAnsi="宋体" w:eastAsia="宋体" w:cs="宋体"/>
          <w:i w:val="0"/>
          <w:iCs w:val="0"/>
          <w:color w:val="auto"/>
          <w:sz w:val="24"/>
          <w:szCs w:val="24"/>
        </w:rPr>
        <w:t>应采取防潮、防晒、防腐蚀、防震动及防止</w:t>
      </w:r>
      <w:r>
        <w:rPr>
          <w:rFonts w:hint="eastAsia" w:cs="宋体"/>
          <w:i w:val="0"/>
          <w:iCs w:val="0"/>
          <w:color w:val="auto"/>
          <w:sz w:val="24"/>
          <w:szCs w:val="24"/>
          <w:lang w:eastAsia="zh-CN"/>
        </w:rPr>
        <w:t>其他</w:t>
      </w:r>
      <w:r>
        <w:rPr>
          <w:rFonts w:hint="eastAsia" w:ascii="宋体" w:hAnsi="宋体" w:eastAsia="宋体" w:cs="宋体"/>
          <w:i w:val="0"/>
          <w:iCs w:val="0"/>
          <w:color w:val="auto"/>
          <w:sz w:val="24"/>
          <w:szCs w:val="24"/>
        </w:rPr>
        <w:t>损坏的必要措施。中标人应承担由于其包装或防护措施不妥而引起的货物锈蚀、损坏和丢失等任何损失造成的责任或费用。</w:t>
      </w:r>
    </w:p>
    <w:p w14:paraId="454D7FC6">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rPr>
        <w:t>2.运输</w:t>
      </w:r>
      <w:r>
        <w:rPr>
          <w:rFonts w:hint="eastAsia" w:cs="宋体"/>
          <w:i w:val="0"/>
          <w:iCs w:val="0"/>
          <w:color w:val="auto"/>
          <w:sz w:val="24"/>
          <w:szCs w:val="24"/>
          <w:lang w:eastAsia="zh-CN"/>
        </w:rPr>
        <w:t>：</w:t>
      </w:r>
      <w:r>
        <w:rPr>
          <w:rFonts w:hint="eastAsia" w:ascii="宋体" w:hAnsi="宋体" w:eastAsia="宋体" w:cs="宋体"/>
          <w:i w:val="0"/>
          <w:iCs w:val="0"/>
          <w:color w:val="auto"/>
          <w:sz w:val="24"/>
          <w:szCs w:val="24"/>
        </w:rPr>
        <w:t>中标人负责所有货物的运输。选择运输风险小、运费低、距离短的运输路线，确保货物安全、完整到达使用地点，运杂费用包含在总价内，包括货物从供货地点到使用地点的运输费、装卸费、搬运费等</w:t>
      </w:r>
      <w:r>
        <w:rPr>
          <w:rFonts w:hint="eastAsia" w:ascii="宋体" w:hAnsi="宋体" w:eastAsia="宋体" w:cs="宋体"/>
          <w:i w:val="0"/>
          <w:iCs w:val="0"/>
          <w:color w:val="auto"/>
          <w:sz w:val="24"/>
          <w:szCs w:val="24"/>
          <w:lang w:eastAsia="zh-CN"/>
        </w:rPr>
        <w:t>。</w:t>
      </w:r>
    </w:p>
    <w:p w14:paraId="0F907DE2">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rPr>
        <w:t>3</w:t>
      </w:r>
      <w:r>
        <w:rPr>
          <w:rFonts w:hint="eastAsia" w:cs="宋体"/>
          <w:i w:val="0"/>
          <w:iCs w:val="0"/>
          <w:color w:val="auto"/>
          <w:sz w:val="24"/>
          <w:szCs w:val="24"/>
          <w:lang w:val="en-US" w:eastAsia="zh-CN"/>
        </w:rPr>
        <w:t>.</w:t>
      </w:r>
      <w:r>
        <w:rPr>
          <w:rFonts w:hint="eastAsia" w:ascii="宋体" w:hAnsi="宋体" w:eastAsia="宋体" w:cs="宋体"/>
          <w:i w:val="0"/>
          <w:iCs w:val="0"/>
          <w:color w:val="auto"/>
          <w:sz w:val="24"/>
          <w:szCs w:val="24"/>
        </w:rPr>
        <w:t>所有货物在运输、装卸、搬运的过程中，造成采购损失的，由中标人负责</w:t>
      </w:r>
      <w:r>
        <w:rPr>
          <w:rFonts w:hint="eastAsia" w:ascii="宋体" w:hAnsi="宋体" w:eastAsia="宋体" w:cs="宋体"/>
          <w:i w:val="0"/>
          <w:iCs w:val="0"/>
          <w:color w:val="auto"/>
          <w:sz w:val="24"/>
          <w:szCs w:val="24"/>
          <w:lang w:eastAsia="zh-CN"/>
        </w:rPr>
        <w:t>。</w:t>
      </w:r>
    </w:p>
    <w:p w14:paraId="3C2B218A">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lang w:val="en-US" w:eastAsia="zh-CN"/>
        </w:rPr>
        <w:t>4</w:t>
      </w:r>
      <w:r>
        <w:rPr>
          <w:rFonts w:hint="eastAsia" w:cs="宋体"/>
          <w:i w:val="0"/>
          <w:iCs w:val="0"/>
          <w:color w:val="auto"/>
          <w:sz w:val="24"/>
          <w:szCs w:val="24"/>
          <w:lang w:val="en-US" w:eastAsia="zh-CN"/>
        </w:rPr>
        <w:t>.</w:t>
      </w:r>
      <w:r>
        <w:rPr>
          <w:rFonts w:hint="eastAsia" w:ascii="宋体" w:hAnsi="宋体" w:eastAsia="宋体" w:cs="宋体"/>
          <w:i w:val="0"/>
          <w:iCs w:val="0"/>
          <w:color w:val="auto"/>
          <w:sz w:val="24"/>
          <w:szCs w:val="24"/>
          <w:lang w:eastAsia="zh-CN"/>
        </w:rPr>
        <w:t>中标人可根据交货期、运输条件自行选择运输方式</w:t>
      </w:r>
      <w:r>
        <w:rPr>
          <w:rFonts w:hint="eastAsia" w:cs="宋体"/>
          <w:i w:val="0"/>
          <w:iCs w:val="0"/>
          <w:color w:val="auto"/>
          <w:sz w:val="24"/>
          <w:szCs w:val="24"/>
          <w:lang w:eastAsia="zh-CN"/>
        </w:rPr>
        <w:t>（</w:t>
      </w:r>
      <w:r>
        <w:rPr>
          <w:rFonts w:hint="eastAsia" w:ascii="宋体" w:hAnsi="宋体" w:eastAsia="宋体" w:cs="宋体"/>
          <w:i w:val="0"/>
          <w:iCs w:val="0"/>
          <w:color w:val="auto"/>
          <w:sz w:val="24"/>
          <w:szCs w:val="24"/>
          <w:lang w:eastAsia="zh-CN"/>
        </w:rPr>
        <w:t>另有规定的除外</w:t>
      </w:r>
      <w:r>
        <w:rPr>
          <w:rFonts w:hint="eastAsia" w:cs="宋体"/>
          <w:i w:val="0"/>
          <w:iCs w:val="0"/>
          <w:color w:val="auto"/>
          <w:sz w:val="24"/>
          <w:szCs w:val="24"/>
          <w:lang w:eastAsia="zh-CN"/>
        </w:rPr>
        <w:t>）</w:t>
      </w:r>
      <w:r>
        <w:rPr>
          <w:rFonts w:hint="eastAsia" w:ascii="宋体" w:hAnsi="宋体" w:eastAsia="宋体" w:cs="宋体"/>
          <w:i w:val="0"/>
          <w:iCs w:val="0"/>
          <w:color w:val="auto"/>
          <w:sz w:val="24"/>
          <w:szCs w:val="24"/>
          <w:lang w:eastAsia="zh-CN"/>
        </w:rPr>
        <w:t>，承担一切运输费用。</w:t>
      </w:r>
    </w:p>
    <w:p w14:paraId="253F5BAD">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i w:val="0"/>
          <w:iCs w:val="0"/>
          <w:color w:val="auto"/>
          <w:sz w:val="32"/>
          <w:szCs w:val="32"/>
          <w:lang w:eastAsia="zh-CN"/>
        </w:rPr>
      </w:pPr>
      <w:r>
        <w:rPr>
          <w:rFonts w:hint="eastAsia" w:ascii="宋体" w:hAnsi="宋体" w:eastAsia="宋体" w:cs="宋体"/>
          <w:i w:val="0"/>
          <w:iCs w:val="0"/>
          <w:color w:val="auto"/>
          <w:sz w:val="24"/>
          <w:szCs w:val="24"/>
          <w:lang w:eastAsia="zh-CN"/>
        </w:rPr>
        <w:t>5</w:t>
      </w:r>
      <w:r>
        <w:rPr>
          <w:rFonts w:hint="eastAsia" w:cs="宋体"/>
          <w:i w:val="0"/>
          <w:iCs w:val="0"/>
          <w:color w:val="auto"/>
          <w:sz w:val="24"/>
          <w:szCs w:val="24"/>
          <w:lang w:val="en-US" w:eastAsia="zh-CN"/>
        </w:rPr>
        <w:t>.</w:t>
      </w:r>
      <w:r>
        <w:rPr>
          <w:rFonts w:hint="eastAsia" w:ascii="宋体" w:hAnsi="宋体" w:eastAsia="宋体" w:cs="宋体"/>
          <w:i w:val="0"/>
          <w:iCs w:val="0"/>
          <w:color w:val="auto"/>
          <w:sz w:val="24"/>
          <w:szCs w:val="24"/>
          <w:lang w:eastAsia="zh-CN"/>
        </w:rPr>
        <w:t>合同履行过程中，出现人身伤亡事故的，全部责任由供应商承担，采购人不承担任何经济及法律连带责任</w:t>
      </w:r>
      <w:r>
        <w:rPr>
          <w:rFonts w:hint="eastAsia" w:ascii="仿宋" w:hAnsi="仿宋" w:eastAsia="仿宋"/>
          <w:i w:val="0"/>
          <w:iCs w:val="0"/>
          <w:color w:val="auto"/>
          <w:sz w:val="32"/>
          <w:szCs w:val="32"/>
          <w:lang w:eastAsia="zh-CN"/>
        </w:rPr>
        <w:t>。</w:t>
      </w:r>
    </w:p>
    <w:p w14:paraId="3ACB9E1A">
      <w:pPr>
        <w:pageBreakBefore w:val="0"/>
        <w:topLinePunct w:val="0"/>
        <w:bidi w:val="0"/>
        <w:spacing w:line="500" w:lineRule="exact"/>
        <w:ind w:left="0" w:leftChars="0" w:right="0" w:rightChars="0" w:firstLine="482" w:firstLineChars="200"/>
        <w:jc w:val="both"/>
        <w:rPr>
          <w:rFonts w:hint="default"/>
          <w:b/>
          <w:bCs/>
          <w:color w:val="auto"/>
          <w:sz w:val="24"/>
          <w:szCs w:val="24"/>
          <w:lang w:val="en-US" w:eastAsia="zh-CN"/>
        </w:rPr>
      </w:pPr>
      <w:r>
        <w:rPr>
          <w:rFonts w:hint="eastAsia"/>
          <w:b/>
          <w:bCs/>
          <w:color w:val="auto"/>
          <w:sz w:val="24"/>
          <w:szCs w:val="24"/>
          <w:lang w:val="en-US" w:eastAsia="zh-CN"/>
        </w:rPr>
        <w:t>五、其他要求：</w:t>
      </w:r>
    </w:p>
    <w:p w14:paraId="500BA6DC">
      <w:pPr>
        <w:pStyle w:val="8"/>
        <w:keepNext w:val="0"/>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bidi="zh-CN"/>
        </w:rPr>
      </w:pPr>
      <w:r>
        <w:rPr>
          <w:rFonts w:hint="eastAsia" w:cs="宋体"/>
          <w:color w:val="auto"/>
          <w:sz w:val="24"/>
          <w:szCs w:val="24"/>
          <w:highlight w:val="none"/>
          <w:lang w:val="en-US" w:eastAsia="zh-CN" w:bidi="zh-CN"/>
        </w:rPr>
        <w:t>1.</w:t>
      </w:r>
      <w:r>
        <w:rPr>
          <w:rFonts w:hint="eastAsia" w:ascii="宋体" w:hAnsi="宋体" w:eastAsia="宋体" w:cs="宋体"/>
          <w:color w:val="auto"/>
          <w:sz w:val="24"/>
          <w:szCs w:val="24"/>
          <w:highlight w:val="none"/>
          <w:lang w:val="en-US" w:eastAsia="zh-CN" w:bidi="zh-CN"/>
        </w:rPr>
        <w:t>因运输装卸过程中造成的损耗（例如包装严重变形、破损、食品污染、变异等）、发现的破损、变异食品必须无条件一对一更换。</w:t>
      </w:r>
    </w:p>
    <w:p w14:paraId="119FD0D5">
      <w:pPr>
        <w:pStyle w:val="8"/>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highlight w:val="none"/>
          <w:lang w:val="en-US" w:eastAsia="zh-CN" w:bidi="zh-CN"/>
        </w:rPr>
      </w:pPr>
      <w:r>
        <w:rPr>
          <w:rFonts w:hint="eastAsia" w:cs="宋体"/>
          <w:color w:val="auto"/>
          <w:sz w:val="24"/>
          <w:szCs w:val="24"/>
          <w:highlight w:val="none"/>
          <w:lang w:val="en-US" w:eastAsia="zh-CN" w:bidi="zh-CN"/>
        </w:rPr>
        <w:t>2.</w:t>
      </w:r>
      <w:r>
        <w:rPr>
          <w:rFonts w:hint="eastAsia" w:ascii="宋体" w:hAnsi="宋体" w:eastAsia="宋体" w:cs="宋体"/>
          <w:color w:val="auto"/>
          <w:sz w:val="24"/>
          <w:szCs w:val="24"/>
          <w:highlight w:val="none"/>
          <w:lang w:val="en-US" w:eastAsia="zh-CN" w:bidi="zh-CN"/>
        </w:rPr>
        <w:t>保质期出现的质量问题由供应商负责解决并承担所有费用。如因质量问题意外食用，造成实际伤害及损失，将由供应商承担全部责任。供货商送货时应随货送上一式二联的送货清单，供货商一份、使用学校一份。</w:t>
      </w:r>
    </w:p>
    <w:p w14:paraId="24743472">
      <w:pPr>
        <w:pStyle w:val="8"/>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highlight w:val="none"/>
          <w:lang w:val="en-US" w:eastAsia="zh-CN" w:bidi="zh-CN"/>
        </w:rPr>
      </w:pPr>
      <w:r>
        <w:rPr>
          <w:rFonts w:hint="eastAsia" w:cs="宋体"/>
          <w:color w:val="auto"/>
          <w:sz w:val="24"/>
          <w:szCs w:val="24"/>
          <w:highlight w:val="none"/>
          <w:lang w:val="en-US" w:eastAsia="zh-CN" w:bidi="zh-CN"/>
        </w:rPr>
        <w:t>3.</w:t>
      </w:r>
      <w:r>
        <w:rPr>
          <w:rFonts w:hint="eastAsia" w:ascii="宋体" w:hAnsi="宋体" w:eastAsia="宋体" w:cs="宋体"/>
          <w:color w:val="auto"/>
          <w:sz w:val="24"/>
          <w:szCs w:val="24"/>
          <w:highlight w:val="none"/>
          <w:lang w:val="en-US" w:eastAsia="zh-CN" w:bidi="zh-CN"/>
        </w:rPr>
        <w:t>送货车辆及工用具必须保持清洁卫生。每次运输车辆前应进行清洗消毒并做好记录，在运输装卸过程中也应注意保持清洁，肉类有专用冷链车运输或在保证食材不变质、不污染条件下的其他无交叉污染冷鲜运输方式。</w:t>
      </w:r>
    </w:p>
    <w:p w14:paraId="05792331">
      <w:pPr>
        <w:pStyle w:val="8"/>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highlight w:val="none"/>
          <w:lang w:val="en-US" w:eastAsia="zh-CN" w:bidi="zh-CN"/>
        </w:rPr>
      </w:pPr>
      <w:r>
        <w:rPr>
          <w:rFonts w:hint="eastAsia" w:cs="宋体"/>
          <w:color w:val="auto"/>
          <w:sz w:val="24"/>
          <w:szCs w:val="24"/>
          <w:highlight w:val="none"/>
          <w:lang w:val="en-US" w:eastAsia="zh-CN" w:bidi="zh-CN"/>
        </w:rPr>
        <w:t>4.</w:t>
      </w:r>
      <w:r>
        <w:rPr>
          <w:rFonts w:hint="eastAsia" w:ascii="宋体" w:hAnsi="宋体" w:eastAsia="宋体" w:cs="宋体"/>
          <w:color w:val="auto"/>
          <w:sz w:val="24"/>
          <w:szCs w:val="24"/>
          <w:highlight w:val="none"/>
          <w:lang w:val="en-US" w:eastAsia="zh-CN" w:bidi="zh-CN"/>
        </w:rPr>
        <w:t>在执行合同期间，使用单位会不定时进行抽检考核，对存在提供劣质产品、违反</w:t>
      </w:r>
      <w:r>
        <w:rPr>
          <w:rFonts w:hint="eastAsia" w:cs="宋体"/>
          <w:color w:val="auto"/>
          <w:sz w:val="24"/>
          <w:szCs w:val="24"/>
          <w:highlight w:val="none"/>
          <w:lang w:val="en-US" w:eastAsia="zh-CN" w:bidi="zh-CN"/>
        </w:rPr>
        <w:t>合同</w:t>
      </w:r>
      <w:r>
        <w:rPr>
          <w:rFonts w:hint="eastAsia" w:ascii="宋体" w:hAnsi="宋体" w:eastAsia="宋体" w:cs="宋体"/>
          <w:color w:val="auto"/>
          <w:sz w:val="24"/>
          <w:szCs w:val="24"/>
          <w:highlight w:val="none"/>
          <w:lang w:val="en-US" w:eastAsia="zh-CN" w:bidi="zh-CN"/>
        </w:rPr>
        <w:t>造成恶劣影响的、供应过程中不积极配合，服务态度较差的中标供应商，采购人将会出具书面文件酌情对其进行终止合同或调整供应区域。所造成的损失供货商应负全部责任。</w:t>
      </w:r>
    </w:p>
    <w:p w14:paraId="5B968F7A">
      <w:pPr>
        <w:pStyle w:val="8"/>
        <w:keepNext w:val="0"/>
        <w:keepLines w:val="0"/>
        <w:pageBreakBefore w:val="0"/>
        <w:kinsoku/>
        <w:wordWrap/>
        <w:overflowPunct/>
        <w:topLinePunct w:val="0"/>
        <w:bidi w:val="0"/>
        <w:adjustRightInd/>
        <w:snapToGrid/>
        <w:spacing w:line="360" w:lineRule="auto"/>
        <w:ind w:left="0" w:leftChars="0" w:right="0" w:rightChars="0" w:firstLine="482" w:firstLineChars="200"/>
        <w:textAlignment w:val="auto"/>
        <w:rPr>
          <w:rFonts w:hint="eastAsia" w:ascii="宋体" w:hAnsi="宋体" w:eastAsia="宋体" w:cs="宋体"/>
          <w:color w:val="auto"/>
          <w:sz w:val="24"/>
          <w:szCs w:val="24"/>
          <w:highlight w:val="none"/>
          <w:lang w:val="en-US" w:eastAsia="zh-CN" w:bidi="zh-CN"/>
        </w:rPr>
      </w:pPr>
      <w:r>
        <w:rPr>
          <w:rFonts w:hint="eastAsia" w:cs="宋体"/>
          <w:b/>
          <w:bCs/>
          <w:color w:val="auto"/>
          <w:sz w:val="24"/>
          <w:szCs w:val="24"/>
          <w:highlight w:val="none"/>
          <w:lang w:val="en-US" w:eastAsia="zh-CN" w:bidi="zh-CN"/>
        </w:rPr>
        <w:t>5.</w:t>
      </w:r>
      <w:r>
        <w:rPr>
          <w:rFonts w:hint="eastAsia" w:ascii="宋体" w:hAnsi="宋体" w:eastAsia="宋体" w:cs="宋体"/>
          <w:b/>
          <w:bCs/>
          <w:color w:val="auto"/>
          <w:sz w:val="24"/>
          <w:szCs w:val="24"/>
          <w:highlight w:val="none"/>
          <w:lang w:val="en-US" w:eastAsia="zh-CN" w:bidi="zh-CN"/>
        </w:rPr>
        <w:t>乙方须向汉滨区教育体育局交纳</w:t>
      </w:r>
      <w:r>
        <w:rPr>
          <w:rFonts w:hint="eastAsia" w:ascii="宋体" w:hAnsi="宋体" w:eastAsia="宋体" w:cs="宋体"/>
          <w:b/>
          <w:bCs/>
          <w:color w:val="auto"/>
          <w:sz w:val="24"/>
          <w:szCs w:val="24"/>
          <w:highlight w:val="none"/>
          <w:u w:val="single"/>
          <w:lang w:val="en-US" w:eastAsia="zh-CN" w:bidi="zh-CN"/>
        </w:rPr>
        <w:t>（不超过</w:t>
      </w:r>
      <w:r>
        <w:rPr>
          <w:rFonts w:hint="eastAsia" w:cs="宋体"/>
          <w:b/>
          <w:bCs/>
          <w:color w:val="auto"/>
          <w:sz w:val="24"/>
          <w:szCs w:val="24"/>
          <w:highlight w:val="none"/>
          <w:u w:val="single"/>
          <w:lang w:val="en-US" w:eastAsia="zh-CN" w:bidi="zh-CN"/>
        </w:rPr>
        <w:t>10%</w:t>
      </w:r>
      <w:r>
        <w:rPr>
          <w:rFonts w:hint="eastAsia" w:ascii="宋体" w:hAnsi="宋体" w:eastAsia="宋体" w:cs="宋体"/>
          <w:b/>
          <w:bCs/>
          <w:color w:val="auto"/>
          <w:sz w:val="24"/>
          <w:szCs w:val="24"/>
          <w:highlight w:val="none"/>
          <w:u w:val="single"/>
          <w:lang w:val="en-US" w:eastAsia="zh-CN" w:bidi="zh-CN"/>
        </w:rPr>
        <w:t>）</w:t>
      </w:r>
      <w:r>
        <w:rPr>
          <w:rFonts w:hint="eastAsia" w:ascii="宋体" w:hAnsi="宋体" w:eastAsia="宋体" w:cs="宋体"/>
          <w:b/>
          <w:bCs/>
          <w:color w:val="auto"/>
          <w:sz w:val="24"/>
          <w:szCs w:val="24"/>
          <w:highlight w:val="none"/>
          <w:lang w:val="en-US" w:eastAsia="zh-CN" w:bidi="zh-CN"/>
        </w:rPr>
        <w:t>履约保证金，待合同期满后无息退回，如有违约责任将从履约保证金中扣取，具体标准详见合同。</w:t>
      </w:r>
    </w:p>
    <w:p w14:paraId="233ADEC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lang w:val="en-US" w:eastAsia="zh-CN" w:bidi="zh-CN"/>
        </w:rPr>
      </w:pPr>
      <w:r>
        <w:rPr>
          <w:rFonts w:hint="eastAsia" w:ascii="宋体" w:hAnsi="宋体" w:eastAsia="宋体" w:cs="宋体"/>
          <w:b/>
          <w:bCs/>
          <w:color w:val="auto"/>
          <w:sz w:val="24"/>
          <w:szCs w:val="24"/>
          <w:lang w:val="en-US" w:eastAsia="zh-CN" w:bidi="zh-CN"/>
        </w:rPr>
        <w:t>六、验收</w:t>
      </w:r>
      <w:r>
        <w:rPr>
          <w:rFonts w:hint="eastAsia" w:cs="宋体"/>
          <w:b/>
          <w:bCs/>
          <w:color w:val="auto"/>
          <w:sz w:val="24"/>
          <w:szCs w:val="24"/>
          <w:lang w:val="en-US" w:eastAsia="zh-CN" w:bidi="zh-CN"/>
        </w:rPr>
        <w:t>：</w:t>
      </w:r>
    </w:p>
    <w:p w14:paraId="2E846A40">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lang w:val="en-US" w:eastAsia="zh-CN" w:bidi="zh-CN"/>
        </w:rPr>
      </w:pPr>
      <w:r>
        <w:rPr>
          <w:rFonts w:hint="eastAsia" w:ascii="宋体" w:hAnsi="宋体" w:eastAsia="宋体" w:cs="宋体"/>
          <w:b/>
          <w:bCs/>
          <w:color w:val="auto"/>
          <w:sz w:val="24"/>
          <w:szCs w:val="24"/>
          <w:lang w:val="en-US" w:eastAsia="zh-CN" w:bidi="zh-CN"/>
        </w:rPr>
        <w:t>合同包一至合同包</w:t>
      </w:r>
      <w:r>
        <w:rPr>
          <w:rFonts w:hint="eastAsia" w:cs="宋体"/>
          <w:b/>
          <w:bCs/>
          <w:color w:val="auto"/>
          <w:sz w:val="24"/>
          <w:szCs w:val="24"/>
          <w:lang w:val="en-US" w:eastAsia="zh-CN" w:bidi="zh-CN"/>
        </w:rPr>
        <w:t>三</w:t>
      </w:r>
      <w:r>
        <w:rPr>
          <w:rFonts w:hint="eastAsia" w:ascii="宋体" w:hAnsi="宋体" w:eastAsia="宋体" w:cs="宋体"/>
          <w:b/>
          <w:bCs/>
          <w:color w:val="auto"/>
          <w:sz w:val="24"/>
          <w:szCs w:val="24"/>
          <w:lang w:val="en-US" w:eastAsia="zh-CN" w:bidi="zh-CN"/>
        </w:rPr>
        <w:t>：</w:t>
      </w:r>
    </w:p>
    <w:p w14:paraId="587FED2C">
      <w:pPr>
        <w:pStyle w:val="8"/>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b w:val="0"/>
          <w:bCs w:val="0"/>
          <w:color w:val="auto"/>
          <w:sz w:val="24"/>
          <w:szCs w:val="24"/>
          <w:lang w:val="en-US" w:eastAsia="zh-CN" w:bidi="zh-CN"/>
        </w:rPr>
      </w:pPr>
      <w:r>
        <w:rPr>
          <w:rFonts w:hint="eastAsia" w:ascii="宋体" w:hAnsi="宋体" w:eastAsia="宋体" w:cs="宋体"/>
          <w:b w:val="0"/>
          <w:bCs w:val="0"/>
          <w:color w:val="auto"/>
          <w:sz w:val="24"/>
          <w:szCs w:val="24"/>
          <w:lang w:val="en-US" w:eastAsia="zh-CN" w:bidi="zh-CN"/>
        </w:rPr>
        <w:t>1</w:t>
      </w:r>
      <w:r>
        <w:rPr>
          <w:rFonts w:hint="eastAsia" w:cs="宋体"/>
          <w:b w:val="0"/>
          <w:bCs w:val="0"/>
          <w:color w:val="auto"/>
          <w:sz w:val="24"/>
          <w:szCs w:val="24"/>
          <w:lang w:val="en-US" w:eastAsia="zh-CN" w:bidi="zh-CN"/>
        </w:rPr>
        <w:t>.</w:t>
      </w:r>
      <w:r>
        <w:rPr>
          <w:rFonts w:hint="eastAsia" w:ascii="宋体" w:hAnsi="宋体" w:eastAsia="宋体" w:cs="宋体"/>
          <w:b w:val="0"/>
          <w:bCs w:val="0"/>
          <w:color w:val="auto"/>
          <w:sz w:val="24"/>
          <w:szCs w:val="24"/>
          <w:lang w:val="en-US" w:eastAsia="zh-CN" w:bidi="zh-CN"/>
        </w:rPr>
        <w:t>每次配送由使用学校和中标人共同对产品的外包装是否洁净、有无破损、规格、数量等进行验收。</w:t>
      </w:r>
    </w:p>
    <w:p w14:paraId="35A1E6E3">
      <w:pPr>
        <w:pStyle w:val="8"/>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b w:val="0"/>
          <w:bCs w:val="0"/>
          <w:color w:val="auto"/>
          <w:sz w:val="24"/>
          <w:szCs w:val="24"/>
          <w:lang w:val="en-US" w:eastAsia="zh-CN" w:bidi="zh-CN"/>
        </w:rPr>
      </w:pPr>
      <w:r>
        <w:rPr>
          <w:rFonts w:hint="eastAsia" w:ascii="宋体" w:hAnsi="宋体" w:eastAsia="宋体" w:cs="宋体"/>
          <w:b w:val="0"/>
          <w:bCs w:val="0"/>
          <w:color w:val="auto"/>
          <w:sz w:val="24"/>
          <w:szCs w:val="24"/>
          <w:lang w:val="en-US" w:eastAsia="zh-CN" w:bidi="zh-CN"/>
        </w:rPr>
        <w:t>2</w:t>
      </w:r>
      <w:r>
        <w:rPr>
          <w:rFonts w:hint="eastAsia" w:cs="宋体"/>
          <w:b w:val="0"/>
          <w:bCs w:val="0"/>
          <w:color w:val="auto"/>
          <w:sz w:val="24"/>
          <w:szCs w:val="24"/>
          <w:lang w:val="en-US" w:eastAsia="zh-CN" w:bidi="zh-CN"/>
        </w:rPr>
        <w:t>.</w:t>
      </w:r>
      <w:r>
        <w:rPr>
          <w:rFonts w:hint="eastAsia" w:ascii="宋体" w:hAnsi="宋体" w:eastAsia="宋体" w:cs="宋体"/>
          <w:b w:val="0"/>
          <w:bCs w:val="0"/>
          <w:color w:val="auto"/>
          <w:sz w:val="24"/>
          <w:szCs w:val="24"/>
          <w:lang w:val="en-US" w:eastAsia="zh-CN" w:bidi="zh-CN"/>
        </w:rPr>
        <w:t>中标人每次供货须向使用学校提供“供货清单”（供货清单一式二份，中标人一份，学校一份）；经验收合格后，由学校单位2人以上验收小组人员在“供货清单”上签字。</w:t>
      </w:r>
    </w:p>
    <w:p w14:paraId="3F55200F">
      <w:pPr>
        <w:pStyle w:val="8"/>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b w:val="0"/>
          <w:bCs w:val="0"/>
          <w:color w:val="auto"/>
          <w:sz w:val="24"/>
          <w:szCs w:val="24"/>
          <w:lang w:val="en-US" w:eastAsia="zh-CN" w:bidi="zh-CN"/>
        </w:rPr>
      </w:pPr>
      <w:r>
        <w:rPr>
          <w:rFonts w:hint="eastAsia" w:ascii="宋体" w:hAnsi="宋体" w:eastAsia="宋体" w:cs="宋体"/>
          <w:b w:val="0"/>
          <w:bCs w:val="0"/>
          <w:color w:val="auto"/>
          <w:sz w:val="24"/>
          <w:szCs w:val="24"/>
          <w:lang w:val="en-US" w:eastAsia="zh-CN" w:bidi="zh-CN"/>
        </w:rPr>
        <w:t>3</w:t>
      </w:r>
      <w:r>
        <w:rPr>
          <w:rFonts w:hint="eastAsia" w:cs="宋体"/>
          <w:b w:val="0"/>
          <w:bCs w:val="0"/>
          <w:color w:val="auto"/>
          <w:sz w:val="24"/>
          <w:szCs w:val="24"/>
          <w:lang w:val="en-US" w:eastAsia="zh-CN" w:bidi="zh-CN"/>
        </w:rPr>
        <w:t>.</w:t>
      </w:r>
      <w:r>
        <w:rPr>
          <w:rFonts w:hint="eastAsia" w:ascii="宋体" w:hAnsi="宋体" w:eastAsia="宋体" w:cs="宋体"/>
          <w:b w:val="0"/>
          <w:bCs w:val="0"/>
          <w:color w:val="auto"/>
          <w:sz w:val="24"/>
          <w:szCs w:val="24"/>
          <w:lang w:val="en-US" w:eastAsia="zh-CN" w:bidi="zh-CN"/>
        </w:rPr>
        <w:t>各学校及供货商须按照教育部办公厅、市场监管总局办公厅印发的《学校食堂大宗食材采购验收管理工作指引》相关规定采购验收。若验收不合格，中标人必须及时换货，保证学校的正常使用，否则采购人将终止其供货合同，并赔偿采购人的损失。</w:t>
      </w:r>
    </w:p>
    <w:p w14:paraId="15B366B5">
      <w:pPr>
        <w:pStyle w:val="8"/>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b w:val="0"/>
          <w:bCs w:val="0"/>
          <w:color w:val="auto"/>
          <w:sz w:val="24"/>
          <w:szCs w:val="24"/>
          <w:lang w:val="en-US" w:eastAsia="zh-CN" w:bidi="zh-CN"/>
        </w:rPr>
      </w:pPr>
      <w:r>
        <w:rPr>
          <w:rFonts w:hint="eastAsia" w:ascii="宋体" w:hAnsi="宋体" w:eastAsia="宋体" w:cs="宋体"/>
          <w:b w:val="0"/>
          <w:bCs w:val="0"/>
          <w:color w:val="auto"/>
          <w:sz w:val="24"/>
          <w:szCs w:val="24"/>
          <w:lang w:val="en-US" w:eastAsia="zh-CN" w:bidi="zh-CN"/>
        </w:rPr>
        <w:t>4</w:t>
      </w:r>
      <w:r>
        <w:rPr>
          <w:rFonts w:hint="eastAsia" w:cs="宋体"/>
          <w:b w:val="0"/>
          <w:bCs w:val="0"/>
          <w:color w:val="auto"/>
          <w:sz w:val="24"/>
          <w:szCs w:val="24"/>
          <w:lang w:val="en-US" w:eastAsia="zh-CN" w:bidi="zh-CN"/>
        </w:rPr>
        <w:t>.</w:t>
      </w:r>
      <w:r>
        <w:rPr>
          <w:rFonts w:hint="eastAsia" w:ascii="宋体" w:hAnsi="宋体" w:eastAsia="宋体" w:cs="宋体"/>
          <w:b w:val="0"/>
          <w:bCs w:val="0"/>
          <w:color w:val="auto"/>
          <w:sz w:val="24"/>
          <w:szCs w:val="24"/>
          <w:lang w:val="en-US" w:eastAsia="zh-CN" w:bidi="zh-CN"/>
        </w:rPr>
        <w:t>各实施学校要根据相应的管理制度，落实专门的管理人员，在货送到后要履行严格的</w:t>
      </w:r>
      <w:r>
        <w:rPr>
          <w:rFonts w:hint="eastAsia" w:cs="宋体"/>
          <w:b w:val="0"/>
          <w:bCs w:val="0"/>
          <w:color w:val="auto"/>
          <w:sz w:val="24"/>
          <w:szCs w:val="24"/>
          <w:lang w:val="en-US" w:eastAsia="zh-CN" w:bidi="zh-CN"/>
        </w:rPr>
        <w:t>食材接收验收</w:t>
      </w:r>
      <w:r>
        <w:rPr>
          <w:rFonts w:hint="eastAsia" w:ascii="宋体" w:hAnsi="宋体" w:eastAsia="宋体" w:cs="宋体"/>
          <w:b w:val="0"/>
          <w:bCs w:val="0"/>
          <w:color w:val="auto"/>
          <w:sz w:val="24"/>
          <w:szCs w:val="24"/>
          <w:lang w:val="en-US" w:eastAsia="zh-CN" w:bidi="zh-CN"/>
        </w:rPr>
        <w:t>签字手续。随货通行票据必须标明批次和数量，建立配送</w:t>
      </w:r>
      <w:r>
        <w:rPr>
          <w:rFonts w:hint="eastAsia" w:cs="宋体"/>
          <w:b w:val="0"/>
          <w:bCs w:val="0"/>
          <w:color w:val="auto"/>
          <w:sz w:val="24"/>
          <w:szCs w:val="24"/>
          <w:lang w:val="en-US" w:eastAsia="zh-CN" w:bidi="zh-CN"/>
        </w:rPr>
        <w:t>台账</w:t>
      </w:r>
      <w:r>
        <w:rPr>
          <w:rFonts w:hint="eastAsia" w:ascii="宋体" w:hAnsi="宋体" w:eastAsia="宋体" w:cs="宋体"/>
          <w:b w:val="0"/>
          <w:bCs w:val="0"/>
          <w:color w:val="auto"/>
          <w:sz w:val="24"/>
          <w:szCs w:val="24"/>
          <w:lang w:val="en-US" w:eastAsia="zh-CN" w:bidi="zh-CN"/>
        </w:rPr>
        <w:t>。</w:t>
      </w:r>
    </w:p>
    <w:p w14:paraId="1BBE8D3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lang w:val="en-US" w:eastAsia="zh-CN" w:bidi="zh-CN"/>
        </w:rPr>
      </w:pPr>
      <w:r>
        <w:rPr>
          <w:rFonts w:hint="eastAsia" w:ascii="宋体" w:hAnsi="宋体" w:eastAsia="宋体" w:cs="宋体"/>
          <w:b w:val="0"/>
          <w:bCs w:val="0"/>
          <w:color w:val="auto"/>
          <w:sz w:val="24"/>
          <w:szCs w:val="24"/>
          <w:lang w:val="en-US" w:eastAsia="zh-CN" w:bidi="zh-CN"/>
        </w:rPr>
        <w:t>5</w:t>
      </w:r>
      <w:r>
        <w:rPr>
          <w:rFonts w:hint="eastAsia" w:cs="宋体"/>
          <w:b w:val="0"/>
          <w:bCs w:val="0"/>
          <w:color w:val="auto"/>
          <w:sz w:val="24"/>
          <w:szCs w:val="24"/>
          <w:lang w:val="en-US" w:eastAsia="zh-CN" w:bidi="zh-CN"/>
        </w:rPr>
        <w:t>.</w:t>
      </w:r>
      <w:r>
        <w:rPr>
          <w:rFonts w:hint="eastAsia" w:ascii="宋体" w:hAnsi="宋体" w:eastAsia="宋体" w:cs="宋体"/>
          <w:b w:val="0"/>
          <w:bCs w:val="0"/>
          <w:color w:val="auto"/>
          <w:sz w:val="24"/>
          <w:szCs w:val="24"/>
          <w:lang w:val="en-US" w:eastAsia="zh-CN" w:bidi="zh-CN"/>
        </w:rPr>
        <w:t>留样与检查。中标人对所供食材进行留样，（留样食材的费用由中标人承担）由相关部门适时对所供产品进行抽样检查，并对检查情况建立档案，（抽检的费用由中标人承担）。抽样检查出现不合格产品的，采购单位有权终止合同，如出现因产品质量不合格发生的安全事故，由中标人负全权责任并承抯相应的经济和法律责任。</w:t>
      </w:r>
    </w:p>
    <w:p w14:paraId="5E357F3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6</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验收依据：</w:t>
      </w:r>
    </w:p>
    <w:p w14:paraId="76C0EAD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（1）合同文本及合同补充文件（条款）</w:t>
      </w:r>
    </w:p>
    <w:p w14:paraId="08F430D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（2）国家有关的验收标准及规范。</w:t>
      </w:r>
    </w:p>
    <w:p w14:paraId="220847F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（3）招标文件。</w:t>
      </w:r>
    </w:p>
    <w:p w14:paraId="34555AC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（4）中标人的投标文件</w:t>
      </w:r>
      <w:r>
        <w:rPr>
          <w:rFonts w:hint="eastAsia" w:cs="宋体"/>
          <w:color w:val="auto"/>
          <w:sz w:val="24"/>
          <w:szCs w:val="24"/>
          <w:lang w:val="en-US" w:eastAsia="zh-CN" w:bidi="zh-CN"/>
        </w:rPr>
        <w:t>。</w:t>
      </w:r>
    </w:p>
    <w:p w14:paraId="5356389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lang w:val="en-US" w:eastAsia="zh-CN" w:bidi="zh-CN"/>
        </w:rPr>
      </w:pPr>
      <w:r>
        <w:rPr>
          <w:rFonts w:hint="eastAsia" w:ascii="宋体" w:hAnsi="宋体" w:eastAsia="宋体" w:cs="宋体"/>
          <w:b/>
          <w:bCs/>
          <w:color w:val="auto"/>
          <w:sz w:val="24"/>
          <w:szCs w:val="24"/>
          <w:lang w:val="en-US" w:eastAsia="zh-CN" w:bidi="zh-CN"/>
        </w:rPr>
        <w:t>七、合同实施</w:t>
      </w:r>
      <w:r>
        <w:rPr>
          <w:rFonts w:hint="eastAsia" w:cs="宋体"/>
          <w:b/>
          <w:bCs/>
          <w:color w:val="auto"/>
          <w:sz w:val="24"/>
          <w:szCs w:val="24"/>
          <w:lang w:val="en-US" w:eastAsia="zh-CN" w:bidi="zh-CN"/>
        </w:rPr>
        <w:t>：</w:t>
      </w:r>
    </w:p>
    <w:p w14:paraId="7FC457F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1</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中标人应在合同签订后3个工作日内安排人员与采购方就送货等工作进行交接安排。</w:t>
      </w:r>
    </w:p>
    <w:p w14:paraId="71E12F5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2</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若未能在交货期内完成合同规定的义务，由此对采购人造成的延误和一切损失，由中标人承担和赔偿。</w:t>
      </w:r>
    </w:p>
    <w:p w14:paraId="2098179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lang w:val="en-US" w:eastAsia="zh-CN" w:bidi="zh-CN"/>
        </w:rPr>
      </w:pPr>
      <w:r>
        <w:rPr>
          <w:rFonts w:hint="eastAsia" w:ascii="宋体" w:hAnsi="宋体" w:eastAsia="宋体" w:cs="宋体"/>
          <w:b/>
          <w:bCs/>
          <w:color w:val="auto"/>
          <w:sz w:val="24"/>
          <w:szCs w:val="24"/>
          <w:lang w:val="en-US" w:eastAsia="zh-CN" w:bidi="zh-CN"/>
        </w:rPr>
        <w:t>八、违约责任</w:t>
      </w:r>
      <w:r>
        <w:rPr>
          <w:rFonts w:hint="eastAsia" w:cs="宋体"/>
          <w:b/>
          <w:bCs/>
          <w:color w:val="auto"/>
          <w:sz w:val="24"/>
          <w:szCs w:val="24"/>
          <w:lang w:val="en-US" w:eastAsia="zh-CN" w:bidi="zh-CN"/>
        </w:rPr>
        <w:t>：</w:t>
      </w:r>
    </w:p>
    <w:p w14:paraId="037B7E0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1</w:t>
      </w:r>
      <w:r>
        <w:rPr>
          <w:rFonts w:hint="eastAsia" w:cs="宋体"/>
          <w:color w:val="auto"/>
          <w:sz w:val="24"/>
          <w:szCs w:val="24"/>
          <w:lang w:val="en-US" w:eastAsia="zh-CN" w:bidi="zh-CN"/>
        </w:rPr>
        <w:t>.按照</w:t>
      </w:r>
      <w:r>
        <w:rPr>
          <w:rFonts w:hint="eastAsia" w:ascii="宋体" w:hAnsi="宋体" w:eastAsia="宋体" w:cs="宋体"/>
          <w:color w:val="auto"/>
          <w:sz w:val="24"/>
          <w:szCs w:val="24"/>
          <w:lang w:val="en-US" w:eastAsia="zh-CN" w:bidi="zh-CN"/>
        </w:rPr>
        <w:t>《中华人民共和国民法典》中的相关条款执行。</w:t>
      </w:r>
    </w:p>
    <w:p w14:paraId="7EF2FE69">
      <w:pPr>
        <w:keepNext w:val="0"/>
        <w:keepLines w:val="0"/>
        <w:pageBreakBefore w:val="0"/>
        <w:kinsoku/>
        <w:wordWrap/>
        <w:overflowPunct/>
        <w:topLinePunct w:val="0"/>
        <w:autoSpaceDE/>
        <w:autoSpaceDN/>
        <w:bidi w:val="0"/>
        <w:spacing w:line="500" w:lineRule="exact"/>
        <w:ind w:left="0" w:leftChars="0" w:right="0" w:rightChars="0" w:firstLine="480" w:firstLineChars="200"/>
        <w:jc w:val="both"/>
        <w:rPr>
          <w:rFonts w:hint="eastAsia" w:eastAsia="宋体"/>
          <w:color w:val="auto"/>
          <w:lang w:val="en-US" w:eastAsia="zh-CN"/>
        </w:rPr>
      </w:pPr>
      <w:r>
        <w:rPr>
          <w:rFonts w:hint="eastAsia" w:ascii="宋体" w:hAnsi="宋体" w:eastAsia="宋体" w:cs="宋体"/>
          <w:color w:val="auto"/>
          <w:sz w:val="24"/>
          <w:szCs w:val="24"/>
          <w:lang w:val="en-US" w:eastAsia="zh-CN" w:bidi="zh-CN"/>
        </w:rPr>
        <w:t>2</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未按合同要求提供产品或产品质量不能满足要求的，采购人有权终止合同，并对供方违约行为进行追究，同时</w:t>
      </w:r>
      <w:r>
        <w:rPr>
          <w:rFonts w:hint="eastAsia" w:cs="宋体"/>
          <w:color w:val="auto"/>
          <w:sz w:val="24"/>
          <w:szCs w:val="24"/>
          <w:lang w:val="en-US" w:eastAsia="zh-CN" w:bidi="zh-CN"/>
        </w:rPr>
        <w:t>上报同级监管部门</w:t>
      </w:r>
      <w:r>
        <w:rPr>
          <w:rFonts w:hint="eastAsia" w:ascii="宋体" w:hAnsi="宋体" w:eastAsia="宋体" w:cs="宋体"/>
          <w:color w:val="auto"/>
          <w:sz w:val="24"/>
          <w:szCs w:val="24"/>
          <w:lang w:val="en-US" w:eastAsia="zh-CN" w:bidi="zh-CN"/>
        </w:rPr>
        <w:t>按</w:t>
      </w:r>
      <w:r>
        <w:rPr>
          <w:rFonts w:hint="eastAsia" w:cs="宋体"/>
          <w:color w:val="auto"/>
          <w:sz w:val="24"/>
          <w:szCs w:val="24"/>
          <w:lang w:val="en-US" w:eastAsia="zh-CN" w:bidi="zh-CN"/>
        </w:rPr>
        <w:t>《中华人民共和国政府采购法》及其实施条例、《政府采购货物和服务招标投标管理办法》（财政部令第87号）</w:t>
      </w:r>
      <w:r>
        <w:rPr>
          <w:rFonts w:hint="eastAsia" w:ascii="宋体" w:hAnsi="宋体" w:eastAsia="宋体" w:cs="宋体"/>
          <w:color w:val="auto"/>
          <w:sz w:val="24"/>
          <w:szCs w:val="24"/>
          <w:lang w:val="en-US" w:eastAsia="zh-CN" w:bidi="zh-CN"/>
        </w:rPr>
        <w:t>的有关规定进行处罚。</w:t>
      </w:r>
    </w:p>
    <w:p w14:paraId="32755CB8">
      <w:pPr>
        <w:pStyle w:val="2"/>
        <w:pageBreakBefore w:val="0"/>
        <w:topLinePunct w:val="0"/>
        <w:bidi w:val="0"/>
        <w:spacing w:before="0" w:line="500" w:lineRule="exact"/>
        <w:ind w:left="0" w:leftChars="0" w:right="0" w:rightChars="0" w:firstLine="723" w:firstLineChars="200"/>
        <w:jc w:val="center"/>
        <w:rPr>
          <w:rFonts w:hint="eastAsia"/>
          <w:color w:val="auto"/>
          <w:lang w:val="en-US"/>
        </w:rPr>
      </w:pPr>
    </w:p>
    <w:p w14:paraId="30006E06">
      <w:pPr>
        <w:pStyle w:val="2"/>
        <w:pageBreakBefore w:val="0"/>
        <w:topLinePunct w:val="0"/>
        <w:bidi w:val="0"/>
        <w:spacing w:before="0" w:line="500" w:lineRule="exact"/>
        <w:ind w:left="0" w:leftChars="0" w:right="0" w:rightChars="0" w:firstLine="723" w:firstLineChars="200"/>
        <w:jc w:val="center"/>
        <w:rPr>
          <w:rFonts w:hint="eastAsia"/>
          <w:color w:val="auto"/>
          <w:lang w:val="en-US"/>
        </w:rPr>
      </w:pPr>
    </w:p>
    <w:p w14:paraId="3871CE18">
      <w:pPr>
        <w:pStyle w:val="2"/>
        <w:pageBreakBefore w:val="0"/>
        <w:topLinePunct w:val="0"/>
        <w:bidi w:val="0"/>
        <w:spacing w:before="0" w:line="500" w:lineRule="exact"/>
        <w:ind w:left="0" w:leftChars="0" w:right="0" w:rightChars="0" w:firstLine="723" w:firstLineChars="200"/>
        <w:jc w:val="center"/>
        <w:rPr>
          <w:rFonts w:hint="eastAsia"/>
          <w:color w:val="auto"/>
          <w:lang w:val="en-US"/>
        </w:rPr>
      </w:pPr>
    </w:p>
    <w:p w14:paraId="117E962C">
      <w:pPr>
        <w:pStyle w:val="2"/>
        <w:pageBreakBefore w:val="0"/>
        <w:topLinePunct w:val="0"/>
        <w:bidi w:val="0"/>
        <w:spacing w:before="0" w:line="500" w:lineRule="exact"/>
        <w:ind w:left="0" w:leftChars="0" w:right="0" w:rightChars="0" w:firstLine="723" w:firstLineChars="200"/>
        <w:jc w:val="center"/>
        <w:rPr>
          <w:rFonts w:hint="eastAsia"/>
          <w:color w:val="auto"/>
          <w:lang w:val="en-US"/>
        </w:rPr>
      </w:pPr>
    </w:p>
    <w:p w14:paraId="056C6804">
      <w:pPr>
        <w:pStyle w:val="2"/>
        <w:pageBreakBefore w:val="0"/>
        <w:topLinePunct w:val="0"/>
        <w:bidi w:val="0"/>
        <w:spacing w:before="0" w:line="500" w:lineRule="exact"/>
        <w:ind w:left="0" w:leftChars="0" w:right="0" w:rightChars="0" w:firstLine="723" w:firstLineChars="200"/>
        <w:jc w:val="center"/>
        <w:rPr>
          <w:rFonts w:hint="eastAsia"/>
          <w:color w:val="auto"/>
          <w:lang w:val="en-US"/>
        </w:rPr>
      </w:pPr>
    </w:p>
    <w:p w14:paraId="1D0B3EC9">
      <w:pPr>
        <w:pStyle w:val="2"/>
        <w:pageBreakBefore w:val="0"/>
        <w:topLinePunct w:val="0"/>
        <w:bidi w:val="0"/>
        <w:spacing w:before="0" w:line="500" w:lineRule="exact"/>
        <w:ind w:left="0" w:leftChars="0" w:right="0" w:rightChars="0" w:firstLine="723" w:firstLineChars="200"/>
        <w:jc w:val="center"/>
        <w:rPr>
          <w:rFonts w:hint="eastAsia"/>
          <w:color w:val="auto"/>
          <w:lang w:val="en-US"/>
        </w:rPr>
      </w:pPr>
    </w:p>
    <w:p w14:paraId="72609A5D">
      <w:pPr>
        <w:pStyle w:val="2"/>
        <w:pageBreakBefore w:val="0"/>
        <w:topLinePunct w:val="0"/>
        <w:bidi w:val="0"/>
        <w:spacing w:before="0" w:line="500" w:lineRule="exact"/>
        <w:ind w:left="0" w:leftChars="0" w:right="0" w:rightChars="0" w:firstLine="723" w:firstLineChars="200"/>
        <w:jc w:val="center"/>
        <w:rPr>
          <w:rFonts w:hint="eastAsia"/>
          <w:color w:val="auto"/>
          <w:lang w:val="en-US"/>
        </w:rPr>
      </w:pPr>
    </w:p>
    <w:p w14:paraId="3A208250">
      <w:pPr>
        <w:pStyle w:val="2"/>
        <w:pageBreakBefore w:val="0"/>
        <w:topLinePunct w:val="0"/>
        <w:bidi w:val="0"/>
        <w:spacing w:before="0" w:line="500" w:lineRule="exact"/>
        <w:ind w:left="0" w:leftChars="0" w:right="0" w:rightChars="0" w:firstLine="723" w:firstLineChars="200"/>
        <w:jc w:val="center"/>
        <w:rPr>
          <w:rFonts w:hint="eastAsia"/>
          <w:color w:val="auto"/>
          <w:lang w:val="en-US"/>
        </w:rPr>
      </w:pPr>
    </w:p>
    <w:p w14:paraId="23E6CF1C">
      <w:pPr>
        <w:pStyle w:val="2"/>
        <w:pageBreakBefore w:val="0"/>
        <w:topLinePunct w:val="0"/>
        <w:bidi w:val="0"/>
        <w:spacing w:before="0" w:line="500" w:lineRule="exact"/>
        <w:ind w:left="0" w:leftChars="0" w:right="0" w:rightChars="0" w:firstLine="723" w:firstLineChars="200"/>
        <w:jc w:val="center"/>
        <w:rPr>
          <w:rFonts w:hint="eastAsia"/>
          <w:color w:val="auto"/>
          <w:lang w:val="en-US"/>
        </w:rPr>
      </w:pPr>
    </w:p>
    <w:p w14:paraId="13EADF13">
      <w:pPr>
        <w:pStyle w:val="2"/>
        <w:pageBreakBefore w:val="0"/>
        <w:topLinePunct w:val="0"/>
        <w:bidi w:val="0"/>
        <w:spacing w:before="0" w:line="500" w:lineRule="exact"/>
        <w:ind w:left="0" w:leftChars="0" w:right="0" w:rightChars="0" w:firstLine="723" w:firstLineChars="200"/>
        <w:jc w:val="center"/>
        <w:rPr>
          <w:rFonts w:hint="eastAsia"/>
          <w:color w:val="auto"/>
          <w:lang w:val="en-US"/>
        </w:rPr>
      </w:pPr>
    </w:p>
    <w:p w14:paraId="0ABD9DB0">
      <w:pPr>
        <w:pStyle w:val="2"/>
        <w:pageBreakBefore w:val="0"/>
        <w:topLinePunct w:val="0"/>
        <w:bidi w:val="0"/>
        <w:spacing w:before="0" w:line="500" w:lineRule="exact"/>
        <w:ind w:left="0" w:leftChars="0" w:right="0" w:rightChars="0" w:firstLine="723" w:firstLineChars="200"/>
        <w:jc w:val="center"/>
        <w:rPr>
          <w:rFonts w:hint="eastAsia"/>
          <w:color w:val="auto"/>
          <w:lang w:val="en-US"/>
        </w:rPr>
      </w:pPr>
    </w:p>
    <w:p w14:paraId="4245D3DC">
      <w:pPr>
        <w:pStyle w:val="2"/>
        <w:pageBreakBefore w:val="0"/>
        <w:topLinePunct w:val="0"/>
        <w:bidi w:val="0"/>
        <w:spacing w:before="0" w:line="500" w:lineRule="exact"/>
        <w:ind w:left="0" w:leftChars="0" w:right="0" w:rightChars="0" w:firstLine="723" w:firstLineChars="200"/>
        <w:jc w:val="center"/>
        <w:rPr>
          <w:rFonts w:hint="eastAsia"/>
          <w:color w:val="auto"/>
          <w:lang w:val="en-US"/>
        </w:rPr>
      </w:pPr>
    </w:p>
    <w:p w14:paraId="545C20E3">
      <w:pPr>
        <w:rPr>
          <w:rFonts w:hint="eastAsia"/>
          <w:color w:val="auto"/>
          <w:lang w:val="en-US"/>
        </w:rPr>
      </w:pPr>
    </w:p>
    <w:p w14:paraId="30A3609D">
      <w:pPr>
        <w:rPr>
          <w:rFonts w:hint="eastAsia"/>
          <w:color w:val="auto"/>
          <w:lang w:val="en-US"/>
        </w:rPr>
      </w:pPr>
    </w:p>
    <w:p w14:paraId="29A7D203">
      <w:pPr>
        <w:pStyle w:val="2"/>
        <w:pageBreakBefore w:val="0"/>
        <w:topLinePunct w:val="0"/>
        <w:bidi w:val="0"/>
        <w:spacing w:before="0" w:line="500" w:lineRule="exact"/>
        <w:ind w:left="0" w:leftChars="0" w:right="0" w:rightChars="0" w:firstLine="723" w:firstLineChars="200"/>
        <w:jc w:val="center"/>
        <w:rPr>
          <w:rFonts w:hint="eastAsia"/>
          <w:color w:val="auto"/>
          <w:lang w:val="en-US"/>
        </w:rPr>
      </w:pPr>
    </w:p>
    <w:p w14:paraId="2A2B365D">
      <w:pPr>
        <w:rPr>
          <w:rFonts w:hint="eastAsia"/>
          <w:color w:val="auto"/>
          <w:lang w:val="en-US"/>
        </w:rPr>
      </w:pPr>
    </w:p>
    <w:p w14:paraId="1E861A7A">
      <w:pPr>
        <w:rPr>
          <w:rFonts w:hint="eastAsia"/>
          <w:color w:val="auto"/>
          <w:lang w:val="en-US"/>
        </w:rPr>
      </w:pPr>
    </w:p>
    <w:p w14:paraId="2BAF4981">
      <w:pPr>
        <w:rPr>
          <w:rFonts w:hint="eastAsia"/>
          <w:color w:val="auto"/>
          <w:lang w:val="en-US"/>
        </w:rPr>
      </w:pPr>
    </w:p>
    <w:p w14:paraId="1452AC1C">
      <w:pPr>
        <w:rPr>
          <w:rFonts w:hint="eastAsia"/>
          <w:color w:val="auto"/>
          <w:lang w:val="en-US"/>
        </w:rPr>
      </w:pPr>
    </w:p>
    <w:p w14:paraId="53EBDA17">
      <w:pPr>
        <w:rPr>
          <w:rFonts w:hint="eastAsia"/>
          <w:color w:val="auto"/>
          <w:lang w:val="en-US"/>
        </w:rPr>
      </w:pPr>
    </w:p>
    <w:p w14:paraId="75471B2E">
      <w:pPr>
        <w:rPr>
          <w:rFonts w:hint="eastAsia"/>
          <w:color w:val="auto"/>
          <w:lang w:val="en-US"/>
        </w:rPr>
      </w:pPr>
    </w:p>
    <w:p w14:paraId="627249E0">
      <w:pPr>
        <w:rPr>
          <w:rFonts w:hint="eastAsia"/>
          <w:color w:val="auto"/>
          <w:lang w:val="en-US"/>
        </w:rPr>
      </w:pPr>
    </w:p>
    <w:p w14:paraId="2FCBD715">
      <w:pPr>
        <w:rPr>
          <w:rFonts w:hint="eastAsia"/>
          <w:color w:val="auto"/>
          <w:lang w:val="en-US"/>
        </w:rPr>
      </w:pPr>
    </w:p>
    <w:p w14:paraId="66689A25">
      <w:pPr>
        <w:rPr>
          <w:rFonts w:hint="eastAsia"/>
          <w:color w:val="auto"/>
          <w:lang w:val="en-US"/>
        </w:rPr>
      </w:pPr>
    </w:p>
    <w:p w14:paraId="7AB7D4F4">
      <w:pPr>
        <w:rPr>
          <w:rFonts w:hint="eastAsia"/>
          <w:color w:val="auto"/>
          <w:lang w:val="en-US"/>
        </w:rPr>
      </w:pPr>
    </w:p>
    <w:p w14:paraId="597D73DB">
      <w:pPr>
        <w:rPr>
          <w:rFonts w:hint="eastAsia"/>
          <w:color w:val="auto"/>
          <w:lang w:val="en-US"/>
        </w:rPr>
      </w:pPr>
    </w:p>
    <w:p w14:paraId="3F11C1B6">
      <w:pPr>
        <w:rPr>
          <w:rFonts w:hint="eastAsia"/>
          <w:color w:val="auto"/>
          <w:lang w:val="en-US"/>
        </w:rPr>
      </w:pPr>
    </w:p>
    <w:p w14:paraId="2A2FF5F3">
      <w:pPr>
        <w:pStyle w:val="2"/>
        <w:pageBreakBefore w:val="0"/>
        <w:topLinePunct w:val="0"/>
        <w:bidi w:val="0"/>
        <w:spacing w:before="0" w:line="500" w:lineRule="exact"/>
        <w:ind w:right="0" w:rightChars="0"/>
        <w:jc w:val="both"/>
        <w:rPr>
          <w:rFonts w:hint="eastAsia"/>
          <w:color w:val="auto"/>
          <w:lang w:val="en-US"/>
        </w:rPr>
      </w:pPr>
    </w:p>
    <w:p w14:paraId="752110E1">
      <w:pPr>
        <w:pStyle w:val="2"/>
        <w:pageBreakBefore w:val="0"/>
        <w:topLinePunct w:val="0"/>
        <w:bidi w:val="0"/>
        <w:spacing w:before="0" w:line="500" w:lineRule="exact"/>
        <w:ind w:left="0" w:leftChars="0" w:right="0" w:rightChars="0" w:firstLine="723" w:firstLineChars="200"/>
        <w:jc w:val="center"/>
        <w:rPr>
          <w:color w:val="auto"/>
          <w:lang w:val="en-US"/>
        </w:rPr>
      </w:pPr>
      <w:r>
        <w:rPr>
          <w:rFonts w:hint="eastAsia"/>
          <w:color w:val="auto"/>
          <w:lang w:val="en-US"/>
        </w:rPr>
        <w:t>第五章 合同主要条款</w:t>
      </w:r>
      <w:bookmarkStart w:id="20" w:name="_Toc32431"/>
    </w:p>
    <w:p w14:paraId="434EEE85">
      <w:pPr>
        <w:pStyle w:val="11"/>
      </w:pPr>
    </w:p>
    <w:p w14:paraId="64A2AFD8">
      <w:pPr>
        <w:keepNext w:val="0"/>
        <w:keepLines w:val="0"/>
        <w:pageBreakBefore w:val="0"/>
        <w:widowControl/>
        <w:suppressLineNumbers w:val="0"/>
        <w:topLinePunct w:val="0"/>
        <w:bidi w:val="0"/>
        <w:spacing w:line="500" w:lineRule="exact"/>
        <w:ind w:left="0" w:leftChars="0" w:right="0" w:rightChars="0" w:firstLine="562" w:firstLineChars="200"/>
        <w:jc w:val="center"/>
        <w:rPr>
          <w:color w:val="auto"/>
        </w:rPr>
      </w:pPr>
      <w:r>
        <w:rPr>
          <w:rFonts w:hint="eastAsia" w:ascii="宋体" w:hAnsi="宋体" w:eastAsia="宋体" w:cs="宋体"/>
          <w:b/>
          <w:bCs/>
          <w:color w:val="auto"/>
          <w:kern w:val="0"/>
          <w:sz w:val="28"/>
          <w:szCs w:val="28"/>
          <w:lang w:val="en-US" w:eastAsia="zh-CN" w:bidi="ar"/>
        </w:rPr>
        <w:t>（本合同为样稿，部分内容可由双方协商后确定）</w:t>
      </w:r>
    </w:p>
    <w:p w14:paraId="7EF96878">
      <w:pPr>
        <w:keepNext w:val="0"/>
        <w:keepLines w:val="0"/>
        <w:pageBreakBefore w:val="0"/>
        <w:widowControl/>
        <w:suppressLineNumbers w:val="0"/>
        <w:topLinePunct w:val="0"/>
        <w:bidi w:val="0"/>
        <w:spacing w:line="500" w:lineRule="exact"/>
        <w:ind w:left="0" w:leftChars="0" w:right="0" w:rightChars="0" w:firstLine="482" w:firstLineChars="200"/>
        <w:jc w:val="left"/>
        <w:rPr>
          <w:color w:val="auto"/>
        </w:rPr>
      </w:pPr>
      <w:r>
        <w:rPr>
          <w:rFonts w:hint="eastAsia" w:ascii="宋体" w:hAnsi="宋体" w:eastAsia="宋体" w:cs="宋体"/>
          <w:b/>
          <w:bCs/>
          <w:color w:val="auto"/>
          <w:kern w:val="0"/>
          <w:sz w:val="24"/>
          <w:szCs w:val="24"/>
          <w:lang w:val="en-US" w:eastAsia="zh-CN" w:bidi="ar"/>
        </w:rPr>
        <w:t xml:space="preserve">一、合同格式 </w:t>
      </w:r>
    </w:p>
    <w:p w14:paraId="03593ED1">
      <w:pPr>
        <w:pageBreakBefore w:val="0"/>
        <w:topLinePunct w:val="0"/>
        <w:bidi w:val="0"/>
        <w:spacing w:line="500" w:lineRule="exact"/>
        <w:ind w:left="0" w:leftChars="0" w:right="0" w:rightChars="0" w:firstLine="472" w:firstLineChars="200"/>
        <w:jc w:val="both"/>
        <w:rPr>
          <w:rFonts w:hint="eastAsia" w:cs="宋体"/>
          <w:color w:val="auto"/>
          <w:spacing w:val="-2"/>
          <w:position w:val="15"/>
          <w:sz w:val="24"/>
          <w:szCs w:val="24"/>
          <w:u w:val="none"/>
          <w:lang w:val="en-US" w:eastAsia="zh-CN"/>
        </w:rPr>
      </w:pPr>
      <w:r>
        <w:rPr>
          <w:rFonts w:hint="eastAsia" w:cs="宋体"/>
          <w:color w:val="auto"/>
          <w:spacing w:val="-2"/>
          <w:position w:val="15"/>
          <w:sz w:val="24"/>
          <w:szCs w:val="24"/>
          <w:u w:val="none"/>
          <w:lang w:val="en-US" w:eastAsia="zh-CN"/>
        </w:rPr>
        <w:t>采购方（以下简称甲方）：</w:t>
      </w:r>
      <w:r>
        <w:rPr>
          <w:rFonts w:hint="eastAsia" w:cs="宋体"/>
          <w:color w:val="auto"/>
          <w:spacing w:val="-2"/>
          <w:position w:val="15"/>
          <w:sz w:val="24"/>
          <w:szCs w:val="24"/>
          <w:u w:val="single"/>
          <w:lang w:val="en-US" w:eastAsia="zh-CN"/>
        </w:rPr>
        <w:t>汉滨区教育体育局</w:t>
      </w:r>
    </w:p>
    <w:p w14:paraId="7CBB3743">
      <w:pPr>
        <w:pageBreakBefore w:val="0"/>
        <w:topLinePunct w:val="0"/>
        <w:bidi w:val="0"/>
        <w:spacing w:line="500" w:lineRule="exact"/>
        <w:ind w:left="0" w:leftChars="0" w:right="0" w:rightChars="0" w:firstLine="472" w:firstLineChars="200"/>
        <w:jc w:val="both"/>
        <w:rPr>
          <w:rFonts w:hint="default" w:cs="宋体"/>
          <w:color w:val="auto"/>
          <w:spacing w:val="-2"/>
          <w:position w:val="15"/>
          <w:sz w:val="24"/>
          <w:szCs w:val="24"/>
          <w:u w:val="single"/>
          <w:lang w:val="en-US" w:eastAsia="zh-CN"/>
        </w:rPr>
      </w:pPr>
      <w:r>
        <w:rPr>
          <w:rFonts w:hint="eastAsia" w:cs="宋体"/>
          <w:color w:val="auto"/>
          <w:spacing w:val="-2"/>
          <w:position w:val="15"/>
          <w:sz w:val="24"/>
          <w:szCs w:val="24"/>
          <w:u w:val="none"/>
          <w:lang w:val="en-US" w:eastAsia="zh-CN"/>
        </w:rPr>
        <w:t>供货方（以下简称乙方）：</w:t>
      </w:r>
      <w:r>
        <w:rPr>
          <w:rFonts w:hint="eastAsia" w:cs="宋体"/>
          <w:color w:val="auto"/>
          <w:spacing w:val="-2"/>
          <w:position w:val="15"/>
          <w:sz w:val="24"/>
          <w:szCs w:val="24"/>
          <w:u w:val="single"/>
          <w:lang w:val="en-US" w:eastAsia="zh-CN"/>
        </w:rPr>
        <w:t xml:space="preserve">                 </w:t>
      </w:r>
    </w:p>
    <w:p w14:paraId="1B1D76BE">
      <w:pPr>
        <w:pageBreakBefore w:val="0"/>
        <w:topLinePunct w:val="0"/>
        <w:bidi w:val="0"/>
        <w:spacing w:line="500" w:lineRule="exact"/>
        <w:ind w:right="0" w:rightChars="0" w:firstLine="472" w:firstLineChars="200"/>
        <w:jc w:val="both"/>
        <w:rPr>
          <w:rFonts w:hint="default" w:cs="宋体"/>
          <w:color w:val="auto"/>
          <w:spacing w:val="-2"/>
          <w:position w:val="15"/>
          <w:sz w:val="24"/>
          <w:szCs w:val="24"/>
          <w:u w:val="single"/>
          <w:lang w:val="en-US" w:eastAsia="zh-CN"/>
        </w:rPr>
      </w:pPr>
      <w:r>
        <w:rPr>
          <w:rFonts w:hint="eastAsia" w:cs="宋体"/>
          <w:color w:val="auto"/>
          <w:spacing w:val="-2"/>
          <w:position w:val="15"/>
          <w:sz w:val="24"/>
          <w:szCs w:val="24"/>
          <w:u w:val="none"/>
          <w:lang w:val="en-US" w:eastAsia="zh-CN"/>
        </w:rPr>
        <w:t>确认方：</w:t>
      </w:r>
      <w:r>
        <w:rPr>
          <w:rFonts w:hint="eastAsia" w:cs="宋体"/>
          <w:color w:val="auto"/>
          <w:spacing w:val="-2"/>
          <w:position w:val="15"/>
          <w:sz w:val="24"/>
          <w:szCs w:val="24"/>
          <w:u w:val="single"/>
          <w:lang w:val="en-US" w:eastAsia="zh-CN"/>
        </w:rPr>
        <w:t xml:space="preserve">                </w:t>
      </w:r>
    </w:p>
    <w:p w14:paraId="2F633380">
      <w:pPr>
        <w:pageBreakBefore w:val="0"/>
        <w:topLinePunct w:val="0"/>
        <w:bidi w:val="0"/>
        <w:spacing w:line="500" w:lineRule="exact"/>
        <w:ind w:left="0" w:leftChars="0" w:right="0" w:rightChars="0" w:firstLine="472" w:firstLineChars="200"/>
        <w:jc w:val="both"/>
        <w:rPr>
          <w:rFonts w:hint="eastAsia" w:ascii="宋体" w:hAnsi="宋体" w:eastAsia="宋体" w:cs="宋体"/>
          <w:color w:val="auto"/>
          <w:spacing w:val="-2"/>
          <w:position w:val="15"/>
          <w:sz w:val="24"/>
          <w:szCs w:val="24"/>
          <w:lang w:val="en-US" w:eastAsia="zh-CN"/>
        </w:rPr>
      </w:pPr>
      <w:r>
        <w:rPr>
          <w:rFonts w:hint="eastAsia" w:cs="宋体"/>
          <w:color w:val="auto"/>
          <w:spacing w:val="-2"/>
          <w:position w:val="15"/>
          <w:sz w:val="24"/>
          <w:szCs w:val="24"/>
          <w:u w:val="none"/>
          <w:lang w:val="en-US" w:eastAsia="zh-CN"/>
        </w:rPr>
        <w:t>甲、乙双方根据《中华人民共和国政府采购法》及其实施条例、《政府采购货物和服务招标投标管理办法》（财政部令第87号）《中华人民共和国民法典》等相关法律、法规规定，在平等、自愿原则下，现就</w:t>
      </w:r>
      <w:r>
        <w:rPr>
          <w:rFonts w:hint="eastAsia" w:cs="宋体"/>
          <w:color w:val="auto"/>
          <w:spacing w:val="-2"/>
          <w:position w:val="15"/>
          <w:sz w:val="24"/>
          <w:szCs w:val="24"/>
          <w:u w:val="single"/>
          <w:lang w:val="en-US" w:eastAsia="zh-CN"/>
        </w:rPr>
        <w:t>汉滨区2026－2027学年度中小学幼儿园大宗食材及原辅材料配送项目招标采购(二次)</w:t>
      </w:r>
      <w:r>
        <w:rPr>
          <w:rFonts w:hint="eastAsia" w:ascii="宋体" w:hAnsi="宋体" w:eastAsia="宋体" w:cs="宋体"/>
          <w:color w:val="auto"/>
          <w:spacing w:val="-2"/>
          <w:position w:val="15"/>
          <w:sz w:val="24"/>
          <w:szCs w:val="24"/>
          <w:u w:val="single"/>
          <w:lang w:val="en-US" w:eastAsia="zh-CN"/>
        </w:rPr>
        <w:t>第一/二/三包</w:t>
      </w:r>
      <w:r>
        <w:rPr>
          <w:rFonts w:hint="eastAsia" w:cs="宋体"/>
          <w:color w:val="auto"/>
          <w:spacing w:val="-2"/>
          <w:position w:val="15"/>
          <w:sz w:val="24"/>
          <w:szCs w:val="24"/>
          <w:u w:val="single"/>
          <w:lang w:val="en-US" w:eastAsia="zh-CN"/>
        </w:rPr>
        <w:t>达成以下协议：</w:t>
      </w:r>
    </w:p>
    <w:p w14:paraId="66E52D06">
      <w:pPr>
        <w:pageBreakBefore w:val="0"/>
        <w:topLinePunct w:val="0"/>
        <w:bidi w:val="0"/>
        <w:spacing w:line="500" w:lineRule="exact"/>
        <w:ind w:left="0" w:leftChars="0" w:right="0" w:rightChars="0" w:firstLine="472" w:firstLineChars="200"/>
        <w:jc w:val="both"/>
        <w:rPr>
          <w:rFonts w:hint="eastAsia"/>
          <w:color w:val="auto"/>
          <w:spacing w:val="-2"/>
          <w:position w:val="15"/>
          <w:sz w:val="24"/>
          <w:szCs w:val="24"/>
          <w:lang w:val="en-US" w:eastAsia="zh-CN"/>
        </w:rPr>
      </w:pPr>
      <w:r>
        <w:rPr>
          <w:rFonts w:hint="eastAsia"/>
          <w:color w:val="auto"/>
          <w:spacing w:val="-2"/>
          <w:position w:val="15"/>
          <w:sz w:val="24"/>
          <w:szCs w:val="24"/>
          <w:lang w:val="en-US" w:eastAsia="zh-CN"/>
        </w:rPr>
        <w:t>甲方通过公开招标采购，并接受了乙方以价格（或优惠率）</w:t>
      </w:r>
      <w:r>
        <w:rPr>
          <w:rFonts w:hint="eastAsia"/>
          <w:color w:val="auto"/>
          <w:spacing w:val="-2"/>
          <w:position w:val="15"/>
          <w:sz w:val="24"/>
          <w:szCs w:val="24"/>
          <w:u w:val="single"/>
          <w:lang w:val="en-US" w:eastAsia="zh-CN"/>
        </w:rPr>
        <w:t xml:space="preserve">        （</w:t>
      </w:r>
      <w:r>
        <w:rPr>
          <w:rFonts w:hint="eastAsia"/>
          <w:color w:val="auto"/>
          <w:spacing w:val="-2"/>
          <w:position w:val="15"/>
          <w:sz w:val="24"/>
          <w:szCs w:val="24"/>
          <w:lang w:val="en-US" w:eastAsia="zh-CN"/>
        </w:rPr>
        <w:t>中标金额大写）提供的产品及服务。</w:t>
      </w:r>
    </w:p>
    <w:p w14:paraId="31D5A05C">
      <w:pPr>
        <w:keepNext w:val="0"/>
        <w:keepLines w:val="0"/>
        <w:pageBreakBefore w:val="0"/>
        <w:widowControl/>
        <w:suppressLineNumbers w:val="0"/>
        <w:topLinePunct w:val="0"/>
        <w:bidi w:val="0"/>
        <w:spacing w:line="500" w:lineRule="exact"/>
        <w:ind w:left="0" w:leftChars="0" w:right="0" w:rightChars="0" w:firstLine="482" w:firstLineChars="200"/>
        <w:jc w:val="left"/>
        <w:rPr>
          <w:color w:val="auto"/>
        </w:rPr>
      </w:pPr>
      <w:r>
        <w:rPr>
          <w:rFonts w:hint="eastAsia" w:ascii="宋体" w:hAnsi="宋体" w:eastAsia="宋体" w:cs="宋体"/>
          <w:b/>
          <w:bCs/>
          <w:color w:val="auto"/>
          <w:kern w:val="0"/>
          <w:sz w:val="24"/>
          <w:szCs w:val="24"/>
          <w:lang w:val="en-US" w:eastAsia="zh-CN" w:bidi="ar"/>
        </w:rPr>
        <w:t>二、乙方向甲方所指定的学校提供食品：</w:t>
      </w:r>
    </w:p>
    <w:tbl>
      <w:tblPr>
        <w:tblStyle w:val="24"/>
        <w:tblW w:w="100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8"/>
        <w:gridCol w:w="1287"/>
        <w:gridCol w:w="1584"/>
        <w:gridCol w:w="1272"/>
        <w:gridCol w:w="732"/>
        <w:gridCol w:w="1896"/>
        <w:gridCol w:w="1857"/>
      </w:tblGrid>
      <w:tr w14:paraId="71E9F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38" w:type="dxa"/>
            <w:vAlign w:val="center"/>
          </w:tcPr>
          <w:p w14:paraId="2ADAEF63">
            <w:pPr>
              <w:pStyle w:val="8"/>
              <w:pageBreakBefore w:val="0"/>
              <w:topLinePunct w:val="0"/>
              <w:bidi w:val="0"/>
              <w:spacing w:line="500" w:lineRule="exact"/>
              <w:ind w:left="0" w:leftChars="0" w:right="0" w:rightChars="0" w:firstLine="402" w:firstLineChars="200"/>
              <w:jc w:val="both"/>
              <w:rPr>
                <w:rFonts w:hint="default"/>
                <w:b/>
                <w:bCs/>
                <w:color w:val="auto"/>
                <w:vertAlign w:val="baseline"/>
                <w:lang w:val="en-US" w:eastAsia="zh-CN"/>
              </w:rPr>
            </w:pPr>
            <w:r>
              <w:rPr>
                <w:rFonts w:hint="eastAsia"/>
                <w:b/>
                <w:bCs/>
                <w:color w:val="auto"/>
                <w:vertAlign w:val="baseline"/>
                <w:lang w:val="en-US" w:eastAsia="zh-CN"/>
              </w:rPr>
              <w:t>序号</w:t>
            </w:r>
          </w:p>
        </w:tc>
        <w:tc>
          <w:tcPr>
            <w:tcW w:w="1287" w:type="dxa"/>
            <w:vAlign w:val="center"/>
          </w:tcPr>
          <w:p w14:paraId="1D0E5C7E">
            <w:pPr>
              <w:pStyle w:val="8"/>
              <w:pageBreakBefore w:val="0"/>
              <w:topLinePunct w:val="0"/>
              <w:bidi w:val="0"/>
              <w:spacing w:line="500" w:lineRule="exact"/>
              <w:ind w:left="0" w:leftChars="0" w:right="0" w:rightChars="0" w:firstLine="402" w:firstLineChars="200"/>
              <w:jc w:val="both"/>
              <w:rPr>
                <w:rFonts w:hint="default"/>
                <w:b/>
                <w:bCs/>
                <w:color w:val="auto"/>
                <w:vertAlign w:val="baseline"/>
                <w:lang w:val="en-US" w:eastAsia="zh-CN"/>
              </w:rPr>
            </w:pPr>
            <w:r>
              <w:rPr>
                <w:rFonts w:hint="eastAsia"/>
                <w:b/>
                <w:bCs/>
                <w:color w:val="auto"/>
                <w:vertAlign w:val="baseline"/>
                <w:lang w:val="en-US" w:eastAsia="zh-CN"/>
              </w:rPr>
              <w:t>名称</w:t>
            </w:r>
          </w:p>
        </w:tc>
        <w:tc>
          <w:tcPr>
            <w:tcW w:w="1584" w:type="dxa"/>
            <w:vAlign w:val="center"/>
          </w:tcPr>
          <w:p w14:paraId="30DEDD3D">
            <w:pPr>
              <w:pStyle w:val="8"/>
              <w:pageBreakBefore w:val="0"/>
              <w:topLinePunct w:val="0"/>
              <w:bidi w:val="0"/>
              <w:spacing w:line="500" w:lineRule="exact"/>
              <w:ind w:left="0" w:leftChars="0" w:right="0" w:rightChars="0" w:firstLine="402" w:firstLineChars="200"/>
              <w:jc w:val="both"/>
              <w:rPr>
                <w:rFonts w:hint="default"/>
                <w:b/>
                <w:bCs/>
                <w:color w:val="auto"/>
                <w:vertAlign w:val="baseline"/>
                <w:lang w:val="en-US" w:eastAsia="zh-CN"/>
              </w:rPr>
            </w:pPr>
            <w:r>
              <w:rPr>
                <w:rFonts w:hint="eastAsia"/>
                <w:b/>
                <w:bCs/>
                <w:color w:val="auto"/>
                <w:vertAlign w:val="baseline"/>
                <w:lang w:val="en-US" w:eastAsia="zh-CN"/>
              </w:rPr>
              <w:t>规格</w:t>
            </w:r>
          </w:p>
        </w:tc>
        <w:tc>
          <w:tcPr>
            <w:tcW w:w="1272" w:type="dxa"/>
            <w:vAlign w:val="center"/>
          </w:tcPr>
          <w:p w14:paraId="11A8FC66">
            <w:pPr>
              <w:pStyle w:val="8"/>
              <w:pageBreakBefore w:val="0"/>
              <w:topLinePunct w:val="0"/>
              <w:bidi w:val="0"/>
              <w:spacing w:line="500" w:lineRule="exact"/>
              <w:ind w:left="0" w:leftChars="0" w:right="0" w:rightChars="0" w:firstLine="402" w:firstLineChars="200"/>
              <w:jc w:val="both"/>
              <w:rPr>
                <w:rFonts w:hint="default"/>
                <w:b/>
                <w:bCs/>
                <w:color w:val="auto"/>
                <w:vertAlign w:val="baseline"/>
                <w:lang w:val="en-US" w:eastAsia="zh-CN"/>
              </w:rPr>
            </w:pPr>
            <w:r>
              <w:rPr>
                <w:rFonts w:hint="eastAsia"/>
                <w:b/>
                <w:bCs/>
                <w:color w:val="auto"/>
                <w:vertAlign w:val="baseline"/>
                <w:lang w:val="en-US" w:eastAsia="zh-CN"/>
              </w:rPr>
              <w:t>品牌</w:t>
            </w:r>
          </w:p>
        </w:tc>
        <w:tc>
          <w:tcPr>
            <w:tcW w:w="732" w:type="dxa"/>
            <w:vAlign w:val="center"/>
          </w:tcPr>
          <w:p w14:paraId="422E2B15">
            <w:pPr>
              <w:pStyle w:val="8"/>
              <w:pageBreakBefore w:val="0"/>
              <w:topLinePunct w:val="0"/>
              <w:bidi w:val="0"/>
              <w:spacing w:line="500" w:lineRule="exact"/>
              <w:ind w:left="0" w:leftChars="0" w:right="0" w:rightChars="0" w:firstLine="0" w:firstLineChars="0"/>
              <w:jc w:val="both"/>
              <w:rPr>
                <w:rFonts w:hint="default"/>
                <w:b/>
                <w:bCs/>
                <w:color w:val="auto"/>
                <w:vertAlign w:val="baseline"/>
                <w:lang w:val="en-US" w:eastAsia="zh-CN"/>
              </w:rPr>
            </w:pPr>
            <w:r>
              <w:rPr>
                <w:rFonts w:hint="eastAsia"/>
                <w:b/>
                <w:bCs/>
                <w:color w:val="auto"/>
                <w:vertAlign w:val="baseline"/>
                <w:lang w:val="en-US" w:eastAsia="zh-CN"/>
              </w:rPr>
              <w:t>数量</w:t>
            </w:r>
          </w:p>
        </w:tc>
        <w:tc>
          <w:tcPr>
            <w:tcW w:w="1896" w:type="dxa"/>
            <w:vAlign w:val="center"/>
          </w:tcPr>
          <w:p w14:paraId="0121E1CE">
            <w:pPr>
              <w:pStyle w:val="8"/>
              <w:pageBreakBefore w:val="0"/>
              <w:topLinePunct w:val="0"/>
              <w:bidi w:val="0"/>
              <w:spacing w:line="500" w:lineRule="exact"/>
              <w:ind w:left="0" w:leftChars="0" w:right="0" w:rightChars="0" w:firstLine="0" w:firstLineChars="0"/>
              <w:jc w:val="both"/>
              <w:rPr>
                <w:rFonts w:hint="default"/>
                <w:b/>
                <w:bCs/>
                <w:color w:val="auto"/>
                <w:vertAlign w:val="baseline"/>
                <w:lang w:val="en-US" w:eastAsia="zh-CN"/>
              </w:rPr>
            </w:pPr>
            <w:r>
              <w:rPr>
                <w:rFonts w:hint="eastAsia"/>
                <w:b/>
                <w:bCs/>
                <w:color w:val="auto"/>
                <w:vertAlign w:val="baseline"/>
                <w:lang w:val="en-US" w:eastAsia="zh-CN"/>
              </w:rPr>
              <w:t>单价（或优惠率）</w:t>
            </w:r>
          </w:p>
        </w:tc>
        <w:tc>
          <w:tcPr>
            <w:tcW w:w="1857" w:type="dxa"/>
            <w:vAlign w:val="center"/>
          </w:tcPr>
          <w:p w14:paraId="7C247D5A">
            <w:pPr>
              <w:pStyle w:val="8"/>
              <w:pageBreakBefore w:val="0"/>
              <w:topLinePunct w:val="0"/>
              <w:bidi w:val="0"/>
              <w:spacing w:line="500" w:lineRule="exact"/>
              <w:ind w:left="0" w:leftChars="0" w:right="0" w:rightChars="0" w:firstLine="0" w:firstLineChars="0"/>
              <w:jc w:val="both"/>
              <w:rPr>
                <w:rFonts w:hint="default"/>
                <w:b/>
                <w:bCs/>
                <w:color w:val="auto"/>
                <w:vertAlign w:val="baseline"/>
                <w:lang w:val="en-US" w:eastAsia="zh-CN"/>
              </w:rPr>
            </w:pPr>
            <w:r>
              <w:rPr>
                <w:rFonts w:hint="eastAsia"/>
                <w:b/>
                <w:bCs/>
                <w:color w:val="auto"/>
                <w:vertAlign w:val="baseline"/>
                <w:lang w:val="en-US" w:eastAsia="zh-CN"/>
              </w:rPr>
              <w:t>总价（或优惠率）</w:t>
            </w:r>
          </w:p>
        </w:tc>
      </w:tr>
      <w:tr w14:paraId="40C8C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1438" w:type="dxa"/>
            <w:vAlign w:val="center"/>
          </w:tcPr>
          <w:p w14:paraId="19D98673">
            <w:pPr>
              <w:pStyle w:val="8"/>
              <w:pageBreakBefore w:val="0"/>
              <w:topLinePunct w:val="0"/>
              <w:bidi w:val="0"/>
              <w:spacing w:line="500" w:lineRule="exact"/>
              <w:ind w:left="0" w:leftChars="0" w:right="0" w:rightChars="0" w:firstLine="402" w:firstLineChars="200"/>
              <w:jc w:val="center"/>
              <w:rPr>
                <w:rFonts w:hint="default"/>
                <w:b/>
                <w:bCs/>
                <w:color w:val="auto"/>
                <w:vertAlign w:val="baseline"/>
                <w:lang w:val="en-US" w:eastAsia="zh-CN"/>
              </w:rPr>
            </w:pPr>
            <w:r>
              <w:rPr>
                <w:rFonts w:hint="eastAsia"/>
                <w:b/>
                <w:bCs/>
                <w:color w:val="auto"/>
                <w:vertAlign w:val="baseline"/>
                <w:lang w:val="en-US" w:eastAsia="zh-CN"/>
              </w:rPr>
              <w:t>1</w:t>
            </w:r>
          </w:p>
        </w:tc>
        <w:tc>
          <w:tcPr>
            <w:tcW w:w="1287" w:type="dxa"/>
          </w:tcPr>
          <w:p w14:paraId="730579F4">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1584" w:type="dxa"/>
          </w:tcPr>
          <w:p w14:paraId="26A5366A">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1272" w:type="dxa"/>
          </w:tcPr>
          <w:p w14:paraId="0466968C">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732" w:type="dxa"/>
          </w:tcPr>
          <w:p w14:paraId="4AD8DED1">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1896" w:type="dxa"/>
          </w:tcPr>
          <w:p w14:paraId="0037A538">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1857" w:type="dxa"/>
          </w:tcPr>
          <w:p w14:paraId="79E0C5EF">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r>
      <w:tr w14:paraId="4A035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438" w:type="dxa"/>
            <w:vAlign w:val="center"/>
          </w:tcPr>
          <w:p w14:paraId="26152056">
            <w:pPr>
              <w:pStyle w:val="8"/>
              <w:pageBreakBefore w:val="0"/>
              <w:topLinePunct w:val="0"/>
              <w:bidi w:val="0"/>
              <w:spacing w:line="500" w:lineRule="exact"/>
              <w:ind w:left="0" w:leftChars="0" w:right="0" w:rightChars="0" w:firstLine="402" w:firstLineChars="200"/>
              <w:jc w:val="center"/>
              <w:rPr>
                <w:rFonts w:hint="default"/>
                <w:b/>
                <w:bCs/>
                <w:color w:val="auto"/>
                <w:vertAlign w:val="baseline"/>
                <w:lang w:val="en-US" w:eastAsia="zh-CN"/>
              </w:rPr>
            </w:pPr>
            <w:r>
              <w:rPr>
                <w:rFonts w:hint="eastAsia"/>
                <w:b/>
                <w:bCs/>
                <w:color w:val="auto"/>
                <w:vertAlign w:val="baseline"/>
                <w:lang w:val="en-US" w:eastAsia="zh-CN"/>
              </w:rPr>
              <w:t>2</w:t>
            </w:r>
          </w:p>
        </w:tc>
        <w:tc>
          <w:tcPr>
            <w:tcW w:w="1287" w:type="dxa"/>
          </w:tcPr>
          <w:p w14:paraId="190FCFDE">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1584" w:type="dxa"/>
          </w:tcPr>
          <w:p w14:paraId="3975D4F3">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1272" w:type="dxa"/>
          </w:tcPr>
          <w:p w14:paraId="78505F02">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732" w:type="dxa"/>
          </w:tcPr>
          <w:p w14:paraId="146AB65D">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1896" w:type="dxa"/>
          </w:tcPr>
          <w:p w14:paraId="54DE2C85">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1857" w:type="dxa"/>
          </w:tcPr>
          <w:p w14:paraId="64A8061A">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r>
      <w:tr w14:paraId="6A066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1438" w:type="dxa"/>
            <w:vAlign w:val="center"/>
          </w:tcPr>
          <w:p w14:paraId="75B758A4">
            <w:pPr>
              <w:pStyle w:val="8"/>
              <w:pageBreakBefore w:val="0"/>
              <w:topLinePunct w:val="0"/>
              <w:bidi w:val="0"/>
              <w:spacing w:line="500" w:lineRule="exact"/>
              <w:ind w:left="0" w:leftChars="0" w:right="0" w:rightChars="0" w:firstLine="402" w:firstLineChars="200"/>
              <w:jc w:val="center"/>
              <w:rPr>
                <w:rFonts w:hint="default"/>
                <w:b/>
                <w:bCs/>
                <w:color w:val="auto"/>
                <w:vertAlign w:val="baseline"/>
                <w:lang w:val="en-US" w:eastAsia="zh-CN"/>
              </w:rPr>
            </w:pPr>
            <w:r>
              <w:rPr>
                <w:rFonts w:hint="eastAsia"/>
                <w:b/>
                <w:bCs/>
                <w:color w:val="auto"/>
                <w:vertAlign w:val="baseline"/>
                <w:lang w:val="en-US" w:eastAsia="zh-CN"/>
              </w:rPr>
              <w:t>...</w:t>
            </w:r>
          </w:p>
        </w:tc>
        <w:tc>
          <w:tcPr>
            <w:tcW w:w="1287" w:type="dxa"/>
          </w:tcPr>
          <w:p w14:paraId="1F9CB7B7">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1584" w:type="dxa"/>
          </w:tcPr>
          <w:p w14:paraId="10B3EA64">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1272" w:type="dxa"/>
          </w:tcPr>
          <w:p w14:paraId="31141670">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732" w:type="dxa"/>
          </w:tcPr>
          <w:p w14:paraId="7F712171">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1896" w:type="dxa"/>
          </w:tcPr>
          <w:p w14:paraId="0D1EDCAC">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1857" w:type="dxa"/>
          </w:tcPr>
          <w:p w14:paraId="5BD21F08">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r>
      <w:tr w14:paraId="1484F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1438" w:type="dxa"/>
            <w:vAlign w:val="center"/>
          </w:tcPr>
          <w:p w14:paraId="184C2542">
            <w:pPr>
              <w:pStyle w:val="8"/>
              <w:pageBreakBefore w:val="0"/>
              <w:topLinePunct w:val="0"/>
              <w:bidi w:val="0"/>
              <w:spacing w:line="500" w:lineRule="exact"/>
              <w:ind w:left="0" w:leftChars="0" w:right="0" w:rightChars="0" w:firstLine="402" w:firstLineChars="200"/>
              <w:jc w:val="center"/>
              <w:rPr>
                <w:rFonts w:hint="default"/>
                <w:b/>
                <w:bCs/>
                <w:color w:val="auto"/>
                <w:vertAlign w:val="baseline"/>
                <w:lang w:val="en-US" w:eastAsia="zh-CN"/>
              </w:rPr>
            </w:pPr>
            <w:r>
              <w:rPr>
                <w:rFonts w:hint="eastAsia"/>
                <w:b/>
                <w:bCs/>
                <w:color w:val="auto"/>
                <w:vertAlign w:val="baseline"/>
                <w:lang w:val="en-US" w:eastAsia="zh-CN"/>
              </w:rPr>
              <w:t>合计</w:t>
            </w:r>
          </w:p>
        </w:tc>
        <w:tc>
          <w:tcPr>
            <w:tcW w:w="1287" w:type="dxa"/>
          </w:tcPr>
          <w:p w14:paraId="5A755297">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1584" w:type="dxa"/>
          </w:tcPr>
          <w:p w14:paraId="7DDC3664">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1272" w:type="dxa"/>
          </w:tcPr>
          <w:p w14:paraId="3320E071">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732" w:type="dxa"/>
          </w:tcPr>
          <w:p w14:paraId="293473B9">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1896" w:type="dxa"/>
          </w:tcPr>
          <w:p w14:paraId="0D42791F">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c>
          <w:tcPr>
            <w:tcW w:w="1857" w:type="dxa"/>
          </w:tcPr>
          <w:p w14:paraId="1A32EB23">
            <w:pPr>
              <w:pStyle w:val="8"/>
              <w:pageBreakBefore w:val="0"/>
              <w:topLinePunct w:val="0"/>
              <w:bidi w:val="0"/>
              <w:spacing w:line="500" w:lineRule="exact"/>
              <w:ind w:left="0" w:leftChars="0" w:right="0" w:rightChars="0" w:firstLine="400" w:firstLineChars="200"/>
              <w:jc w:val="both"/>
              <w:rPr>
                <w:rFonts w:hint="eastAsia"/>
                <w:color w:val="auto"/>
                <w:vertAlign w:val="baseline"/>
                <w:lang w:val="en-US" w:eastAsia="zh-CN"/>
              </w:rPr>
            </w:pPr>
          </w:p>
        </w:tc>
      </w:tr>
    </w:tbl>
    <w:p w14:paraId="772787F5">
      <w:pPr>
        <w:keepNext w:val="0"/>
        <w:keepLines w:val="0"/>
        <w:pageBreakBefore w:val="0"/>
        <w:widowControl/>
        <w:suppressLineNumbers w:val="0"/>
        <w:topLinePunct w:val="0"/>
        <w:bidi w:val="0"/>
        <w:spacing w:line="500" w:lineRule="exact"/>
        <w:ind w:right="0" w:rightChars="0" w:firstLine="241" w:firstLineChars="100"/>
        <w:jc w:val="left"/>
        <w:rPr>
          <w:color w:val="auto"/>
        </w:rPr>
      </w:pPr>
      <w:r>
        <w:rPr>
          <w:rFonts w:hint="eastAsia" w:ascii="宋体" w:hAnsi="宋体" w:eastAsia="宋体" w:cs="宋体"/>
          <w:b/>
          <w:bCs/>
          <w:color w:val="auto"/>
          <w:kern w:val="0"/>
          <w:sz w:val="24"/>
          <w:szCs w:val="24"/>
          <w:lang w:val="en-US" w:eastAsia="zh-CN" w:bidi="ar"/>
        </w:rPr>
        <w:t>三、合同价款</w:t>
      </w:r>
    </w:p>
    <w:p w14:paraId="29CCA548">
      <w:pPr>
        <w:pageBreakBefore w:val="0"/>
        <w:topLinePunct w:val="0"/>
        <w:bidi w:val="0"/>
        <w:spacing w:line="500" w:lineRule="exact"/>
        <w:ind w:left="0" w:leftChars="0" w:right="0" w:rightChars="0" w:firstLine="472" w:firstLineChars="200"/>
        <w:jc w:val="both"/>
        <w:rPr>
          <w:rFonts w:hint="eastAsia"/>
          <w:color w:val="auto"/>
          <w:spacing w:val="-2"/>
          <w:position w:val="15"/>
          <w:sz w:val="24"/>
          <w:szCs w:val="24"/>
          <w:lang w:val="en-US" w:eastAsia="zh-CN"/>
        </w:rPr>
      </w:pPr>
      <w:r>
        <w:rPr>
          <w:rFonts w:hint="eastAsia"/>
          <w:color w:val="auto"/>
          <w:spacing w:val="-2"/>
          <w:position w:val="15"/>
          <w:sz w:val="24"/>
          <w:szCs w:val="24"/>
          <w:lang w:val="en-US" w:eastAsia="zh-CN"/>
        </w:rPr>
        <w:t>1.投标单价应包括食品采购、包装、运输、装卸、加工、供货服务期限、配送（配送到指定学校地点）、售后服务及国家按现行税收政策征收的一切税费等。（镇办核心校负责辖区学校各相关票据、数据的审核和资金审查工作，区级相关部门负责实施工作督查和相关资金审计。）</w:t>
      </w:r>
    </w:p>
    <w:p w14:paraId="2E5E0FBB">
      <w:pPr>
        <w:spacing w:line="360" w:lineRule="auto"/>
        <w:ind w:firstLine="480" w:firstLineChars="20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2</w:t>
      </w:r>
      <w:r>
        <w:rPr>
          <w:rFonts w:hint="eastAsia" w:cs="宋体"/>
          <w:i w:val="0"/>
          <w:iCs w:val="0"/>
          <w:color w:val="auto"/>
          <w:sz w:val="24"/>
          <w:szCs w:val="24"/>
          <w:lang w:val="en-US" w:eastAsia="zh-CN"/>
        </w:rPr>
        <w:t>.</w:t>
      </w:r>
      <w:r>
        <w:rPr>
          <w:rFonts w:hint="eastAsia" w:ascii="宋体" w:hAnsi="宋体" w:eastAsia="宋体" w:cs="宋体"/>
          <w:i w:val="0"/>
          <w:iCs w:val="0"/>
          <w:color w:val="auto"/>
          <w:sz w:val="24"/>
          <w:szCs w:val="24"/>
        </w:rPr>
        <w:t>合同包一</w:t>
      </w:r>
      <w:r>
        <w:rPr>
          <w:rFonts w:hint="eastAsia" w:cs="宋体"/>
          <w:i w:val="0"/>
          <w:iCs w:val="0"/>
          <w:color w:val="auto"/>
          <w:sz w:val="24"/>
          <w:szCs w:val="24"/>
          <w:lang w:eastAsia="zh-CN"/>
        </w:rPr>
        <w:t>：</w:t>
      </w:r>
    </w:p>
    <w:p w14:paraId="6E60C2A7">
      <w:pPr>
        <w:numPr>
          <w:ilvl w:val="0"/>
          <w:numId w:val="0"/>
        </w:numPr>
        <w:spacing w:line="360" w:lineRule="auto"/>
        <w:ind w:firstLine="480" w:firstLineChars="20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投标报价表中</w:t>
      </w:r>
      <w:r>
        <w:rPr>
          <w:rFonts w:hint="eastAsia" w:ascii="宋体" w:hAnsi="宋体" w:eastAsia="宋体" w:cs="宋体"/>
          <w:i w:val="0"/>
          <w:iCs w:val="0"/>
          <w:color w:val="auto"/>
          <w:sz w:val="24"/>
          <w:szCs w:val="24"/>
          <w:lang w:eastAsia="zh-CN"/>
        </w:rPr>
        <w:t>（</w:t>
      </w:r>
      <w:r>
        <w:rPr>
          <w:rFonts w:hint="eastAsia" w:ascii="宋体" w:hAnsi="宋体" w:eastAsia="宋体" w:cs="宋体"/>
          <w:i w:val="0"/>
          <w:iCs w:val="0"/>
          <w:color w:val="auto"/>
          <w:sz w:val="24"/>
          <w:szCs w:val="24"/>
        </w:rPr>
        <w:t>大米、面粉</w:t>
      </w:r>
      <w:r>
        <w:rPr>
          <w:rFonts w:hint="eastAsia" w:ascii="宋体" w:hAnsi="宋体" w:eastAsia="宋体" w:cs="宋体"/>
          <w:i w:val="0"/>
          <w:iCs w:val="0"/>
          <w:color w:val="auto"/>
          <w:sz w:val="24"/>
          <w:szCs w:val="24"/>
          <w:lang w:eastAsia="zh-CN"/>
        </w:rPr>
        <w:t>、</w:t>
      </w:r>
      <w:r>
        <w:rPr>
          <w:rFonts w:hint="eastAsia" w:ascii="宋体" w:hAnsi="宋体" w:eastAsia="宋体" w:cs="宋体"/>
          <w:i w:val="0"/>
          <w:iCs w:val="0"/>
          <w:color w:val="auto"/>
          <w:sz w:val="24"/>
          <w:szCs w:val="24"/>
        </w:rPr>
        <w:t>菜籽油</w:t>
      </w:r>
      <w:r>
        <w:rPr>
          <w:rFonts w:hint="eastAsia" w:ascii="宋体" w:hAnsi="宋体" w:eastAsia="宋体" w:cs="宋体"/>
          <w:i w:val="0"/>
          <w:iCs w:val="0"/>
          <w:color w:val="auto"/>
          <w:sz w:val="24"/>
          <w:szCs w:val="24"/>
          <w:lang w:eastAsia="zh-CN"/>
        </w:rPr>
        <w:t>）</w:t>
      </w:r>
      <w:r>
        <w:rPr>
          <w:rFonts w:hint="eastAsia" w:ascii="宋体" w:hAnsi="宋体" w:eastAsia="宋体" w:cs="宋体"/>
          <w:i w:val="0"/>
          <w:iCs w:val="0"/>
          <w:color w:val="auto"/>
          <w:sz w:val="24"/>
          <w:szCs w:val="24"/>
        </w:rPr>
        <w:t>标明的价格应为履行合同的固定综合单价，合同有效期内合同单价一次包死。最终结算价格以固定综合单价乘以实际供货数量的合计为准。</w:t>
      </w:r>
    </w:p>
    <w:p w14:paraId="5F0FC59F">
      <w:pPr>
        <w:numPr>
          <w:ilvl w:val="0"/>
          <w:numId w:val="0"/>
        </w:numPr>
        <w:spacing w:line="360" w:lineRule="auto"/>
        <w:ind w:firstLine="480" w:firstLineChars="20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投标报价表中</w:t>
      </w:r>
      <w:r>
        <w:rPr>
          <w:rFonts w:hint="eastAsia" w:cs="宋体"/>
          <w:i w:val="0"/>
          <w:iCs w:val="0"/>
          <w:color w:val="auto"/>
          <w:sz w:val="24"/>
          <w:szCs w:val="24"/>
          <w:lang w:eastAsia="zh-CN"/>
        </w:rPr>
        <w:t>面制品</w:t>
      </w:r>
      <w:r>
        <w:rPr>
          <w:rFonts w:hint="eastAsia" w:ascii="宋体" w:hAnsi="宋体" w:eastAsia="宋体" w:cs="宋体"/>
          <w:i w:val="0"/>
          <w:iCs w:val="0"/>
          <w:color w:val="auto"/>
          <w:sz w:val="24"/>
          <w:szCs w:val="24"/>
        </w:rPr>
        <w:t>标明的价格为总价，最终结算价格单价因此类原辅料价格因市场行情波动较大，需采取市场采价确定。具体为汉滨区教体局联合区发改部门及各学校成立询价小组，选择在汉滨城区3家及以上大型商超及农贸市场进行询价。每月开展两次市场采价询价工作，将每次所取的市场均价作为后半月的结算价。故每</w:t>
      </w:r>
      <w:r>
        <w:rPr>
          <w:rFonts w:hint="eastAsia" w:cs="宋体"/>
          <w:i w:val="0"/>
          <w:iCs w:val="0"/>
          <w:color w:val="auto"/>
          <w:sz w:val="24"/>
          <w:szCs w:val="24"/>
          <w:lang w:val="en-US" w:eastAsia="zh-CN"/>
        </w:rPr>
        <w:t>次</w:t>
      </w:r>
      <w:r>
        <w:rPr>
          <w:rFonts w:hint="eastAsia" w:ascii="宋体" w:hAnsi="宋体" w:eastAsia="宋体" w:cs="宋体"/>
          <w:i w:val="0"/>
          <w:iCs w:val="0"/>
          <w:color w:val="auto"/>
          <w:sz w:val="24"/>
          <w:szCs w:val="24"/>
        </w:rPr>
        <w:t>结算单价的计算方式为：所取的市场均价为基准*（1－优惠率），依据实际供货量据实结算。</w:t>
      </w:r>
    </w:p>
    <w:p w14:paraId="60603200">
      <w:pPr>
        <w:numPr>
          <w:ilvl w:val="0"/>
          <w:numId w:val="0"/>
        </w:numPr>
        <w:spacing w:line="360" w:lineRule="auto"/>
        <w:ind w:firstLine="480" w:firstLineChars="200"/>
        <w:rPr>
          <w:rFonts w:hint="eastAsia"/>
          <w:color w:val="auto"/>
        </w:rPr>
      </w:pPr>
      <w:r>
        <w:rPr>
          <w:rFonts w:hint="eastAsia" w:ascii="宋体" w:hAnsi="宋体" w:eastAsia="宋体" w:cs="宋体"/>
          <w:i w:val="0"/>
          <w:iCs w:val="0"/>
          <w:color w:val="auto"/>
          <w:sz w:val="24"/>
          <w:szCs w:val="24"/>
        </w:rPr>
        <w:t>投标报价表中</w:t>
      </w:r>
      <w:r>
        <w:rPr>
          <w:rFonts w:hint="eastAsia" w:ascii="宋体" w:hAnsi="宋体" w:eastAsia="宋体" w:cs="宋体"/>
          <w:i w:val="0"/>
          <w:iCs w:val="0"/>
          <w:color w:val="auto"/>
          <w:sz w:val="24"/>
          <w:szCs w:val="24"/>
          <w:lang w:eastAsia="zh-CN"/>
        </w:rPr>
        <w:t>牛奶</w:t>
      </w:r>
      <w:r>
        <w:rPr>
          <w:rFonts w:hint="eastAsia" w:ascii="宋体" w:hAnsi="宋体" w:eastAsia="宋体" w:cs="宋体"/>
          <w:i w:val="0"/>
          <w:iCs w:val="0"/>
          <w:color w:val="auto"/>
          <w:sz w:val="24"/>
          <w:szCs w:val="24"/>
        </w:rPr>
        <w:t>标明的价格为总价，最终结算价格单价因此类原辅料价格因市场行情波动较大，需采取市场采价确定。具体为汉滨区教体局联合区发改部门及各学校成立询价小组，选择在汉滨城区3家及以上大型商超及农贸市场进行询价。每月开展两次市场采价询价工作，将每次所取的市场均价作为后半月的结算价。故每</w:t>
      </w:r>
      <w:r>
        <w:rPr>
          <w:rFonts w:hint="eastAsia" w:cs="宋体"/>
          <w:i w:val="0"/>
          <w:iCs w:val="0"/>
          <w:color w:val="auto"/>
          <w:sz w:val="24"/>
          <w:szCs w:val="24"/>
          <w:lang w:val="en-US" w:eastAsia="zh-CN"/>
        </w:rPr>
        <w:t>次</w:t>
      </w:r>
      <w:r>
        <w:rPr>
          <w:rFonts w:hint="eastAsia" w:ascii="宋体" w:hAnsi="宋体" w:eastAsia="宋体" w:cs="宋体"/>
          <w:i w:val="0"/>
          <w:iCs w:val="0"/>
          <w:color w:val="auto"/>
          <w:sz w:val="24"/>
          <w:szCs w:val="24"/>
        </w:rPr>
        <w:t>结算单价的计算方式为：所取的市场均价为基准*（1－优惠率），依据实际供货量据实结算。</w:t>
      </w:r>
    </w:p>
    <w:p w14:paraId="35D3CCBA">
      <w:pPr>
        <w:numPr>
          <w:ilvl w:val="0"/>
          <w:numId w:val="0"/>
        </w:numPr>
        <w:spacing w:line="360" w:lineRule="auto"/>
        <w:ind w:firstLine="480" w:firstLineChars="200"/>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rPr>
        <w:t>投标报价表中</w:t>
      </w:r>
      <w:r>
        <w:rPr>
          <w:rFonts w:hint="eastAsia" w:ascii="宋体" w:hAnsi="宋体" w:eastAsia="宋体" w:cs="宋体"/>
          <w:i w:val="0"/>
          <w:iCs w:val="0"/>
          <w:color w:val="auto"/>
          <w:sz w:val="24"/>
          <w:szCs w:val="24"/>
          <w:lang w:eastAsia="zh-CN"/>
        </w:rPr>
        <w:t>（杂粮）</w:t>
      </w:r>
      <w:r>
        <w:rPr>
          <w:rFonts w:hint="eastAsia" w:ascii="宋体" w:hAnsi="宋体" w:eastAsia="宋体" w:cs="宋体"/>
          <w:i w:val="0"/>
          <w:iCs w:val="0"/>
          <w:color w:val="auto"/>
          <w:sz w:val="24"/>
          <w:szCs w:val="24"/>
        </w:rPr>
        <w:t>标明的价格为总价，最终结算价格单价</w:t>
      </w:r>
      <w:r>
        <w:rPr>
          <w:rFonts w:hint="eastAsia" w:ascii="宋体" w:hAnsi="宋体" w:eastAsia="宋体" w:cs="宋体"/>
          <w:i w:val="0"/>
          <w:iCs w:val="0"/>
          <w:color w:val="auto"/>
          <w:sz w:val="24"/>
          <w:szCs w:val="24"/>
          <w:lang w:eastAsia="zh-CN"/>
        </w:rPr>
        <w:t>因</w:t>
      </w:r>
      <w:r>
        <w:rPr>
          <w:rFonts w:hint="eastAsia" w:ascii="宋体" w:hAnsi="宋体" w:eastAsia="宋体" w:cs="宋体"/>
          <w:i w:val="0"/>
          <w:iCs w:val="0"/>
          <w:color w:val="auto"/>
          <w:sz w:val="24"/>
          <w:szCs w:val="24"/>
          <w:lang w:val="en-US" w:eastAsia="zh-CN"/>
        </w:rPr>
        <w:t>此类原辅料价格因市场行情波动较大，需采取市场采价确定。具体为汉滨区教体局联合区发改部门及各学校成立询价小组，选择在汉滨城区3家及以上大型商超及农贸市场进行询价。每月开展两次市场采价询价工作，将每次所取的市场均价作为后半月的结算价</w:t>
      </w:r>
      <w:r>
        <w:rPr>
          <w:rFonts w:hint="eastAsia" w:ascii="宋体" w:hAnsi="宋体" w:eastAsia="宋体" w:cs="宋体"/>
          <w:i w:val="0"/>
          <w:iCs w:val="0"/>
          <w:color w:val="auto"/>
          <w:sz w:val="24"/>
          <w:szCs w:val="24"/>
        </w:rPr>
        <w:t>。故每</w:t>
      </w:r>
      <w:r>
        <w:rPr>
          <w:rFonts w:hint="eastAsia" w:cs="宋体"/>
          <w:i w:val="0"/>
          <w:iCs w:val="0"/>
          <w:color w:val="auto"/>
          <w:sz w:val="24"/>
          <w:szCs w:val="24"/>
          <w:lang w:val="en-US" w:eastAsia="zh-CN"/>
        </w:rPr>
        <w:t>次</w:t>
      </w:r>
      <w:r>
        <w:rPr>
          <w:rFonts w:hint="eastAsia" w:ascii="宋体" w:hAnsi="宋体" w:eastAsia="宋体" w:cs="宋体"/>
          <w:i w:val="0"/>
          <w:iCs w:val="0"/>
          <w:color w:val="auto"/>
          <w:sz w:val="24"/>
          <w:szCs w:val="24"/>
        </w:rPr>
        <w:t>结算单价</w:t>
      </w:r>
      <w:r>
        <w:rPr>
          <w:rFonts w:hint="eastAsia" w:ascii="宋体" w:hAnsi="宋体" w:eastAsia="宋体" w:cs="宋体"/>
          <w:i w:val="0"/>
          <w:iCs w:val="0"/>
          <w:color w:val="auto"/>
          <w:sz w:val="24"/>
          <w:szCs w:val="24"/>
          <w:lang w:eastAsia="zh-CN"/>
        </w:rPr>
        <w:t>的</w:t>
      </w:r>
      <w:r>
        <w:rPr>
          <w:rFonts w:hint="eastAsia" w:ascii="宋体" w:hAnsi="宋体" w:eastAsia="宋体" w:cs="宋体"/>
          <w:i w:val="0"/>
          <w:iCs w:val="0"/>
          <w:color w:val="auto"/>
          <w:sz w:val="24"/>
          <w:szCs w:val="24"/>
        </w:rPr>
        <w:t>计算方式为</w:t>
      </w:r>
      <w:r>
        <w:rPr>
          <w:rFonts w:hint="eastAsia" w:ascii="宋体" w:hAnsi="宋体" w:eastAsia="宋体" w:cs="宋体"/>
          <w:i w:val="0"/>
          <w:iCs w:val="0"/>
          <w:color w:val="auto"/>
          <w:sz w:val="24"/>
          <w:szCs w:val="24"/>
          <w:lang w:eastAsia="zh-CN"/>
        </w:rPr>
        <w:t>：</w:t>
      </w:r>
      <w:r>
        <w:rPr>
          <w:rFonts w:hint="eastAsia" w:ascii="宋体" w:hAnsi="宋体" w:eastAsia="宋体" w:cs="宋体"/>
          <w:i w:val="0"/>
          <w:iCs w:val="0"/>
          <w:color w:val="auto"/>
          <w:sz w:val="24"/>
          <w:szCs w:val="24"/>
          <w:lang w:val="en-US" w:eastAsia="zh-CN"/>
        </w:rPr>
        <w:t>所取的市场均价</w:t>
      </w:r>
      <w:r>
        <w:rPr>
          <w:rFonts w:hint="eastAsia" w:ascii="宋体" w:hAnsi="宋体" w:eastAsia="宋体" w:cs="宋体"/>
          <w:i w:val="0"/>
          <w:iCs w:val="0"/>
          <w:color w:val="auto"/>
          <w:sz w:val="24"/>
          <w:szCs w:val="24"/>
        </w:rPr>
        <w:t>为基准*</w:t>
      </w:r>
      <w:r>
        <w:rPr>
          <w:rFonts w:hint="eastAsia" w:ascii="宋体" w:hAnsi="宋体" w:eastAsia="宋体" w:cs="宋体"/>
          <w:i w:val="0"/>
          <w:iCs w:val="0"/>
          <w:color w:val="auto"/>
          <w:sz w:val="24"/>
          <w:szCs w:val="24"/>
          <w:lang w:eastAsia="zh-CN"/>
        </w:rPr>
        <w:t>（</w:t>
      </w:r>
      <w:r>
        <w:rPr>
          <w:rFonts w:hint="eastAsia" w:ascii="宋体" w:hAnsi="宋体" w:eastAsia="宋体" w:cs="宋体"/>
          <w:i w:val="0"/>
          <w:iCs w:val="0"/>
          <w:color w:val="auto"/>
          <w:sz w:val="24"/>
          <w:szCs w:val="24"/>
        </w:rPr>
        <w:t>1</w:t>
      </w:r>
      <w:r>
        <w:rPr>
          <w:rFonts w:hint="eastAsia" w:ascii="宋体" w:hAnsi="宋体" w:eastAsia="宋体" w:cs="宋体"/>
          <w:i w:val="0"/>
          <w:iCs w:val="0"/>
          <w:color w:val="auto"/>
          <w:sz w:val="24"/>
          <w:szCs w:val="24"/>
          <w:lang w:eastAsia="zh-CN"/>
        </w:rPr>
        <w:t>－</w:t>
      </w:r>
      <w:r>
        <w:rPr>
          <w:rFonts w:hint="eastAsia" w:ascii="宋体" w:hAnsi="宋体" w:eastAsia="宋体" w:cs="宋体"/>
          <w:i w:val="0"/>
          <w:iCs w:val="0"/>
          <w:color w:val="auto"/>
          <w:sz w:val="24"/>
          <w:szCs w:val="24"/>
        </w:rPr>
        <w:t>优惠率</w:t>
      </w:r>
      <w:r>
        <w:rPr>
          <w:rFonts w:hint="eastAsia" w:ascii="宋体" w:hAnsi="宋体" w:eastAsia="宋体" w:cs="宋体"/>
          <w:i w:val="0"/>
          <w:iCs w:val="0"/>
          <w:color w:val="auto"/>
          <w:sz w:val="24"/>
          <w:szCs w:val="24"/>
          <w:lang w:eastAsia="zh-CN"/>
        </w:rPr>
        <w:t>）</w:t>
      </w:r>
      <w:r>
        <w:rPr>
          <w:rFonts w:hint="eastAsia" w:ascii="宋体" w:hAnsi="宋体" w:eastAsia="宋体" w:cs="宋体"/>
          <w:i w:val="0"/>
          <w:iCs w:val="0"/>
          <w:color w:val="auto"/>
          <w:sz w:val="24"/>
          <w:szCs w:val="24"/>
        </w:rPr>
        <w:t>，依据实际供货量据实结算</w:t>
      </w:r>
      <w:r>
        <w:rPr>
          <w:rFonts w:hint="eastAsia" w:ascii="宋体" w:hAnsi="宋体" w:eastAsia="宋体" w:cs="宋体"/>
          <w:i w:val="0"/>
          <w:iCs w:val="0"/>
          <w:color w:val="auto"/>
          <w:sz w:val="24"/>
          <w:szCs w:val="24"/>
          <w:lang w:eastAsia="zh-CN"/>
        </w:rPr>
        <w:t>。</w:t>
      </w:r>
    </w:p>
    <w:p w14:paraId="0455AD1D">
      <w:pPr>
        <w:numPr>
          <w:ilvl w:val="0"/>
          <w:numId w:val="0"/>
        </w:numPr>
        <w:spacing w:line="360" w:lineRule="auto"/>
        <w:ind w:firstLine="480" w:firstLineChars="200"/>
        <w:rPr>
          <w:rFonts w:hint="eastAsia" w:ascii="宋体" w:hAnsi="宋体" w:eastAsia="宋体" w:cs="宋体"/>
          <w:i w:val="0"/>
          <w:iCs w:val="0"/>
          <w:color w:val="auto"/>
          <w:sz w:val="24"/>
          <w:szCs w:val="24"/>
        </w:rPr>
      </w:pPr>
      <w:r>
        <w:rPr>
          <w:rFonts w:hint="eastAsia" w:cs="宋体"/>
          <w:i w:val="0"/>
          <w:iCs w:val="0"/>
          <w:color w:val="auto"/>
          <w:sz w:val="24"/>
          <w:szCs w:val="24"/>
          <w:lang w:val="en-US" w:eastAsia="zh-CN"/>
        </w:rPr>
        <w:t>3.</w:t>
      </w:r>
      <w:r>
        <w:rPr>
          <w:rFonts w:hint="eastAsia" w:ascii="宋体" w:hAnsi="宋体" w:eastAsia="宋体" w:cs="宋体"/>
          <w:i w:val="0"/>
          <w:iCs w:val="0"/>
          <w:color w:val="auto"/>
          <w:sz w:val="24"/>
          <w:szCs w:val="24"/>
        </w:rPr>
        <w:t>合同包二、</w:t>
      </w:r>
      <w:r>
        <w:rPr>
          <w:rFonts w:hint="eastAsia" w:cs="宋体"/>
          <w:i w:val="0"/>
          <w:iCs w:val="0"/>
          <w:color w:val="auto"/>
          <w:sz w:val="24"/>
          <w:szCs w:val="24"/>
          <w:lang w:eastAsia="zh-CN"/>
        </w:rPr>
        <w:t>合同包三：</w:t>
      </w:r>
    </w:p>
    <w:p w14:paraId="3AA04D05">
      <w:pPr>
        <w:numPr>
          <w:ilvl w:val="0"/>
          <w:numId w:val="0"/>
        </w:numPr>
        <w:spacing w:line="360" w:lineRule="auto"/>
        <w:ind w:firstLine="480" w:firstLineChars="200"/>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rPr>
        <w:t>投标报价表中</w:t>
      </w:r>
      <w:r>
        <w:rPr>
          <w:rFonts w:hint="eastAsia" w:cs="宋体"/>
          <w:i w:val="0"/>
          <w:iCs w:val="0"/>
          <w:color w:val="auto"/>
          <w:sz w:val="24"/>
          <w:szCs w:val="24"/>
          <w:lang w:eastAsia="zh-CN"/>
        </w:rPr>
        <w:t>（</w:t>
      </w:r>
      <w:r>
        <w:rPr>
          <w:rFonts w:hint="eastAsia" w:ascii="宋体" w:hAnsi="宋体" w:eastAsia="宋体" w:cs="宋体"/>
          <w:i w:val="0"/>
          <w:iCs w:val="0"/>
          <w:color w:val="auto"/>
          <w:sz w:val="24"/>
          <w:szCs w:val="24"/>
          <w:lang w:val="en-US" w:eastAsia="zh-CN"/>
        </w:rPr>
        <w:t>肉类食材和鸡蛋</w:t>
      </w:r>
      <w:r>
        <w:rPr>
          <w:rFonts w:hint="eastAsia" w:cs="宋体"/>
          <w:i w:val="0"/>
          <w:iCs w:val="0"/>
          <w:color w:val="auto"/>
          <w:sz w:val="24"/>
          <w:szCs w:val="24"/>
          <w:lang w:eastAsia="zh-CN"/>
        </w:rPr>
        <w:t>）</w:t>
      </w:r>
      <w:r>
        <w:rPr>
          <w:rFonts w:hint="eastAsia" w:ascii="宋体" w:hAnsi="宋体" w:eastAsia="宋体" w:cs="宋体"/>
          <w:i w:val="0"/>
          <w:iCs w:val="0"/>
          <w:color w:val="auto"/>
          <w:sz w:val="24"/>
          <w:szCs w:val="24"/>
        </w:rPr>
        <w:t>标明的价格为总价，</w:t>
      </w:r>
      <w:r>
        <w:rPr>
          <w:rFonts w:hint="eastAsia" w:ascii="宋体" w:hAnsi="宋体" w:eastAsia="宋体" w:cs="宋体"/>
          <w:i w:val="0"/>
          <w:iCs w:val="0"/>
          <w:color w:val="auto"/>
          <w:sz w:val="24"/>
          <w:szCs w:val="24"/>
          <w:shd w:val="clear" w:color="auto" w:fill="auto"/>
        </w:rPr>
        <w:t>最终结算价格单价</w:t>
      </w:r>
      <w:r>
        <w:rPr>
          <w:rFonts w:hint="eastAsia" w:ascii="宋体" w:hAnsi="宋体" w:eastAsia="宋体" w:cs="宋体"/>
          <w:i w:val="0"/>
          <w:iCs w:val="0"/>
          <w:color w:val="auto"/>
          <w:sz w:val="24"/>
          <w:szCs w:val="24"/>
          <w:shd w:val="clear" w:color="auto" w:fill="auto"/>
          <w:lang w:eastAsia="zh-CN"/>
        </w:rPr>
        <w:t>因</w:t>
      </w:r>
      <w:r>
        <w:rPr>
          <w:rFonts w:hint="eastAsia" w:ascii="宋体" w:hAnsi="宋体" w:eastAsia="宋体" w:cs="宋体"/>
          <w:i w:val="0"/>
          <w:iCs w:val="0"/>
          <w:color w:val="auto"/>
          <w:sz w:val="24"/>
          <w:szCs w:val="24"/>
          <w:shd w:val="clear" w:color="auto" w:fill="auto"/>
          <w:lang w:val="en-US" w:eastAsia="zh-CN"/>
        </w:rPr>
        <w:t>此类原辅料价格因市场行情波动较大，需采取市场采价确定。</w:t>
      </w:r>
      <w:r>
        <w:rPr>
          <w:rFonts w:hint="eastAsia" w:ascii="宋体" w:hAnsi="宋体" w:eastAsia="宋体" w:cs="宋体"/>
          <w:i w:val="0"/>
          <w:iCs w:val="0"/>
          <w:color w:val="auto"/>
          <w:sz w:val="24"/>
          <w:szCs w:val="24"/>
          <w:highlight w:val="none"/>
          <w:u w:val="none"/>
          <w:lang w:val="en-US" w:eastAsia="zh-CN"/>
        </w:rPr>
        <w:t>具体为汉滨区教体局联合区发改部门及各学校成立询价小组，选择在汉滨城区3家及以上大型商超及农贸市场进行询价。每月开展两次市场采价询价工作，将每次所取的市场均价作为后半月的结算价</w:t>
      </w:r>
      <w:r>
        <w:rPr>
          <w:rFonts w:hint="eastAsia" w:ascii="宋体" w:hAnsi="宋体" w:eastAsia="宋体" w:cs="宋体"/>
          <w:i w:val="0"/>
          <w:iCs w:val="0"/>
          <w:color w:val="auto"/>
          <w:sz w:val="24"/>
          <w:szCs w:val="24"/>
          <w:u w:val="none"/>
          <w:shd w:val="clear" w:color="auto" w:fill="auto"/>
        </w:rPr>
        <w:t>。</w:t>
      </w:r>
      <w:r>
        <w:rPr>
          <w:rFonts w:hint="eastAsia" w:ascii="宋体" w:hAnsi="宋体" w:eastAsia="宋体" w:cs="宋体"/>
          <w:i w:val="0"/>
          <w:iCs w:val="0"/>
          <w:color w:val="auto"/>
          <w:sz w:val="24"/>
          <w:szCs w:val="24"/>
        </w:rPr>
        <w:t>故每</w:t>
      </w:r>
      <w:r>
        <w:rPr>
          <w:rFonts w:hint="eastAsia" w:cs="宋体"/>
          <w:i w:val="0"/>
          <w:iCs w:val="0"/>
          <w:color w:val="auto"/>
          <w:sz w:val="24"/>
          <w:szCs w:val="24"/>
          <w:lang w:val="en-US" w:eastAsia="zh-CN"/>
        </w:rPr>
        <w:t>次</w:t>
      </w:r>
      <w:r>
        <w:rPr>
          <w:rFonts w:hint="eastAsia" w:ascii="宋体" w:hAnsi="宋体" w:eastAsia="宋体" w:cs="宋体"/>
          <w:i w:val="0"/>
          <w:iCs w:val="0"/>
          <w:color w:val="auto"/>
          <w:sz w:val="24"/>
          <w:szCs w:val="24"/>
        </w:rPr>
        <w:t>结算单价</w:t>
      </w:r>
      <w:r>
        <w:rPr>
          <w:rFonts w:hint="eastAsia" w:cs="宋体"/>
          <w:i w:val="0"/>
          <w:iCs w:val="0"/>
          <w:color w:val="auto"/>
          <w:sz w:val="24"/>
          <w:szCs w:val="24"/>
          <w:lang w:eastAsia="zh-CN"/>
        </w:rPr>
        <w:t>的</w:t>
      </w:r>
      <w:r>
        <w:rPr>
          <w:rFonts w:hint="eastAsia" w:ascii="宋体" w:hAnsi="宋体" w:eastAsia="宋体" w:cs="宋体"/>
          <w:i w:val="0"/>
          <w:iCs w:val="0"/>
          <w:color w:val="auto"/>
          <w:sz w:val="24"/>
          <w:szCs w:val="24"/>
        </w:rPr>
        <w:t>计算方式为</w:t>
      </w:r>
      <w:r>
        <w:rPr>
          <w:rFonts w:hint="eastAsia" w:cs="宋体"/>
          <w:i w:val="0"/>
          <w:iCs w:val="0"/>
          <w:color w:val="auto"/>
          <w:sz w:val="24"/>
          <w:szCs w:val="24"/>
          <w:lang w:eastAsia="zh-CN"/>
        </w:rPr>
        <w:t>：</w:t>
      </w:r>
      <w:r>
        <w:rPr>
          <w:rFonts w:hint="eastAsia" w:ascii="宋体" w:hAnsi="宋体" w:eastAsia="宋体" w:cs="宋体"/>
          <w:i w:val="0"/>
          <w:iCs w:val="0"/>
          <w:color w:val="auto"/>
          <w:sz w:val="24"/>
          <w:szCs w:val="24"/>
          <w:shd w:val="clear" w:color="auto" w:fill="auto"/>
          <w:lang w:val="en-US" w:eastAsia="zh-CN"/>
        </w:rPr>
        <w:t>所取的市场均价</w:t>
      </w:r>
      <w:r>
        <w:rPr>
          <w:rFonts w:hint="eastAsia" w:ascii="宋体" w:hAnsi="宋体" w:eastAsia="宋体" w:cs="宋体"/>
          <w:i w:val="0"/>
          <w:iCs w:val="0"/>
          <w:color w:val="auto"/>
          <w:sz w:val="24"/>
          <w:szCs w:val="24"/>
          <w:shd w:val="clear" w:color="auto" w:fill="auto"/>
        </w:rPr>
        <w:t>为基准*</w:t>
      </w:r>
      <w:r>
        <w:rPr>
          <w:rFonts w:hint="eastAsia" w:cs="宋体"/>
          <w:i w:val="0"/>
          <w:iCs w:val="0"/>
          <w:color w:val="auto"/>
          <w:sz w:val="24"/>
          <w:szCs w:val="24"/>
          <w:shd w:val="clear" w:color="auto" w:fill="auto"/>
          <w:lang w:eastAsia="zh-CN"/>
        </w:rPr>
        <w:t>（</w:t>
      </w:r>
      <w:r>
        <w:rPr>
          <w:rFonts w:hint="eastAsia" w:ascii="宋体" w:hAnsi="宋体" w:eastAsia="宋体" w:cs="宋体"/>
          <w:i w:val="0"/>
          <w:iCs w:val="0"/>
          <w:color w:val="auto"/>
          <w:sz w:val="24"/>
          <w:szCs w:val="24"/>
          <w:shd w:val="clear" w:color="auto" w:fill="auto"/>
        </w:rPr>
        <w:t>1</w:t>
      </w:r>
      <w:r>
        <w:rPr>
          <w:rFonts w:hint="eastAsia" w:cs="宋体"/>
          <w:i w:val="0"/>
          <w:iCs w:val="0"/>
          <w:color w:val="auto"/>
          <w:sz w:val="24"/>
          <w:szCs w:val="24"/>
          <w:shd w:val="clear" w:color="auto" w:fill="auto"/>
          <w:lang w:eastAsia="zh-CN"/>
        </w:rPr>
        <w:t>－</w:t>
      </w:r>
      <w:r>
        <w:rPr>
          <w:rFonts w:hint="eastAsia" w:ascii="宋体" w:hAnsi="宋体" w:eastAsia="宋体" w:cs="宋体"/>
          <w:i w:val="0"/>
          <w:iCs w:val="0"/>
          <w:color w:val="auto"/>
          <w:sz w:val="24"/>
          <w:szCs w:val="24"/>
          <w:shd w:val="clear" w:color="auto" w:fill="auto"/>
        </w:rPr>
        <w:t>优惠率</w:t>
      </w:r>
      <w:r>
        <w:rPr>
          <w:rFonts w:hint="eastAsia" w:cs="宋体"/>
          <w:i w:val="0"/>
          <w:iCs w:val="0"/>
          <w:color w:val="auto"/>
          <w:sz w:val="24"/>
          <w:szCs w:val="24"/>
          <w:shd w:val="clear" w:color="auto" w:fill="auto"/>
          <w:lang w:eastAsia="zh-CN"/>
        </w:rPr>
        <w:t>）</w:t>
      </w:r>
      <w:r>
        <w:rPr>
          <w:rFonts w:hint="eastAsia" w:ascii="宋体" w:hAnsi="宋体" w:eastAsia="宋体" w:cs="宋体"/>
          <w:i w:val="0"/>
          <w:iCs w:val="0"/>
          <w:color w:val="auto"/>
          <w:sz w:val="24"/>
          <w:szCs w:val="24"/>
          <w:shd w:val="clear" w:color="auto" w:fill="auto"/>
        </w:rPr>
        <w:t>，依据实际供货量据实结</w:t>
      </w:r>
      <w:r>
        <w:rPr>
          <w:rFonts w:hint="eastAsia" w:ascii="宋体" w:hAnsi="宋体" w:eastAsia="宋体" w:cs="宋体"/>
          <w:i w:val="0"/>
          <w:iCs w:val="0"/>
          <w:color w:val="auto"/>
          <w:sz w:val="24"/>
          <w:szCs w:val="24"/>
        </w:rPr>
        <w:t>算</w:t>
      </w:r>
      <w:r>
        <w:rPr>
          <w:rFonts w:hint="eastAsia" w:ascii="宋体" w:hAnsi="宋体" w:eastAsia="宋体" w:cs="宋体"/>
          <w:i w:val="0"/>
          <w:iCs w:val="0"/>
          <w:color w:val="auto"/>
          <w:sz w:val="24"/>
          <w:szCs w:val="24"/>
          <w:lang w:eastAsia="zh-CN"/>
        </w:rPr>
        <w:t>。</w:t>
      </w:r>
    </w:p>
    <w:p w14:paraId="7673B634">
      <w:pPr>
        <w:keepNext w:val="0"/>
        <w:keepLines w:val="0"/>
        <w:pageBreakBefore w:val="0"/>
        <w:widowControl/>
        <w:suppressLineNumbers w:val="0"/>
        <w:topLinePunct w:val="0"/>
        <w:bidi w:val="0"/>
        <w:spacing w:line="500" w:lineRule="exact"/>
        <w:ind w:left="0" w:leftChars="0" w:right="0" w:rightChars="0" w:firstLine="482" w:firstLineChars="200"/>
        <w:jc w:val="left"/>
        <w:rPr>
          <w:color w:val="auto"/>
        </w:rPr>
      </w:pPr>
      <w:r>
        <w:rPr>
          <w:rFonts w:hint="eastAsia" w:ascii="宋体" w:hAnsi="宋体" w:eastAsia="宋体" w:cs="宋体"/>
          <w:b/>
          <w:bCs/>
          <w:color w:val="auto"/>
          <w:kern w:val="0"/>
          <w:sz w:val="24"/>
          <w:szCs w:val="24"/>
          <w:lang w:val="en-US" w:eastAsia="zh-CN" w:bidi="ar"/>
        </w:rPr>
        <w:t xml:space="preserve">四、合同结算 </w:t>
      </w:r>
    </w:p>
    <w:p w14:paraId="1CE5DAB5">
      <w:pPr>
        <w:pageBreakBefore w:val="0"/>
        <w:topLinePunct w:val="0"/>
        <w:bidi w:val="0"/>
        <w:spacing w:line="500" w:lineRule="exact"/>
        <w:ind w:left="0" w:leftChars="0" w:right="0" w:rightChars="0" w:firstLine="472" w:firstLineChars="200"/>
        <w:jc w:val="both"/>
        <w:rPr>
          <w:rFonts w:hint="eastAsia" w:ascii="宋体" w:hAnsi="宋体" w:eastAsia="宋体" w:cs="宋体"/>
          <w:color w:val="auto"/>
          <w:spacing w:val="-2"/>
          <w:position w:val="15"/>
          <w:sz w:val="24"/>
          <w:szCs w:val="24"/>
          <w:lang w:val="en-US" w:eastAsia="zh-CN"/>
        </w:rPr>
      </w:pPr>
      <w:r>
        <w:rPr>
          <w:rFonts w:hint="eastAsia" w:ascii="宋体" w:hAnsi="宋体" w:eastAsia="宋体" w:cs="宋体"/>
          <w:color w:val="auto"/>
          <w:spacing w:val="-2"/>
          <w:position w:val="15"/>
          <w:sz w:val="24"/>
          <w:szCs w:val="24"/>
          <w:lang w:val="en-US" w:eastAsia="zh-CN"/>
        </w:rPr>
        <w:t>1</w:t>
      </w:r>
      <w:r>
        <w:rPr>
          <w:rFonts w:hint="eastAsia" w:cs="宋体"/>
          <w:color w:val="auto"/>
          <w:spacing w:val="-2"/>
          <w:position w:val="15"/>
          <w:sz w:val="24"/>
          <w:szCs w:val="24"/>
          <w:lang w:val="en-US" w:eastAsia="zh-CN"/>
        </w:rPr>
        <w:t>.</w:t>
      </w:r>
      <w:r>
        <w:rPr>
          <w:rFonts w:hint="eastAsia" w:ascii="宋体" w:hAnsi="宋体" w:eastAsia="宋体" w:cs="宋体"/>
          <w:color w:val="auto"/>
          <w:spacing w:val="-2"/>
          <w:position w:val="15"/>
          <w:sz w:val="24"/>
          <w:szCs w:val="24"/>
          <w:lang w:val="en-US" w:eastAsia="zh-CN"/>
        </w:rPr>
        <w:t>结算方式：月结，即每月结算一次。乙方于当月供货期满后开出正式发票，由实施学校与中标单位结算。（供货方、合同方、收款方名称应一致）</w:t>
      </w:r>
    </w:p>
    <w:p w14:paraId="204E6CE1">
      <w:pPr>
        <w:pageBreakBefore w:val="0"/>
        <w:topLinePunct w:val="0"/>
        <w:bidi w:val="0"/>
        <w:spacing w:line="500" w:lineRule="exact"/>
        <w:ind w:left="0" w:leftChars="0" w:right="0" w:rightChars="0" w:firstLine="472" w:firstLineChars="200"/>
        <w:jc w:val="both"/>
        <w:rPr>
          <w:rFonts w:hint="eastAsia" w:ascii="宋体" w:hAnsi="宋体" w:eastAsia="宋体" w:cs="宋体"/>
          <w:color w:val="auto"/>
          <w:spacing w:val="-2"/>
          <w:position w:val="15"/>
          <w:sz w:val="24"/>
          <w:szCs w:val="24"/>
          <w:lang w:val="en-US" w:eastAsia="zh-CN"/>
        </w:rPr>
      </w:pPr>
      <w:r>
        <w:rPr>
          <w:rFonts w:hint="eastAsia" w:ascii="宋体" w:hAnsi="宋体" w:eastAsia="宋体" w:cs="宋体"/>
          <w:color w:val="auto"/>
          <w:spacing w:val="-2"/>
          <w:position w:val="15"/>
          <w:sz w:val="24"/>
          <w:szCs w:val="24"/>
          <w:lang w:val="en-US" w:eastAsia="zh-CN"/>
        </w:rPr>
        <w:t>1.1 支付单位为：</w:t>
      </w:r>
      <w:r>
        <w:rPr>
          <w:rFonts w:hint="eastAsia" w:ascii="宋体" w:hAnsi="宋体" w:eastAsia="宋体" w:cs="宋体"/>
          <w:color w:val="auto"/>
          <w:spacing w:val="-2"/>
          <w:position w:val="15"/>
          <w:sz w:val="24"/>
          <w:szCs w:val="24"/>
          <w:u w:val="single"/>
          <w:lang w:val="en-US" w:eastAsia="zh-CN"/>
        </w:rPr>
        <w:t xml:space="preserve">           </w:t>
      </w:r>
    </w:p>
    <w:p w14:paraId="46F2E6A4">
      <w:pPr>
        <w:pageBreakBefore w:val="0"/>
        <w:topLinePunct w:val="0"/>
        <w:bidi w:val="0"/>
        <w:spacing w:line="500" w:lineRule="exact"/>
        <w:ind w:left="0" w:leftChars="0" w:right="0" w:rightChars="0" w:firstLine="472" w:firstLineChars="200"/>
        <w:jc w:val="both"/>
        <w:rPr>
          <w:rFonts w:hint="eastAsia" w:ascii="宋体" w:hAnsi="宋体" w:eastAsia="宋体" w:cs="宋体"/>
          <w:color w:val="auto"/>
          <w:spacing w:val="-2"/>
          <w:position w:val="15"/>
          <w:sz w:val="24"/>
          <w:szCs w:val="24"/>
          <w:u w:val="single"/>
          <w:lang w:val="en-US" w:eastAsia="zh-CN"/>
        </w:rPr>
      </w:pPr>
      <w:r>
        <w:rPr>
          <w:rFonts w:hint="eastAsia" w:ascii="宋体" w:hAnsi="宋体" w:eastAsia="宋体" w:cs="宋体"/>
          <w:color w:val="auto"/>
          <w:spacing w:val="-2"/>
          <w:position w:val="15"/>
          <w:sz w:val="24"/>
          <w:szCs w:val="24"/>
          <w:lang w:val="en-US" w:eastAsia="zh-CN"/>
        </w:rPr>
        <w:t>2</w:t>
      </w:r>
      <w:r>
        <w:rPr>
          <w:rFonts w:hint="eastAsia" w:cs="宋体"/>
          <w:color w:val="auto"/>
          <w:spacing w:val="-2"/>
          <w:position w:val="15"/>
          <w:sz w:val="24"/>
          <w:szCs w:val="24"/>
          <w:lang w:val="en-US" w:eastAsia="zh-CN"/>
        </w:rPr>
        <w:t>.</w:t>
      </w:r>
      <w:r>
        <w:rPr>
          <w:rFonts w:hint="eastAsia" w:ascii="宋体" w:hAnsi="宋体" w:eastAsia="宋体" w:cs="宋体"/>
          <w:color w:val="auto"/>
          <w:spacing w:val="-2"/>
          <w:position w:val="15"/>
          <w:sz w:val="24"/>
          <w:szCs w:val="24"/>
          <w:lang w:val="en-US" w:eastAsia="zh-CN"/>
        </w:rPr>
        <w:t>发票开具的“购货单位（人）名称”为：</w:t>
      </w:r>
      <w:r>
        <w:rPr>
          <w:rFonts w:hint="eastAsia" w:ascii="宋体" w:hAnsi="宋体" w:eastAsia="宋体" w:cs="宋体"/>
          <w:color w:val="auto"/>
          <w:spacing w:val="-2"/>
          <w:position w:val="15"/>
          <w:sz w:val="24"/>
          <w:szCs w:val="24"/>
          <w:u w:val="single"/>
          <w:lang w:val="en-US" w:eastAsia="zh-CN"/>
        </w:rPr>
        <w:t xml:space="preserve">             </w:t>
      </w:r>
    </w:p>
    <w:p w14:paraId="41A1ED28">
      <w:pPr>
        <w:keepNext w:val="0"/>
        <w:keepLines w:val="0"/>
        <w:pageBreakBefore w:val="0"/>
        <w:widowControl/>
        <w:suppressLineNumbers w:val="0"/>
        <w:topLinePunct w:val="0"/>
        <w:bidi w:val="0"/>
        <w:spacing w:line="500" w:lineRule="exact"/>
        <w:ind w:left="0" w:leftChars="0" w:right="0" w:rightChars="0" w:firstLine="482" w:firstLineChars="200"/>
        <w:jc w:val="left"/>
        <w:rPr>
          <w:rFonts w:hint="default" w:ascii="宋体" w:hAnsi="宋体" w:eastAsia="宋体" w:cs="宋体"/>
          <w:b/>
          <w:bCs/>
          <w:color w:val="auto"/>
          <w:kern w:val="0"/>
          <w:sz w:val="24"/>
          <w:szCs w:val="24"/>
          <w:lang w:val="en-US" w:eastAsia="zh-CN" w:bidi="ar"/>
        </w:rPr>
      </w:pPr>
      <w:r>
        <w:rPr>
          <w:rFonts w:hint="default" w:ascii="宋体" w:hAnsi="宋体" w:eastAsia="宋体" w:cs="宋体"/>
          <w:b/>
          <w:bCs/>
          <w:color w:val="auto"/>
          <w:kern w:val="0"/>
          <w:sz w:val="24"/>
          <w:szCs w:val="24"/>
          <w:lang w:val="en-US" w:eastAsia="zh-CN" w:bidi="ar"/>
        </w:rPr>
        <w:t>五、交货条件</w:t>
      </w:r>
      <w:r>
        <w:rPr>
          <w:rFonts w:hint="eastAsia" w:cs="宋体"/>
          <w:b/>
          <w:bCs/>
          <w:color w:val="auto"/>
          <w:kern w:val="0"/>
          <w:sz w:val="24"/>
          <w:szCs w:val="24"/>
          <w:lang w:val="en-US" w:eastAsia="zh-CN" w:bidi="ar"/>
        </w:rPr>
        <w:t>：</w:t>
      </w:r>
      <w:r>
        <w:rPr>
          <w:rFonts w:hint="default" w:ascii="宋体" w:hAnsi="宋体" w:eastAsia="宋体" w:cs="宋体"/>
          <w:b/>
          <w:bCs/>
          <w:color w:val="auto"/>
          <w:kern w:val="0"/>
          <w:sz w:val="24"/>
          <w:szCs w:val="24"/>
          <w:lang w:val="en-US" w:eastAsia="zh-CN" w:bidi="ar"/>
        </w:rPr>
        <w:t xml:space="preserve"> </w:t>
      </w:r>
    </w:p>
    <w:p w14:paraId="23113FFD">
      <w:pPr>
        <w:pageBreakBefore w:val="0"/>
        <w:topLinePunct w:val="0"/>
        <w:bidi w:val="0"/>
        <w:spacing w:line="500" w:lineRule="exact"/>
        <w:ind w:left="0" w:leftChars="0" w:right="0" w:rightChars="0" w:firstLine="472" w:firstLineChars="200"/>
        <w:jc w:val="both"/>
        <w:rPr>
          <w:rFonts w:hint="default"/>
          <w:color w:val="auto"/>
          <w:spacing w:val="-2"/>
          <w:position w:val="15"/>
          <w:sz w:val="24"/>
          <w:szCs w:val="24"/>
          <w:lang w:val="en-US" w:eastAsia="zh-CN"/>
        </w:rPr>
      </w:pPr>
      <w:r>
        <w:rPr>
          <w:rFonts w:hint="default"/>
          <w:color w:val="auto"/>
          <w:spacing w:val="-2"/>
          <w:position w:val="15"/>
          <w:sz w:val="24"/>
          <w:szCs w:val="24"/>
          <w:lang w:val="en-US" w:eastAsia="zh-CN"/>
        </w:rPr>
        <w:t>1</w:t>
      </w:r>
      <w:r>
        <w:rPr>
          <w:rFonts w:hint="eastAsia"/>
          <w:color w:val="auto"/>
          <w:spacing w:val="-2"/>
          <w:position w:val="15"/>
          <w:sz w:val="24"/>
          <w:szCs w:val="24"/>
          <w:lang w:val="en-US" w:eastAsia="zh-CN"/>
        </w:rPr>
        <w:t>.</w:t>
      </w:r>
      <w:r>
        <w:rPr>
          <w:rFonts w:hint="default"/>
          <w:color w:val="auto"/>
          <w:spacing w:val="-2"/>
          <w:position w:val="15"/>
          <w:sz w:val="24"/>
          <w:szCs w:val="24"/>
          <w:lang w:val="en-US" w:eastAsia="zh-CN"/>
        </w:rPr>
        <w:t>供货地点：</w:t>
      </w:r>
      <w:r>
        <w:rPr>
          <w:rFonts w:hint="default"/>
          <w:color w:val="auto"/>
          <w:spacing w:val="-2"/>
          <w:position w:val="15"/>
          <w:sz w:val="24"/>
          <w:szCs w:val="24"/>
          <w:u w:val="single"/>
          <w:lang w:val="en-US" w:eastAsia="zh-CN"/>
        </w:rPr>
        <w:t>采购单位指定地点</w:t>
      </w:r>
      <w:r>
        <w:rPr>
          <w:rFonts w:hint="default"/>
          <w:color w:val="auto"/>
          <w:spacing w:val="-2"/>
          <w:position w:val="15"/>
          <w:sz w:val="24"/>
          <w:szCs w:val="24"/>
          <w:lang w:val="en-US" w:eastAsia="zh-CN"/>
        </w:rPr>
        <w:t xml:space="preserve">。 </w:t>
      </w:r>
    </w:p>
    <w:p w14:paraId="521E7447">
      <w:pPr>
        <w:pageBreakBefore w:val="0"/>
        <w:topLinePunct w:val="0"/>
        <w:bidi w:val="0"/>
        <w:spacing w:line="500" w:lineRule="exact"/>
        <w:ind w:left="0" w:leftChars="0" w:right="0" w:rightChars="0" w:firstLine="472" w:firstLineChars="200"/>
        <w:jc w:val="both"/>
        <w:rPr>
          <w:rFonts w:hint="default"/>
          <w:color w:val="auto"/>
          <w:spacing w:val="-2"/>
          <w:position w:val="15"/>
          <w:sz w:val="24"/>
          <w:szCs w:val="24"/>
          <w:lang w:val="en-US" w:eastAsia="zh-CN"/>
        </w:rPr>
      </w:pPr>
      <w:r>
        <w:rPr>
          <w:rFonts w:hint="default"/>
          <w:color w:val="auto"/>
          <w:spacing w:val="-2"/>
          <w:position w:val="15"/>
          <w:sz w:val="24"/>
          <w:szCs w:val="24"/>
          <w:lang w:val="en-US" w:eastAsia="zh-CN"/>
        </w:rPr>
        <w:t>2</w:t>
      </w:r>
      <w:r>
        <w:rPr>
          <w:rFonts w:hint="eastAsia"/>
          <w:color w:val="auto"/>
          <w:spacing w:val="-2"/>
          <w:position w:val="15"/>
          <w:sz w:val="24"/>
          <w:szCs w:val="24"/>
          <w:lang w:val="en-US" w:eastAsia="zh-CN"/>
        </w:rPr>
        <w:t>.</w:t>
      </w:r>
      <w:r>
        <w:rPr>
          <w:rFonts w:hint="default"/>
          <w:color w:val="auto"/>
          <w:spacing w:val="-2"/>
          <w:position w:val="15"/>
          <w:sz w:val="24"/>
          <w:szCs w:val="24"/>
          <w:lang w:val="en-US" w:eastAsia="zh-CN"/>
        </w:rPr>
        <w:t>供货方式、时间：</w:t>
      </w:r>
      <w:r>
        <w:rPr>
          <w:rFonts w:hint="eastAsia"/>
          <w:color w:val="auto"/>
          <w:spacing w:val="-2"/>
          <w:position w:val="15"/>
          <w:sz w:val="24"/>
          <w:szCs w:val="24"/>
          <w:u w:val="single"/>
          <w:lang w:val="en-US" w:eastAsia="zh-CN"/>
        </w:rPr>
        <w:t xml:space="preserve">                            </w:t>
      </w:r>
      <w:r>
        <w:rPr>
          <w:rFonts w:hint="default"/>
          <w:color w:val="auto"/>
          <w:spacing w:val="-2"/>
          <w:position w:val="15"/>
          <w:sz w:val="24"/>
          <w:szCs w:val="24"/>
          <w:lang w:val="en-US" w:eastAsia="zh-CN"/>
        </w:rPr>
        <w:t xml:space="preserve"> </w:t>
      </w:r>
      <w:r>
        <w:rPr>
          <w:rFonts w:hint="eastAsia"/>
          <w:color w:val="auto"/>
          <w:spacing w:val="-2"/>
          <w:position w:val="15"/>
          <w:sz w:val="24"/>
          <w:szCs w:val="24"/>
          <w:lang w:val="en-US" w:eastAsia="zh-CN"/>
        </w:rPr>
        <w:t>。</w:t>
      </w:r>
    </w:p>
    <w:p w14:paraId="07A6D4D5">
      <w:pPr>
        <w:pageBreakBefore w:val="0"/>
        <w:topLinePunct w:val="0"/>
        <w:bidi w:val="0"/>
        <w:spacing w:line="500" w:lineRule="exact"/>
        <w:ind w:left="0" w:leftChars="0" w:right="0" w:rightChars="0" w:firstLine="472" w:firstLineChars="200"/>
        <w:jc w:val="both"/>
        <w:rPr>
          <w:rFonts w:hint="eastAsia"/>
          <w:color w:val="auto"/>
          <w:spacing w:val="-2"/>
          <w:position w:val="15"/>
          <w:sz w:val="24"/>
          <w:szCs w:val="24"/>
          <w:lang w:val="en-US" w:eastAsia="zh-CN"/>
        </w:rPr>
      </w:pPr>
      <w:r>
        <w:rPr>
          <w:rFonts w:hint="default"/>
          <w:color w:val="auto"/>
          <w:spacing w:val="-2"/>
          <w:position w:val="15"/>
          <w:sz w:val="24"/>
          <w:szCs w:val="24"/>
          <w:lang w:val="en-US" w:eastAsia="zh-CN"/>
        </w:rPr>
        <w:t>3</w:t>
      </w:r>
      <w:r>
        <w:rPr>
          <w:rFonts w:hint="eastAsia"/>
          <w:color w:val="auto"/>
          <w:spacing w:val="-2"/>
          <w:position w:val="15"/>
          <w:sz w:val="24"/>
          <w:szCs w:val="24"/>
          <w:lang w:val="en-US" w:eastAsia="zh-CN"/>
        </w:rPr>
        <w:t>.</w:t>
      </w:r>
      <w:r>
        <w:rPr>
          <w:rFonts w:hint="default"/>
          <w:color w:val="auto"/>
          <w:spacing w:val="-2"/>
          <w:position w:val="15"/>
          <w:sz w:val="24"/>
          <w:szCs w:val="24"/>
          <w:lang w:val="en-US" w:eastAsia="zh-CN"/>
        </w:rPr>
        <w:t>合同履行期限：</w:t>
      </w:r>
      <w:r>
        <w:rPr>
          <w:rFonts w:hint="eastAsia"/>
          <w:color w:val="auto"/>
          <w:spacing w:val="-2"/>
          <w:position w:val="15"/>
          <w:sz w:val="24"/>
          <w:szCs w:val="24"/>
          <w:u w:val="single"/>
          <w:lang w:val="en-US" w:eastAsia="zh-CN"/>
        </w:rPr>
        <w:t xml:space="preserve">                              </w:t>
      </w:r>
      <w:r>
        <w:rPr>
          <w:rFonts w:hint="default"/>
          <w:color w:val="auto"/>
          <w:spacing w:val="-2"/>
          <w:position w:val="15"/>
          <w:sz w:val="24"/>
          <w:szCs w:val="24"/>
          <w:lang w:val="en-US" w:eastAsia="zh-CN"/>
        </w:rPr>
        <w:t xml:space="preserve"> </w:t>
      </w:r>
      <w:r>
        <w:rPr>
          <w:rFonts w:hint="eastAsia"/>
          <w:color w:val="auto"/>
          <w:spacing w:val="-2"/>
          <w:position w:val="15"/>
          <w:sz w:val="24"/>
          <w:szCs w:val="24"/>
          <w:lang w:val="en-US" w:eastAsia="zh-CN"/>
        </w:rPr>
        <w:t>。</w:t>
      </w:r>
    </w:p>
    <w:p w14:paraId="791BF60D">
      <w:pPr>
        <w:pageBreakBefore w:val="0"/>
        <w:topLinePunct w:val="0"/>
        <w:bidi w:val="0"/>
        <w:spacing w:line="500" w:lineRule="exact"/>
        <w:ind w:left="0" w:leftChars="0" w:right="0" w:rightChars="0" w:firstLine="472" w:firstLineChars="200"/>
        <w:jc w:val="both"/>
        <w:rPr>
          <w:rFonts w:hint="default"/>
          <w:color w:val="auto"/>
          <w:spacing w:val="-2"/>
          <w:position w:val="15"/>
          <w:sz w:val="24"/>
          <w:szCs w:val="24"/>
          <w:lang w:val="en-US" w:eastAsia="zh-CN"/>
        </w:rPr>
      </w:pPr>
      <w:r>
        <w:rPr>
          <w:rFonts w:hint="eastAsia"/>
          <w:color w:val="auto"/>
          <w:spacing w:val="-2"/>
          <w:position w:val="15"/>
          <w:sz w:val="24"/>
          <w:szCs w:val="24"/>
          <w:lang w:val="en-US" w:eastAsia="zh-CN"/>
        </w:rPr>
        <w:t>4.</w:t>
      </w:r>
      <w:r>
        <w:rPr>
          <w:rFonts w:hint="default"/>
          <w:color w:val="auto"/>
          <w:spacing w:val="-2"/>
          <w:position w:val="15"/>
          <w:sz w:val="24"/>
          <w:szCs w:val="24"/>
          <w:lang w:val="en-US" w:eastAsia="zh-CN"/>
        </w:rPr>
        <w:t>中标通知书发出后，中标人须按时与采购单位签订合同。中标人须对各类肉类食材各申报1个应急备选品牌，备选产品质量、检疫、验收标准及供货价格与中标品牌完全统一。履约过程中，中标品牌出现停产、断货等情况的，供应商应提交书面申请，采购人审批通过后方可使用备选品牌供货。</w:t>
      </w:r>
    </w:p>
    <w:p w14:paraId="7A827EF9">
      <w:pPr>
        <w:keepNext w:val="0"/>
        <w:keepLines w:val="0"/>
        <w:pageBreakBefore w:val="0"/>
        <w:widowControl/>
        <w:suppressLineNumbers w:val="0"/>
        <w:topLinePunct w:val="0"/>
        <w:bidi w:val="0"/>
        <w:spacing w:line="500" w:lineRule="exact"/>
        <w:ind w:left="0" w:leftChars="0" w:right="0" w:rightChars="0" w:firstLine="482" w:firstLineChars="200"/>
        <w:jc w:val="left"/>
        <w:rPr>
          <w:rFonts w:hint="default"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六、质量保证</w:t>
      </w:r>
      <w:r>
        <w:rPr>
          <w:rFonts w:hint="eastAsia" w:cs="宋体"/>
          <w:b/>
          <w:bCs/>
          <w:color w:val="auto"/>
          <w:kern w:val="0"/>
          <w:sz w:val="24"/>
          <w:szCs w:val="24"/>
          <w:lang w:val="en-US" w:eastAsia="zh-CN" w:bidi="ar"/>
        </w:rPr>
        <w:t>（按招标文件第三章招标采购内容及服务要求执行）</w:t>
      </w:r>
    </w:p>
    <w:p w14:paraId="7C6AA1D2">
      <w:pPr>
        <w:pStyle w:val="8"/>
        <w:keepNext w:val="0"/>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bidi="zh-CN"/>
        </w:rPr>
      </w:pPr>
      <w:r>
        <w:rPr>
          <w:rFonts w:hint="eastAsia" w:cs="宋体"/>
          <w:color w:val="auto"/>
          <w:sz w:val="24"/>
          <w:szCs w:val="24"/>
          <w:highlight w:val="none"/>
          <w:lang w:val="en-US" w:eastAsia="zh-CN" w:bidi="zh-CN"/>
        </w:rPr>
        <w:t>1.</w:t>
      </w:r>
      <w:r>
        <w:rPr>
          <w:rFonts w:hint="eastAsia" w:ascii="宋体" w:hAnsi="宋体" w:eastAsia="宋体" w:cs="宋体"/>
          <w:color w:val="auto"/>
          <w:sz w:val="24"/>
          <w:szCs w:val="24"/>
          <w:highlight w:val="none"/>
          <w:lang w:val="en-US" w:eastAsia="zh-CN" w:bidi="zh-CN"/>
        </w:rPr>
        <w:t>因运输装卸过程中造成的损耗（例如包装严重变形、破损、食品污染、变异等）、发现的破损、变异食品必须无条件一对一更换。</w:t>
      </w:r>
    </w:p>
    <w:p w14:paraId="7F425D4B">
      <w:pPr>
        <w:pStyle w:val="8"/>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highlight w:val="none"/>
          <w:lang w:val="en-US" w:eastAsia="zh-CN" w:bidi="zh-CN"/>
        </w:rPr>
      </w:pPr>
      <w:r>
        <w:rPr>
          <w:rFonts w:hint="eastAsia" w:cs="宋体"/>
          <w:color w:val="auto"/>
          <w:sz w:val="24"/>
          <w:szCs w:val="24"/>
          <w:highlight w:val="none"/>
          <w:lang w:val="en-US" w:eastAsia="zh-CN" w:bidi="zh-CN"/>
        </w:rPr>
        <w:t>2.</w:t>
      </w:r>
      <w:r>
        <w:rPr>
          <w:rFonts w:hint="eastAsia" w:ascii="宋体" w:hAnsi="宋体" w:eastAsia="宋体" w:cs="宋体"/>
          <w:color w:val="auto"/>
          <w:sz w:val="24"/>
          <w:szCs w:val="24"/>
          <w:highlight w:val="none"/>
          <w:lang w:val="en-US" w:eastAsia="zh-CN" w:bidi="zh-CN"/>
        </w:rPr>
        <w:t>保质期出现的质量问题由供应商负责解决并承担所有费用。如因质量问题意外食用，造成实际伤害及损失，将由供应商承担全部责任。供货商送货时应随货送上一式二联的送货清单，供货商一份、使用学校一份。</w:t>
      </w:r>
    </w:p>
    <w:p w14:paraId="78930B15">
      <w:pPr>
        <w:pStyle w:val="8"/>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highlight w:val="none"/>
          <w:lang w:val="en-US" w:eastAsia="zh-CN" w:bidi="zh-CN"/>
        </w:rPr>
      </w:pPr>
      <w:r>
        <w:rPr>
          <w:rFonts w:hint="eastAsia" w:cs="宋体"/>
          <w:color w:val="auto"/>
          <w:sz w:val="24"/>
          <w:szCs w:val="24"/>
          <w:highlight w:val="none"/>
          <w:lang w:val="en-US" w:eastAsia="zh-CN" w:bidi="zh-CN"/>
        </w:rPr>
        <w:t>3.</w:t>
      </w:r>
      <w:r>
        <w:rPr>
          <w:rFonts w:hint="eastAsia" w:ascii="宋体" w:hAnsi="宋体" w:eastAsia="宋体" w:cs="宋体"/>
          <w:color w:val="auto"/>
          <w:sz w:val="24"/>
          <w:szCs w:val="24"/>
          <w:highlight w:val="none"/>
          <w:lang w:val="en-US" w:eastAsia="zh-CN" w:bidi="zh-CN"/>
        </w:rPr>
        <w:t>送货车辆及工用具必须保持清洁卫生。每次运输车辆前应进行清洗消毒并做好记录，在运输装卸过程中也应注意保持清洁，肉类有专用冷链车运输或在保证食材不变质、不污染条件下的其他无交叉污染冷鲜运输方式。</w:t>
      </w:r>
    </w:p>
    <w:p w14:paraId="2D03A1E1">
      <w:pPr>
        <w:pStyle w:val="8"/>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highlight w:val="none"/>
          <w:lang w:val="en-US" w:eastAsia="zh-CN" w:bidi="zh-CN"/>
        </w:rPr>
      </w:pPr>
      <w:r>
        <w:rPr>
          <w:rFonts w:hint="eastAsia" w:cs="宋体"/>
          <w:color w:val="auto"/>
          <w:sz w:val="24"/>
          <w:szCs w:val="24"/>
          <w:highlight w:val="none"/>
          <w:lang w:val="en-US" w:eastAsia="zh-CN" w:bidi="zh-CN"/>
        </w:rPr>
        <w:t>4.</w:t>
      </w:r>
      <w:r>
        <w:rPr>
          <w:rFonts w:hint="eastAsia" w:ascii="宋体" w:hAnsi="宋体" w:eastAsia="宋体" w:cs="宋体"/>
          <w:color w:val="auto"/>
          <w:sz w:val="24"/>
          <w:szCs w:val="24"/>
          <w:highlight w:val="none"/>
          <w:lang w:val="en-US" w:eastAsia="zh-CN" w:bidi="zh-CN"/>
        </w:rPr>
        <w:t>在执行合同期间，使用单位会不定时进行抽检考核，对存在提供劣质产品、违反</w:t>
      </w:r>
      <w:r>
        <w:rPr>
          <w:rFonts w:hint="eastAsia" w:cs="宋体"/>
          <w:color w:val="auto"/>
          <w:sz w:val="24"/>
          <w:szCs w:val="24"/>
          <w:highlight w:val="none"/>
          <w:lang w:val="en-US" w:eastAsia="zh-CN" w:bidi="zh-CN"/>
        </w:rPr>
        <w:t>合同</w:t>
      </w:r>
      <w:r>
        <w:rPr>
          <w:rFonts w:hint="eastAsia" w:ascii="宋体" w:hAnsi="宋体" w:eastAsia="宋体" w:cs="宋体"/>
          <w:color w:val="auto"/>
          <w:sz w:val="24"/>
          <w:szCs w:val="24"/>
          <w:highlight w:val="none"/>
          <w:lang w:val="en-US" w:eastAsia="zh-CN" w:bidi="zh-CN"/>
        </w:rPr>
        <w:t>造成恶劣影响的、供应过程中不积极配合，服务态度较差的中标供应商，采购人将会出具书面文件酌情对其进行终止合同或调整供应区域。所造成的损失供货商应负全部责任。</w:t>
      </w:r>
    </w:p>
    <w:p w14:paraId="31322F2D">
      <w:pPr>
        <w:keepNext w:val="0"/>
        <w:keepLines w:val="0"/>
        <w:pageBreakBefore w:val="0"/>
        <w:kinsoku/>
        <w:wordWrap/>
        <w:overflowPunct/>
        <w:topLinePunct w:val="0"/>
        <w:autoSpaceDE/>
        <w:autoSpaceDN/>
        <w:bidi w:val="0"/>
        <w:adjustRightInd/>
        <w:snapToGrid/>
        <w:spacing w:line="500" w:lineRule="exact"/>
        <w:ind w:left="0" w:leftChars="0" w:right="0" w:rightChars="0" w:firstLine="482" w:firstLineChars="200"/>
        <w:textAlignment w:val="auto"/>
        <w:rPr>
          <w:rFonts w:hint="eastAsia" w:ascii="宋体" w:hAnsi="宋体" w:eastAsia="宋体" w:cs="宋体"/>
          <w:b/>
          <w:bCs/>
          <w:color w:val="auto"/>
          <w:sz w:val="24"/>
          <w:szCs w:val="24"/>
          <w:lang w:val="en-US" w:eastAsia="zh-CN" w:bidi="zh-CN"/>
        </w:rPr>
      </w:pPr>
      <w:r>
        <w:rPr>
          <w:rFonts w:hint="eastAsia" w:cs="宋体"/>
          <w:b/>
          <w:bCs/>
          <w:color w:val="auto"/>
          <w:sz w:val="24"/>
          <w:szCs w:val="24"/>
          <w:lang w:val="en-US" w:eastAsia="zh-CN" w:bidi="zh-CN"/>
        </w:rPr>
        <w:t>七</w:t>
      </w:r>
      <w:r>
        <w:rPr>
          <w:rFonts w:hint="eastAsia" w:ascii="宋体" w:hAnsi="宋体" w:eastAsia="宋体" w:cs="宋体"/>
          <w:b/>
          <w:bCs/>
          <w:color w:val="auto"/>
          <w:sz w:val="24"/>
          <w:szCs w:val="24"/>
          <w:lang w:val="en-US" w:eastAsia="zh-CN" w:bidi="zh-CN"/>
        </w:rPr>
        <w:t>、验收</w:t>
      </w:r>
      <w:r>
        <w:rPr>
          <w:rFonts w:hint="eastAsia" w:cs="宋体"/>
          <w:b/>
          <w:bCs/>
          <w:color w:val="auto"/>
          <w:sz w:val="24"/>
          <w:szCs w:val="24"/>
          <w:lang w:val="en-US" w:eastAsia="zh-CN" w:bidi="zh-CN"/>
        </w:rPr>
        <w:t>：</w:t>
      </w:r>
    </w:p>
    <w:p w14:paraId="60619AF1">
      <w:pPr>
        <w:keepNext w:val="0"/>
        <w:keepLines w:val="0"/>
        <w:pageBreakBefore w:val="0"/>
        <w:kinsoku/>
        <w:wordWrap/>
        <w:overflowPunct/>
        <w:topLinePunct w:val="0"/>
        <w:autoSpaceDE/>
        <w:autoSpaceDN/>
        <w:bidi w:val="0"/>
        <w:adjustRightInd/>
        <w:snapToGrid/>
        <w:spacing w:line="500" w:lineRule="exact"/>
        <w:ind w:left="0" w:leftChars="0" w:right="0" w:rightChars="0" w:firstLine="482" w:firstLineChars="200"/>
        <w:textAlignment w:val="auto"/>
        <w:rPr>
          <w:rFonts w:hint="eastAsia" w:cs="宋体"/>
          <w:b/>
          <w:bCs/>
          <w:color w:val="auto"/>
          <w:sz w:val="24"/>
          <w:szCs w:val="24"/>
          <w:lang w:val="en-US" w:eastAsia="zh-CN" w:bidi="zh-CN"/>
        </w:rPr>
      </w:pPr>
      <w:r>
        <w:rPr>
          <w:rFonts w:hint="eastAsia" w:cs="宋体"/>
          <w:b/>
          <w:bCs/>
          <w:color w:val="auto"/>
          <w:sz w:val="24"/>
          <w:szCs w:val="24"/>
          <w:lang w:val="en-US" w:eastAsia="zh-CN" w:bidi="zh-CN"/>
        </w:rPr>
        <w:t>合同包一至合同包三：</w:t>
      </w:r>
    </w:p>
    <w:p w14:paraId="4B6C1282">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ascii="宋体" w:hAnsi="宋体" w:eastAsia="宋体" w:cs="宋体"/>
          <w:b w:val="0"/>
          <w:bCs w:val="0"/>
          <w:color w:val="auto"/>
          <w:sz w:val="24"/>
          <w:szCs w:val="24"/>
          <w:lang w:val="en-US" w:eastAsia="zh-CN" w:bidi="zh-CN"/>
        </w:rPr>
      </w:pPr>
      <w:r>
        <w:rPr>
          <w:rFonts w:hint="eastAsia" w:ascii="宋体" w:hAnsi="宋体" w:eastAsia="宋体" w:cs="宋体"/>
          <w:b w:val="0"/>
          <w:bCs w:val="0"/>
          <w:color w:val="auto"/>
          <w:sz w:val="24"/>
          <w:szCs w:val="24"/>
          <w:lang w:val="en-US" w:eastAsia="zh-CN" w:bidi="zh-CN"/>
        </w:rPr>
        <w:t>1</w:t>
      </w:r>
      <w:r>
        <w:rPr>
          <w:rFonts w:hint="eastAsia" w:cs="宋体"/>
          <w:b w:val="0"/>
          <w:bCs w:val="0"/>
          <w:color w:val="auto"/>
          <w:sz w:val="24"/>
          <w:szCs w:val="24"/>
          <w:lang w:val="en-US" w:eastAsia="zh-CN" w:bidi="zh-CN"/>
        </w:rPr>
        <w:t>.</w:t>
      </w:r>
      <w:r>
        <w:rPr>
          <w:rFonts w:hint="eastAsia" w:ascii="宋体" w:hAnsi="宋体" w:eastAsia="宋体" w:cs="宋体"/>
          <w:b w:val="0"/>
          <w:bCs w:val="0"/>
          <w:color w:val="auto"/>
          <w:sz w:val="24"/>
          <w:szCs w:val="24"/>
          <w:lang w:val="en-US" w:eastAsia="zh-CN" w:bidi="zh-CN"/>
        </w:rPr>
        <w:t>每次配送由使用学校和中标人共同对产品的外包装是否洁净、有无破损、规格、数量等进行验收。</w:t>
      </w:r>
    </w:p>
    <w:p w14:paraId="11EEFCC2">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ascii="宋体" w:hAnsi="宋体" w:eastAsia="宋体" w:cs="宋体"/>
          <w:b w:val="0"/>
          <w:bCs w:val="0"/>
          <w:color w:val="auto"/>
          <w:sz w:val="24"/>
          <w:szCs w:val="24"/>
          <w:lang w:val="en-US" w:eastAsia="zh-CN" w:bidi="zh-CN"/>
        </w:rPr>
      </w:pPr>
      <w:r>
        <w:rPr>
          <w:rFonts w:hint="eastAsia" w:ascii="宋体" w:hAnsi="宋体" w:eastAsia="宋体" w:cs="宋体"/>
          <w:b w:val="0"/>
          <w:bCs w:val="0"/>
          <w:color w:val="auto"/>
          <w:sz w:val="24"/>
          <w:szCs w:val="24"/>
          <w:lang w:val="en-US" w:eastAsia="zh-CN" w:bidi="zh-CN"/>
        </w:rPr>
        <w:t>2</w:t>
      </w:r>
      <w:r>
        <w:rPr>
          <w:rFonts w:hint="eastAsia" w:cs="宋体"/>
          <w:b w:val="0"/>
          <w:bCs w:val="0"/>
          <w:color w:val="auto"/>
          <w:sz w:val="24"/>
          <w:szCs w:val="24"/>
          <w:lang w:val="en-US" w:eastAsia="zh-CN" w:bidi="zh-CN"/>
        </w:rPr>
        <w:t>.</w:t>
      </w:r>
      <w:r>
        <w:rPr>
          <w:rFonts w:hint="eastAsia" w:ascii="宋体" w:hAnsi="宋体" w:eastAsia="宋体" w:cs="宋体"/>
          <w:b w:val="0"/>
          <w:bCs w:val="0"/>
          <w:color w:val="auto"/>
          <w:sz w:val="24"/>
          <w:szCs w:val="24"/>
          <w:lang w:val="en-US" w:eastAsia="zh-CN" w:bidi="zh-CN"/>
        </w:rPr>
        <w:t>中标人每次供货须向使用学校提供“供货清单”（供货清单一式二份，中标人一份，学校一份）；经验收合格后，由学校单位2人以上验收小组人员在“供货清单”上签字。</w:t>
      </w:r>
    </w:p>
    <w:p w14:paraId="6A9D577C">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ascii="宋体" w:hAnsi="宋体" w:eastAsia="宋体" w:cs="宋体"/>
          <w:b w:val="0"/>
          <w:bCs w:val="0"/>
          <w:color w:val="auto"/>
          <w:sz w:val="24"/>
          <w:szCs w:val="24"/>
          <w:lang w:val="en-US" w:eastAsia="zh-CN" w:bidi="zh-CN"/>
        </w:rPr>
      </w:pPr>
      <w:r>
        <w:rPr>
          <w:rFonts w:hint="eastAsia" w:ascii="宋体" w:hAnsi="宋体" w:eastAsia="宋体" w:cs="宋体"/>
          <w:b w:val="0"/>
          <w:bCs w:val="0"/>
          <w:color w:val="auto"/>
          <w:sz w:val="24"/>
          <w:szCs w:val="24"/>
          <w:lang w:val="en-US" w:eastAsia="zh-CN" w:bidi="zh-CN"/>
        </w:rPr>
        <w:t>3</w:t>
      </w:r>
      <w:r>
        <w:rPr>
          <w:rFonts w:hint="eastAsia" w:cs="宋体"/>
          <w:b w:val="0"/>
          <w:bCs w:val="0"/>
          <w:color w:val="auto"/>
          <w:sz w:val="24"/>
          <w:szCs w:val="24"/>
          <w:lang w:val="en-US" w:eastAsia="zh-CN" w:bidi="zh-CN"/>
        </w:rPr>
        <w:t>.</w:t>
      </w:r>
      <w:r>
        <w:rPr>
          <w:rFonts w:hint="eastAsia" w:ascii="宋体" w:hAnsi="宋体" w:eastAsia="宋体" w:cs="宋体"/>
          <w:b w:val="0"/>
          <w:bCs w:val="0"/>
          <w:color w:val="auto"/>
          <w:sz w:val="24"/>
          <w:szCs w:val="24"/>
          <w:lang w:val="en-US" w:eastAsia="zh-CN" w:bidi="zh-CN"/>
        </w:rPr>
        <w:t>若验收不合格，中标人必须及时换货，保证使用单位</w:t>
      </w:r>
      <w:r>
        <w:rPr>
          <w:rFonts w:hint="eastAsia" w:cs="宋体"/>
          <w:b w:val="0"/>
          <w:bCs w:val="0"/>
          <w:color w:val="auto"/>
          <w:sz w:val="24"/>
          <w:szCs w:val="24"/>
          <w:lang w:val="en-US" w:eastAsia="zh-CN" w:bidi="zh-CN"/>
        </w:rPr>
        <w:t>的</w:t>
      </w:r>
      <w:r>
        <w:rPr>
          <w:rFonts w:hint="eastAsia" w:ascii="宋体" w:hAnsi="宋体" w:eastAsia="宋体" w:cs="宋体"/>
          <w:b w:val="0"/>
          <w:bCs w:val="0"/>
          <w:color w:val="auto"/>
          <w:sz w:val="24"/>
          <w:szCs w:val="24"/>
          <w:lang w:val="en-US" w:eastAsia="zh-CN" w:bidi="zh-CN"/>
        </w:rPr>
        <w:t>正常使用，</w:t>
      </w:r>
      <w:r>
        <w:rPr>
          <w:rFonts w:hint="eastAsia" w:cs="宋体"/>
          <w:b w:val="0"/>
          <w:bCs w:val="0"/>
          <w:color w:val="auto"/>
          <w:sz w:val="24"/>
          <w:szCs w:val="24"/>
          <w:lang w:val="en-US" w:eastAsia="zh-CN" w:bidi="zh-CN"/>
        </w:rPr>
        <w:t>否则</w:t>
      </w:r>
      <w:r>
        <w:rPr>
          <w:rFonts w:hint="eastAsia" w:ascii="宋体" w:hAnsi="宋体" w:eastAsia="宋体" w:cs="宋体"/>
          <w:b w:val="0"/>
          <w:bCs w:val="0"/>
          <w:color w:val="auto"/>
          <w:sz w:val="24"/>
          <w:szCs w:val="24"/>
          <w:lang w:val="en-US" w:eastAsia="zh-CN" w:bidi="zh-CN"/>
        </w:rPr>
        <w:t>采购人将终止其供货合同，并赔偿采购人的损失。</w:t>
      </w:r>
    </w:p>
    <w:p w14:paraId="1FCAF9C2">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ascii="宋体" w:hAnsi="宋体" w:eastAsia="宋体" w:cs="宋体"/>
          <w:b w:val="0"/>
          <w:bCs w:val="0"/>
          <w:color w:val="auto"/>
          <w:sz w:val="24"/>
          <w:szCs w:val="24"/>
          <w:lang w:val="en-US" w:eastAsia="zh-CN" w:bidi="zh-CN"/>
        </w:rPr>
      </w:pPr>
      <w:r>
        <w:rPr>
          <w:rFonts w:hint="eastAsia" w:ascii="宋体" w:hAnsi="宋体" w:eastAsia="宋体" w:cs="宋体"/>
          <w:b w:val="0"/>
          <w:bCs w:val="0"/>
          <w:color w:val="auto"/>
          <w:sz w:val="24"/>
          <w:szCs w:val="24"/>
          <w:lang w:val="en-US" w:eastAsia="zh-CN" w:bidi="zh-CN"/>
        </w:rPr>
        <w:t>4</w:t>
      </w:r>
      <w:r>
        <w:rPr>
          <w:rFonts w:hint="eastAsia" w:cs="宋体"/>
          <w:b w:val="0"/>
          <w:bCs w:val="0"/>
          <w:color w:val="auto"/>
          <w:sz w:val="24"/>
          <w:szCs w:val="24"/>
          <w:lang w:val="en-US" w:eastAsia="zh-CN" w:bidi="zh-CN"/>
        </w:rPr>
        <w:t>.</w:t>
      </w:r>
      <w:r>
        <w:rPr>
          <w:rFonts w:hint="eastAsia" w:ascii="宋体" w:hAnsi="宋体" w:eastAsia="宋体" w:cs="宋体"/>
          <w:b w:val="0"/>
          <w:bCs w:val="0"/>
          <w:color w:val="auto"/>
          <w:sz w:val="24"/>
          <w:szCs w:val="24"/>
          <w:lang w:val="en-US" w:eastAsia="zh-CN" w:bidi="zh-CN"/>
        </w:rPr>
        <w:t>各实施学校要根据相应的管理制度，落实专门的管理人员，在货送到后要履行严格的食材接收验收签字手续。随货通行票据必须标明批次和数量，建立配送</w:t>
      </w:r>
      <w:r>
        <w:rPr>
          <w:rFonts w:hint="eastAsia" w:cs="宋体"/>
          <w:b w:val="0"/>
          <w:bCs w:val="0"/>
          <w:color w:val="auto"/>
          <w:sz w:val="24"/>
          <w:szCs w:val="24"/>
          <w:lang w:val="en-US" w:eastAsia="zh-CN" w:bidi="zh-CN"/>
        </w:rPr>
        <w:t>台账</w:t>
      </w:r>
      <w:r>
        <w:rPr>
          <w:rFonts w:hint="eastAsia" w:ascii="宋体" w:hAnsi="宋体" w:eastAsia="宋体" w:cs="宋体"/>
          <w:b w:val="0"/>
          <w:bCs w:val="0"/>
          <w:color w:val="auto"/>
          <w:sz w:val="24"/>
          <w:szCs w:val="24"/>
          <w:lang w:val="en-US" w:eastAsia="zh-CN" w:bidi="zh-CN"/>
        </w:rPr>
        <w:t>。</w:t>
      </w:r>
    </w:p>
    <w:p w14:paraId="5B84956D">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ascii="宋体" w:hAnsi="宋体" w:eastAsia="宋体" w:cs="宋体"/>
          <w:b w:val="0"/>
          <w:bCs w:val="0"/>
          <w:color w:val="auto"/>
          <w:sz w:val="24"/>
          <w:szCs w:val="24"/>
          <w:lang w:val="en-US" w:eastAsia="zh-CN" w:bidi="zh-CN"/>
        </w:rPr>
      </w:pPr>
      <w:r>
        <w:rPr>
          <w:rFonts w:hint="eastAsia" w:ascii="宋体" w:hAnsi="宋体" w:eastAsia="宋体" w:cs="宋体"/>
          <w:b w:val="0"/>
          <w:bCs w:val="0"/>
          <w:color w:val="auto"/>
          <w:sz w:val="24"/>
          <w:szCs w:val="24"/>
          <w:lang w:val="en-US" w:eastAsia="zh-CN" w:bidi="zh-CN"/>
        </w:rPr>
        <w:t>5</w:t>
      </w:r>
      <w:r>
        <w:rPr>
          <w:rFonts w:hint="eastAsia" w:cs="宋体"/>
          <w:b w:val="0"/>
          <w:bCs w:val="0"/>
          <w:color w:val="auto"/>
          <w:sz w:val="24"/>
          <w:szCs w:val="24"/>
          <w:lang w:val="en-US" w:eastAsia="zh-CN" w:bidi="zh-CN"/>
        </w:rPr>
        <w:t>.</w:t>
      </w:r>
      <w:r>
        <w:rPr>
          <w:rFonts w:hint="eastAsia" w:ascii="宋体" w:hAnsi="宋体" w:eastAsia="宋体" w:cs="宋体"/>
          <w:b w:val="0"/>
          <w:bCs w:val="0"/>
          <w:color w:val="auto"/>
          <w:sz w:val="24"/>
          <w:szCs w:val="24"/>
          <w:lang w:val="en-US" w:eastAsia="zh-CN" w:bidi="zh-CN"/>
        </w:rPr>
        <w:t>留样与检查。中标人对所供食材进行留样，（留样食材的费用由中标人承担）由相关部门适时对所供产品进行抽样检查，并对检查情况建立档案，（抽检的费用由中标人承担）。抽样检查出现不合格产品的，采购单位有权终止合同，如出现因产品质量不合格发生的安全事故，由中标人负全权责任并承抯相应的经济和法律责任。</w:t>
      </w:r>
    </w:p>
    <w:p w14:paraId="5652AA8A">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ascii="宋体" w:hAnsi="宋体" w:eastAsia="宋体" w:cs="宋体"/>
          <w:b w:val="0"/>
          <w:bCs w:val="0"/>
          <w:color w:val="auto"/>
          <w:sz w:val="24"/>
          <w:szCs w:val="24"/>
          <w:lang w:val="en-US" w:eastAsia="zh-CN" w:bidi="zh-CN"/>
        </w:rPr>
      </w:pPr>
      <w:r>
        <w:rPr>
          <w:rFonts w:hint="eastAsia" w:ascii="宋体" w:hAnsi="宋体" w:eastAsia="宋体" w:cs="宋体"/>
          <w:b w:val="0"/>
          <w:bCs w:val="0"/>
          <w:color w:val="auto"/>
          <w:sz w:val="24"/>
          <w:szCs w:val="24"/>
          <w:lang w:val="en-US" w:eastAsia="zh-CN" w:bidi="zh-CN"/>
        </w:rPr>
        <w:t>6</w:t>
      </w:r>
      <w:r>
        <w:rPr>
          <w:rFonts w:hint="eastAsia" w:cs="宋体"/>
          <w:b w:val="0"/>
          <w:bCs w:val="0"/>
          <w:color w:val="auto"/>
          <w:sz w:val="24"/>
          <w:szCs w:val="24"/>
          <w:lang w:val="en-US" w:eastAsia="zh-CN" w:bidi="zh-CN"/>
        </w:rPr>
        <w:t>.</w:t>
      </w:r>
      <w:r>
        <w:rPr>
          <w:rFonts w:hint="eastAsia" w:ascii="宋体" w:hAnsi="宋体" w:eastAsia="宋体" w:cs="宋体"/>
          <w:b w:val="0"/>
          <w:bCs w:val="0"/>
          <w:color w:val="auto"/>
          <w:sz w:val="24"/>
          <w:szCs w:val="24"/>
          <w:lang w:val="en-US" w:eastAsia="zh-CN" w:bidi="zh-CN"/>
        </w:rPr>
        <w:t>验收依据：</w:t>
      </w:r>
    </w:p>
    <w:p w14:paraId="0E2FCE29">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（1）合同文本及合同补充文件（条款）</w:t>
      </w:r>
    </w:p>
    <w:p w14:paraId="2931A916">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（2）国家有关的验收标准及规范。</w:t>
      </w:r>
    </w:p>
    <w:p w14:paraId="1B84F5AE">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（3）招标文件。</w:t>
      </w:r>
    </w:p>
    <w:p w14:paraId="738F1557">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b w:val="0"/>
          <w:bCs w:val="0"/>
          <w:color w:val="auto"/>
          <w:sz w:val="24"/>
          <w:szCs w:val="24"/>
          <w:lang w:val="en-US" w:eastAsia="zh-CN" w:bidi="zh-CN"/>
        </w:rPr>
      </w:pPr>
      <w:r>
        <w:rPr>
          <w:rFonts w:hint="eastAsia" w:ascii="宋体" w:hAnsi="宋体" w:eastAsia="宋体" w:cs="宋体"/>
          <w:color w:val="auto"/>
          <w:sz w:val="24"/>
          <w:szCs w:val="24"/>
          <w:lang w:val="en-US" w:eastAsia="zh-CN" w:bidi="zh-CN"/>
        </w:rPr>
        <w:t>（4）中标人的投标文件</w:t>
      </w:r>
    </w:p>
    <w:p w14:paraId="623CBB91">
      <w:pPr>
        <w:keepNext w:val="0"/>
        <w:keepLines w:val="0"/>
        <w:pageBreakBefore w:val="0"/>
        <w:widowControl/>
        <w:suppressLineNumbers w:val="0"/>
        <w:topLinePunct w:val="0"/>
        <w:bidi w:val="0"/>
        <w:spacing w:line="500" w:lineRule="exact"/>
        <w:ind w:left="0" w:leftChars="0" w:right="0" w:rightChars="0" w:firstLine="482" w:firstLineChars="200"/>
        <w:jc w:val="left"/>
        <w:rPr>
          <w:color w:val="auto"/>
        </w:rPr>
      </w:pPr>
      <w:r>
        <w:rPr>
          <w:rFonts w:hint="eastAsia" w:ascii="宋体" w:hAnsi="宋体" w:eastAsia="宋体" w:cs="宋体"/>
          <w:b/>
          <w:bCs/>
          <w:color w:val="auto"/>
          <w:kern w:val="0"/>
          <w:sz w:val="24"/>
          <w:szCs w:val="24"/>
          <w:lang w:val="en-US" w:eastAsia="zh-CN" w:bidi="ar"/>
        </w:rPr>
        <w:t>八、双方权利和义务</w:t>
      </w:r>
    </w:p>
    <w:p w14:paraId="25B9EAFC">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 xml:space="preserve">（一）甲方的权利和义务 </w:t>
      </w:r>
    </w:p>
    <w:p w14:paraId="5EE57E41">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1</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 xml:space="preserve">甲方有权利对乙方所供货物进行另行抽检。 </w:t>
      </w:r>
    </w:p>
    <w:p w14:paraId="7581E43D">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2</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 xml:space="preserve">甲方有权利拒绝接受非甲方采购产品。 </w:t>
      </w:r>
    </w:p>
    <w:p w14:paraId="49E8790D">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3</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 xml:space="preserve">甲方有权利对乙方所供产品包装破损的产品提出异议或拒绝接受。 </w:t>
      </w:r>
    </w:p>
    <w:p w14:paraId="338ADEC4">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4</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 xml:space="preserve">甲方有权利对乙方的服务进行监督和评判。 </w:t>
      </w:r>
    </w:p>
    <w:p w14:paraId="4034CD9B">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5</w:t>
      </w:r>
      <w:r>
        <w:rPr>
          <w:rFonts w:hint="eastAsia" w:cs="宋体"/>
          <w:color w:val="auto"/>
          <w:sz w:val="24"/>
          <w:szCs w:val="24"/>
          <w:highlight w:val="none"/>
          <w:lang w:val="en-US" w:eastAsia="zh-CN" w:bidi="zh-CN"/>
        </w:rPr>
        <w:t>.</w:t>
      </w:r>
      <w:r>
        <w:rPr>
          <w:rFonts w:hint="eastAsia" w:ascii="宋体" w:hAnsi="宋体" w:eastAsia="宋体" w:cs="宋体"/>
          <w:color w:val="auto"/>
          <w:sz w:val="24"/>
          <w:szCs w:val="24"/>
          <w:highlight w:val="none"/>
          <w:lang w:val="en-US" w:eastAsia="zh-CN" w:bidi="zh-CN"/>
        </w:rPr>
        <w:t xml:space="preserve">甲方有义务对乙方所供货物进行规范储存。 </w:t>
      </w:r>
    </w:p>
    <w:p w14:paraId="78E0DD49">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6</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 xml:space="preserve">在供货业务运行过程中出现时间、地点、人员变化等现象，甲方有义务事先通告乙方并配合乙方完成后续交接等事宜。 </w:t>
      </w:r>
    </w:p>
    <w:p w14:paraId="4D0BC6A6">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7</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 xml:space="preserve">甲方有义务配合乙方处理完善双方合作中的突发事件。 </w:t>
      </w:r>
    </w:p>
    <w:p w14:paraId="470B287C">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8</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 xml:space="preserve">甲方有义务配合乙方做一些关于食用产品知识的宣传工作。 </w:t>
      </w:r>
    </w:p>
    <w:p w14:paraId="7872462C">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 xml:space="preserve">（二）乙方的权利和义务 </w:t>
      </w:r>
    </w:p>
    <w:p w14:paraId="20C9BFAA">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1</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 xml:space="preserve">乙方有义务向甲方提供按标签标注质量标注合格的产品，并向甲方提供销售所需的“三证 ”及相关资料。 </w:t>
      </w:r>
    </w:p>
    <w:p w14:paraId="1B2AD26D">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2</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 xml:space="preserve">乙方保证价格按招标时所相应价格为准。 </w:t>
      </w:r>
    </w:p>
    <w:p w14:paraId="06249CDC">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3</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 xml:space="preserve">乙方保证向甲方所供货完整无损。 </w:t>
      </w:r>
    </w:p>
    <w:p w14:paraId="50AE23E0">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4</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 xml:space="preserve">乙方在按相关规定送货到位后，甲方应及时接收。 </w:t>
      </w:r>
    </w:p>
    <w:p w14:paraId="2E361457">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5</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若验收不合格，乙方有义务及时换货，保证甲方学校</w:t>
      </w:r>
      <w:r>
        <w:rPr>
          <w:rFonts w:hint="eastAsia" w:cs="宋体"/>
          <w:color w:val="auto"/>
          <w:sz w:val="24"/>
          <w:szCs w:val="24"/>
          <w:lang w:val="en-US" w:eastAsia="zh-CN" w:bidi="zh-CN"/>
        </w:rPr>
        <w:t>的</w:t>
      </w:r>
      <w:r>
        <w:rPr>
          <w:rFonts w:hint="eastAsia" w:ascii="宋体" w:hAnsi="宋体" w:eastAsia="宋体" w:cs="宋体"/>
          <w:color w:val="auto"/>
          <w:sz w:val="24"/>
          <w:szCs w:val="24"/>
          <w:lang w:val="en-US" w:eastAsia="zh-CN" w:bidi="zh-CN"/>
        </w:rPr>
        <w:t xml:space="preserve">正常使用，否则由采购人将终 </w:t>
      </w:r>
    </w:p>
    <w:p w14:paraId="2CCAF90B">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 xml:space="preserve">止其供货合同，并赔偿学校的损失。 </w:t>
      </w:r>
    </w:p>
    <w:p w14:paraId="0739D860">
      <w:pPr>
        <w:keepNext w:val="0"/>
        <w:keepLines w:val="0"/>
        <w:pageBreakBefore w:val="0"/>
        <w:widowControl/>
        <w:suppressLineNumbers w:val="0"/>
        <w:topLinePunct w:val="0"/>
        <w:bidi w:val="0"/>
        <w:spacing w:line="500" w:lineRule="exact"/>
        <w:ind w:left="0" w:leftChars="0" w:right="0" w:rightChars="0" w:firstLine="482" w:firstLineChars="200"/>
        <w:jc w:val="left"/>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 xml:space="preserve">九、违约责任 </w:t>
      </w:r>
    </w:p>
    <w:p w14:paraId="1D07DAB0">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 xml:space="preserve">1.中标人应按合同规定时间按时交货，否则将向采购人支付违约金。 </w:t>
      </w:r>
    </w:p>
    <w:p w14:paraId="3FE31B66">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2.</w:t>
      </w:r>
      <w:r>
        <w:rPr>
          <w:rFonts w:hint="eastAsia" w:cs="宋体"/>
          <w:color w:val="auto"/>
          <w:sz w:val="24"/>
          <w:szCs w:val="24"/>
          <w:lang w:val="en-US" w:eastAsia="zh-CN" w:bidi="zh-CN"/>
        </w:rPr>
        <w:t>按照</w:t>
      </w:r>
      <w:r>
        <w:rPr>
          <w:rFonts w:hint="eastAsia" w:ascii="宋体" w:hAnsi="宋体" w:eastAsia="宋体" w:cs="宋体"/>
          <w:color w:val="auto"/>
          <w:sz w:val="24"/>
          <w:szCs w:val="24"/>
          <w:lang w:val="en-US" w:eastAsia="zh-CN" w:bidi="zh-CN"/>
        </w:rPr>
        <w:t xml:space="preserve">《中华人民共和国民法典》中的相关条款执行。 </w:t>
      </w:r>
    </w:p>
    <w:p w14:paraId="5406FD2B">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 xml:space="preserve">3.中标人发生未按合同要求提供货物、货物质量不能满足技术要求、严重违背配送服务要求等情况时，采购人有权终止合同，同时报请政府采购管理部门对其违约行为进行追究。 </w:t>
      </w:r>
    </w:p>
    <w:p w14:paraId="46DAE4C7">
      <w:pPr>
        <w:pStyle w:val="8"/>
        <w:keepNext w:val="0"/>
        <w:keepLines w:val="0"/>
        <w:pageBreakBefore w:val="0"/>
        <w:kinsoku/>
        <w:wordWrap/>
        <w:overflowPunct/>
        <w:topLinePunct w:val="0"/>
        <w:bidi w:val="0"/>
        <w:adjustRightInd/>
        <w:snapToGrid/>
        <w:spacing w:line="500" w:lineRule="exact"/>
        <w:ind w:left="0" w:leftChars="0" w:right="0" w:rightChars="0" w:firstLine="482" w:firstLineChars="200"/>
        <w:textAlignment w:val="auto"/>
        <w:rPr>
          <w:rFonts w:hint="eastAsia" w:ascii="宋体" w:hAnsi="宋体" w:eastAsia="宋体" w:cs="宋体"/>
          <w:b/>
          <w:bCs/>
          <w:color w:val="auto"/>
          <w:sz w:val="24"/>
          <w:szCs w:val="24"/>
          <w:lang w:val="en-US" w:eastAsia="zh-CN" w:bidi="zh-CN"/>
        </w:rPr>
      </w:pPr>
      <w:r>
        <w:rPr>
          <w:rFonts w:hint="eastAsia" w:ascii="宋体" w:hAnsi="宋体" w:eastAsia="宋体" w:cs="宋体"/>
          <w:b/>
          <w:bCs/>
          <w:color w:val="auto"/>
          <w:sz w:val="24"/>
          <w:szCs w:val="24"/>
          <w:lang w:val="en-US" w:eastAsia="zh-CN" w:bidi="zh-CN"/>
        </w:rPr>
        <w:t>十、合同争议解决的方式</w:t>
      </w:r>
    </w:p>
    <w:p w14:paraId="19E7FAE8">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 xml:space="preserve">本合同在履行过程中发生的争议，由甲乙双方当事人协商解决，协商不成的提交当地仲裁委员会仲裁。 </w:t>
      </w:r>
    </w:p>
    <w:p w14:paraId="4B975016">
      <w:pPr>
        <w:keepNext w:val="0"/>
        <w:keepLines w:val="0"/>
        <w:pageBreakBefore w:val="0"/>
        <w:widowControl/>
        <w:suppressLineNumbers w:val="0"/>
        <w:topLinePunct w:val="0"/>
        <w:bidi w:val="0"/>
        <w:spacing w:line="500" w:lineRule="exact"/>
        <w:ind w:left="0" w:leftChars="0" w:right="0" w:rightChars="0" w:firstLine="482" w:firstLineChars="200"/>
        <w:jc w:val="left"/>
        <w:rPr>
          <w:rFonts w:hint="eastAsia" w:ascii="宋体" w:hAnsi="宋体" w:eastAsia="宋体" w:cs="宋体"/>
          <w:b/>
          <w:bCs/>
          <w:color w:val="auto"/>
          <w:sz w:val="24"/>
          <w:szCs w:val="24"/>
          <w:lang w:val="en-US" w:eastAsia="zh-CN" w:bidi="zh-CN"/>
        </w:rPr>
      </w:pPr>
      <w:r>
        <w:rPr>
          <w:rFonts w:hint="eastAsia" w:ascii="宋体" w:hAnsi="宋体" w:eastAsia="宋体" w:cs="宋体"/>
          <w:b/>
          <w:bCs/>
          <w:color w:val="auto"/>
          <w:sz w:val="24"/>
          <w:szCs w:val="24"/>
          <w:lang w:val="en-US" w:eastAsia="zh-CN" w:bidi="zh-CN"/>
        </w:rPr>
        <w:t>十</w:t>
      </w:r>
      <w:r>
        <w:rPr>
          <w:rFonts w:hint="eastAsia" w:cs="宋体"/>
          <w:b/>
          <w:bCs/>
          <w:color w:val="auto"/>
          <w:sz w:val="24"/>
          <w:szCs w:val="24"/>
          <w:lang w:val="en-US" w:eastAsia="zh-CN" w:bidi="zh-CN"/>
        </w:rPr>
        <w:t>一</w:t>
      </w:r>
      <w:r>
        <w:rPr>
          <w:rFonts w:hint="eastAsia" w:ascii="宋体" w:hAnsi="宋体" w:eastAsia="宋体" w:cs="宋体"/>
          <w:b/>
          <w:bCs/>
          <w:color w:val="auto"/>
          <w:sz w:val="24"/>
          <w:szCs w:val="24"/>
          <w:lang w:val="en-US" w:eastAsia="zh-CN" w:bidi="zh-CN"/>
        </w:rPr>
        <w:t xml:space="preserve">、合同组成 </w:t>
      </w:r>
    </w:p>
    <w:p w14:paraId="18027B98">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1</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 xml:space="preserve">中标通知书 </w:t>
      </w:r>
    </w:p>
    <w:p w14:paraId="1AF2A96C">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2</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 xml:space="preserve">合同文件 </w:t>
      </w:r>
    </w:p>
    <w:p w14:paraId="7F7EA0A7">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3</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 xml:space="preserve">国家相关规范及标准 </w:t>
      </w:r>
    </w:p>
    <w:p w14:paraId="336DF2F4">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4</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 xml:space="preserve">招标文件 </w:t>
      </w:r>
    </w:p>
    <w:p w14:paraId="07E8921F">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5</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 xml:space="preserve">投标文件 </w:t>
      </w:r>
    </w:p>
    <w:p w14:paraId="0BB84975">
      <w:pPr>
        <w:keepNext w:val="0"/>
        <w:keepLines w:val="0"/>
        <w:pageBreakBefore w:val="0"/>
        <w:widowControl/>
        <w:suppressLineNumbers w:val="0"/>
        <w:topLinePunct w:val="0"/>
        <w:bidi w:val="0"/>
        <w:spacing w:line="500" w:lineRule="exact"/>
        <w:ind w:left="0" w:leftChars="0" w:right="0" w:rightChars="0" w:firstLine="482" w:firstLineChars="200"/>
        <w:jc w:val="left"/>
        <w:rPr>
          <w:rFonts w:hint="eastAsia" w:ascii="宋体" w:hAnsi="宋体" w:eastAsia="宋体" w:cs="宋体"/>
          <w:b/>
          <w:bCs/>
          <w:color w:val="auto"/>
          <w:sz w:val="24"/>
          <w:szCs w:val="24"/>
          <w:lang w:val="en-US" w:eastAsia="zh-CN" w:bidi="zh-CN"/>
        </w:rPr>
      </w:pPr>
      <w:r>
        <w:rPr>
          <w:rFonts w:hint="eastAsia" w:ascii="宋体" w:hAnsi="宋体" w:eastAsia="宋体" w:cs="宋体"/>
          <w:b/>
          <w:bCs/>
          <w:color w:val="auto"/>
          <w:sz w:val="24"/>
          <w:szCs w:val="24"/>
          <w:lang w:val="en-US" w:eastAsia="zh-CN" w:bidi="zh-CN"/>
        </w:rPr>
        <w:t>十</w:t>
      </w:r>
      <w:r>
        <w:rPr>
          <w:rFonts w:hint="eastAsia" w:cs="宋体"/>
          <w:b/>
          <w:bCs/>
          <w:color w:val="auto"/>
          <w:sz w:val="24"/>
          <w:szCs w:val="24"/>
          <w:lang w:val="en-US" w:eastAsia="zh-CN" w:bidi="zh-CN"/>
        </w:rPr>
        <w:t>二</w:t>
      </w:r>
      <w:r>
        <w:rPr>
          <w:rFonts w:hint="eastAsia" w:ascii="宋体" w:hAnsi="宋体" w:eastAsia="宋体" w:cs="宋体"/>
          <w:b/>
          <w:bCs/>
          <w:color w:val="auto"/>
          <w:sz w:val="24"/>
          <w:szCs w:val="24"/>
          <w:lang w:val="en-US" w:eastAsia="zh-CN" w:bidi="zh-CN"/>
        </w:rPr>
        <w:t>、合同生效</w:t>
      </w:r>
      <w:r>
        <w:rPr>
          <w:rFonts w:hint="eastAsia" w:cs="宋体"/>
          <w:b/>
          <w:bCs/>
          <w:color w:val="auto"/>
          <w:sz w:val="24"/>
          <w:szCs w:val="24"/>
          <w:lang w:val="en-US" w:eastAsia="zh-CN" w:bidi="zh-CN"/>
        </w:rPr>
        <w:t>及其他</w:t>
      </w:r>
      <w:r>
        <w:rPr>
          <w:rFonts w:hint="eastAsia" w:ascii="宋体" w:hAnsi="宋体" w:eastAsia="宋体" w:cs="宋体"/>
          <w:b/>
          <w:bCs/>
          <w:color w:val="auto"/>
          <w:sz w:val="24"/>
          <w:szCs w:val="24"/>
          <w:lang w:val="en-US" w:eastAsia="zh-CN" w:bidi="zh-CN"/>
        </w:rPr>
        <w:t xml:space="preserve"> </w:t>
      </w:r>
    </w:p>
    <w:p w14:paraId="083DDE9B">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1</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 xml:space="preserve">合同未尽事宜、由甲乙双方协商，作为合同补充，与原合同具有同等法律效力。 </w:t>
      </w:r>
    </w:p>
    <w:p w14:paraId="6E89BAAE">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2</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本合同正本一式</w:t>
      </w:r>
      <w:r>
        <w:rPr>
          <w:rFonts w:hint="eastAsia" w:cs="宋体"/>
          <w:color w:val="auto"/>
          <w:sz w:val="24"/>
          <w:szCs w:val="24"/>
          <w:u w:val="single"/>
          <w:lang w:val="en-US" w:eastAsia="zh-CN" w:bidi="zh-CN"/>
        </w:rPr>
        <w:t xml:space="preserve">   </w:t>
      </w:r>
      <w:r>
        <w:rPr>
          <w:rFonts w:hint="eastAsia" w:ascii="宋体" w:hAnsi="宋体" w:eastAsia="宋体" w:cs="宋体"/>
          <w:color w:val="auto"/>
          <w:sz w:val="24"/>
          <w:szCs w:val="24"/>
          <w:lang w:val="en-US" w:eastAsia="zh-CN" w:bidi="zh-CN"/>
        </w:rPr>
        <w:t>份，买卖双方分别执</w:t>
      </w:r>
      <w:r>
        <w:rPr>
          <w:rFonts w:hint="eastAsia" w:cs="宋体"/>
          <w:color w:val="auto"/>
          <w:sz w:val="24"/>
          <w:szCs w:val="24"/>
          <w:u w:val="single"/>
          <w:lang w:val="en-US" w:eastAsia="zh-CN" w:bidi="zh-CN"/>
        </w:rPr>
        <w:t xml:space="preserve">  </w:t>
      </w:r>
      <w:r>
        <w:rPr>
          <w:rFonts w:hint="eastAsia" w:ascii="宋体" w:hAnsi="宋体" w:eastAsia="宋体" w:cs="宋体"/>
          <w:color w:val="auto"/>
          <w:sz w:val="24"/>
          <w:szCs w:val="24"/>
          <w:u w:val="single"/>
          <w:lang w:val="en-US" w:eastAsia="zh-CN" w:bidi="zh-CN"/>
        </w:rPr>
        <w:t xml:space="preserve"> </w:t>
      </w:r>
      <w:r>
        <w:rPr>
          <w:rFonts w:hint="eastAsia" w:ascii="宋体" w:hAnsi="宋体" w:eastAsia="宋体" w:cs="宋体"/>
          <w:color w:val="auto"/>
          <w:sz w:val="24"/>
          <w:szCs w:val="24"/>
          <w:lang w:val="en-US" w:eastAsia="zh-CN" w:bidi="zh-CN"/>
        </w:rPr>
        <w:t>份，监督部门备案</w:t>
      </w:r>
      <w:r>
        <w:rPr>
          <w:rFonts w:hint="eastAsia" w:cs="宋体"/>
          <w:color w:val="auto"/>
          <w:sz w:val="24"/>
          <w:szCs w:val="24"/>
          <w:u w:val="single"/>
          <w:lang w:val="en-US" w:eastAsia="zh-CN" w:bidi="zh-CN"/>
        </w:rPr>
        <w:t xml:space="preserve">   </w:t>
      </w:r>
      <w:r>
        <w:rPr>
          <w:rFonts w:hint="eastAsia" w:ascii="宋体" w:hAnsi="宋体" w:eastAsia="宋体" w:cs="宋体"/>
          <w:color w:val="auto"/>
          <w:sz w:val="24"/>
          <w:szCs w:val="24"/>
          <w:lang w:val="en-US" w:eastAsia="zh-CN" w:bidi="zh-CN"/>
        </w:rPr>
        <w:t xml:space="preserve">份。 </w:t>
      </w:r>
    </w:p>
    <w:p w14:paraId="0133441D">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3</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合同经买卖双方共同签字盖章之日起生效，合同签订地点为</w:t>
      </w:r>
      <w:r>
        <w:rPr>
          <w:rFonts w:hint="eastAsia" w:cs="宋体"/>
          <w:color w:val="auto"/>
          <w:sz w:val="24"/>
          <w:szCs w:val="24"/>
          <w:u w:val="single"/>
          <w:lang w:val="en-US" w:eastAsia="zh-CN" w:bidi="zh-CN"/>
        </w:rPr>
        <w:t xml:space="preserve">            </w:t>
      </w:r>
      <w:r>
        <w:rPr>
          <w:rFonts w:hint="eastAsia" w:ascii="宋体" w:hAnsi="宋体" w:eastAsia="宋体" w:cs="宋体"/>
          <w:color w:val="auto"/>
          <w:sz w:val="24"/>
          <w:szCs w:val="24"/>
          <w:lang w:val="en-US" w:eastAsia="zh-CN" w:bidi="zh-CN"/>
        </w:rPr>
        <w:t xml:space="preserve">。 </w:t>
      </w:r>
    </w:p>
    <w:p w14:paraId="5183391F">
      <w:pPr>
        <w:pStyle w:val="8"/>
        <w:keepNext w:val="0"/>
        <w:keepLines w:val="0"/>
        <w:pageBreakBefore w:val="0"/>
        <w:kinsoku/>
        <w:wordWrap/>
        <w:overflowPunct/>
        <w:topLinePunct w:val="0"/>
        <w:bidi w:val="0"/>
        <w:adjustRightInd/>
        <w:snapToGrid/>
        <w:spacing w:line="500" w:lineRule="exact"/>
        <w:ind w:left="0" w:leftChars="0" w:right="0" w:rightChars="0" w:firstLine="480" w:firstLineChars="200"/>
        <w:textAlignment w:val="auto"/>
        <w:rPr>
          <w:color w:val="auto"/>
        </w:rPr>
      </w:pPr>
      <w:r>
        <w:rPr>
          <w:rFonts w:hint="eastAsia" w:ascii="宋体" w:hAnsi="宋体" w:eastAsia="宋体" w:cs="宋体"/>
          <w:color w:val="auto"/>
          <w:sz w:val="24"/>
          <w:szCs w:val="24"/>
          <w:lang w:val="en-US" w:eastAsia="zh-CN" w:bidi="zh-CN"/>
        </w:rPr>
        <w:t>4</w:t>
      </w:r>
      <w:r>
        <w:rPr>
          <w:rFonts w:hint="eastAsia" w:cs="宋体"/>
          <w:color w:val="auto"/>
          <w:sz w:val="24"/>
          <w:szCs w:val="24"/>
          <w:lang w:val="en-US" w:eastAsia="zh-CN" w:bidi="zh-CN"/>
        </w:rPr>
        <w:t>.</w:t>
      </w:r>
      <w:r>
        <w:rPr>
          <w:rFonts w:hint="eastAsia" w:ascii="宋体" w:hAnsi="宋体" w:eastAsia="宋体" w:cs="宋体"/>
          <w:color w:val="auto"/>
          <w:sz w:val="24"/>
          <w:szCs w:val="24"/>
          <w:lang w:val="en-US" w:eastAsia="zh-CN" w:bidi="zh-CN"/>
        </w:rPr>
        <w:t>生效时间：</w:t>
      </w:r>
      <w:r>
        <w:rPr>
          <w:rFonts w:hint="eastAsia" w:cs="宋体"/>
          <w:color w:val="auto"/>
          <w:sz w:val="24"/>
          <w:szCs w:val="24"/>
          <w:u w:val="single"/>
          <w:lang w:val="en-US" w:eastAsia="zh-CN" w:bidi="zh-CN"/>
        </w:rPr>
        <w:t xml:space="preserve">      </w:t>
      </w:r>
      <w:r>
        <w:rPr>
          <w:rFonts w:hint="eastAsia" w:ascii="宋体" w:hAnsi="宋体" w:eastAsia="宋体" w:cs="宋体"/>
          <w:color w:val="auto"/>
          <w:kern w:val="0"/>
          <w:sz w:val="24"/>
          <w:szCs w:val="24"/>
          <w:lang w:val="en-US" w:eastAsia="zh-CN" w:bidi="ar"/>
        </w:rPr>
        <w:t xml:space="preserve">年 </w:t>
      </w:r>
      <w:r>
        <w:rPr>
          <w:rFonts w:hint="eastAsia" w:ascii="宋体" w:hAnsi="宋体" w:eastAsia="宋体" w:cs="宋体"/>
          <w:color w:val="auto"/>
          <w:kern w:val="0"/>
          <w:sz w:val="24"/>
          <w:szCs w:val="24"/>
          <w:u w:val="single"/>
          <w:lang w:val="en-US" w:eastAsia="zh-CN" w:bidi="ar"/>
        </w:rPr>
        <w:t xml:space="preserve">     </w:t>
      </w:r>
      <w:r>
        <w:rPr>
          <w:rFonts w:hint="eastAsia" w:ascii="宋体" w:hAnsi="宋体" w:eastAsia="宋体" w:cs="宋体"/>
          <w:color w:val="auto"/>
          <w:kern w:val="0"/>
          <w:sz w:val="24"/>
          <w:szCs w:val="24"/>
          <w:lang w:val="en-US" w:eastAsia="zh-CN" w:bidi="ar"/>
        </w:rPr>
        <w:t>月</w:t>
      </w:r>
      <w:r>
        <w:rPr>
          <w:rFonts w:hint="eastAsia" w:ascii="宋体" w:hAnsi="宋体" w:eastAsia="宋体" w:cs="宋体"/>
          <w:color w:val="auto"/>
          <w:kern w:val="0"/>
          <w:sz w:val="24"/>
          <w:szCs w:val="24"/>
          <w:u w:val="single"/>
          <w:lang w:val="en-US" w:eastAsia="zh-CN" w:bidi="ar"/>
        </w:rPr>
        <w:t xml:space="preserve">      </w:t>
      </w:r>
      <w:r>
        <w:rPr>
          <w:rFonts w:hint="eastAsia" w:ascii="宋体" w:hAnsi="宋体" w:eastAsia="宋体" w:cs="宋体"/>
          <w:color w:val="auto"/>
          <w:kern w:val="0"/>
          <w:sz w:val="24"/>
          <w:szCs w:val="24"/>
          <w:lang w:val="en-US" w:eastAsia="zh-CN" w:bidi="ar"/>
        </w:rPr>
        <w:t xml:space="preserve">日。 </w:t>
      </w:r>
    </w:p>
    <w:p w14:paraId="6182AC79">
      <w:pPr>
        <w:keepNext w:val="0"/>
        <w:keepLines w:val="0"/>
        <w:pageBreakBefore w:val="0"/>
        <w:widowControl/>
        <w:suppressLineNumbers w:val="0"/>
        <w:topLinePunct w:val="0"/>
        <w:bidi w:val="0"/>
        <w:spacing w:line="500" w:lineRule="exact"/>
        <w:ind w:left="0" w:leftChars="0" w:right="0" w:rightChars="0" w:firstLine="480" w:firstLineChars="200"/>
        <w:jc w:val="left"/>
        <w:rPr>
          <w:color w:val="auto"/>
        </w:rPr>
      </w:pPr>
      <w:r>
        <w:rPr>
          <w:rFonts w:hint="eastAsia" w:ascii="宋体" w:hAnsi="宋体" w:eastAsia="宋体" w:cs="宋体"/>
          <w:color w:val="auto"/>
          <w:kern w:val="0"/>
          <w:sz w:val="24"/>
          <w:szCs w:val="24"/>
          <w:lang w:val="en-US" w:eastAsia="zh-CN" w:bidi="ar"/>
        </w:rPr>
        <w:t xml:space="preserve">甲方名称：（公章）                     乙方名称：（公章） </w:t>
      </w:r>
    </w:p>
    <w:p w14:paraId="755EC865">
      <w:pPr>
        <w:keepNext w:val="0"/>
        <w:keepLines w:val="0"/>
        <w:pageBreakBefore w:val="0"/>
        <w:widowControl/>
        <w:suppressLineNumbers w:val="0"/>
        <w:topLinePunct w:val="0"/>
        <w:bidi w:val="0"/>
        <w:spacing w:line="500" w:lineRule="exact"/>
        <w:ind w:left="0" w:leftChars="0" w:right="0" w:rightChars="0" w:firstLine="480" w:firstLineChars="200"/>
        <w:jc w:val="left"/>
        <w:rPr>
          <w:color w:val="auto"/>
        </w:rPr>
      </w:pPr>
      <w:r>
        <w:rPr>
          <w:rFonts w:hint="eastAsia" w:ascii="宋体" w:hAnsi="宋体" w:eastAsia="宋体" w:cs="宋体"/>
          <w:color w:val="auto"/>
          <w:kern w:val="0"/>
          <w:sz w:val="24"/>
          <w:szCs w:val="24"/>
          <w:lang w:val="en-US" w:eastAsia="zh-CN" w:bidi="ar"/>
        </w:rPr>
        <w:t xml:space="preserve">地    址：                             地    址： </w:t>
      </w:r>
    </w:p>
    <w:p w14:paraId="2D64CAAE">
      <w:pPr>
        <w:keepNext w:val="0"/>
        <w:keepLines w:val="0"/>
        <w:pageBreakBefore w:val="0"/>
        <w:widowControl/>
        <w:suppressLineNumbers w:val="0"/>
        <w:topLinePunct w:val="0"/>
        <w:bidi w:val="0"/>
        <w:spacing w:line="500" w:lineRule="exact"/>
        <w:ind w:left="0" w:leftChars="0" w:right="0" w:rightChars="0" w:firstLine="480" w:firstLineChars="200"/>
        <w:jc w:val="left"/>
        <w:rPr>
          <w:color w:val="auto"/>
        </w:rPr>
      </w:pPr>
      <w:r>
        <w:rPr>
          <w:rFonts w:hint="eastAsia" w:ascii="宋体" w:hAnsi="宋体" w:eastAsia="宋体" w:cs="宋体"/>
          <w:color w:val="auto"/>
          <w:kern w:val="0"/>
          <w:sz w:val="24"/>
          <w:szCs w:val="24"/>
          <w:lang w:val="en-US" w:eastAsia="zh-CN" w:bidi="ar"/>
        </w:rPr>
        <w:t xml:space="preserve">邮    编：                             邮    编： </w:t>
      </w:r>
    </w:p>
    <w:p w14:paraId="6092FA50">
      <w:pPr>
        <w:keepNext w:val="0"/>
        <w:keepLines w:val="0"/>
        <w:pageBreakBefore w:val="0"/>
        <w:widowControl/>
        <w:suppressLineNumbers w:val="0"/>
        <w:topLinePunct w:val="0"/>
        <w:bidi w:val="0"/>
        <w:spacing w:line="500" w:lineRule="exact"/>
        <w:ind w:left="0" w:leftChars="0" w:right="0" w:rightChars="0" w:firstLine="480" w:firstLineChars="200"/>
        <w:jc w:val="left"/>
        <w:rPr>
          <w:color w:val="auto"/>
        </w:rPr>
      </w:pPr>
      <w:r>
        <w:rPr>
          <w:rFonts w:hint="eastAsia" w:ascii="宋体" w:hAnsi="宋体" w:eastAsia="宋体" w:cs="宋体"/>
          <w:color w:val="auto"/>
          <w:kern w:val="0"/>
          <w:sz w:val="24"/>
          <w:szCs w:val="24"/>
          <w:lang w:val="en-US" w:eastAsia="zh-CN" w:bidi="ar"/>
        </w:rPr>
        <w:t xml:space="preserve">电    话：                             电    话： </w:t>
      </w:r>
    </w:p>
    <w:p w14:paraId="6B3D8952">
      <w:pPr>
        <w:keepNext w:val="0"/>
        <w:keepLines w:val="0"/>
        <w:pageBreakBefore w:val="0"/>
        <w:widowControl/>
        <w:suppressLineNumbers w:val="0"/>
        <w:topLinePunct w:val="0"/>
        <w:bidi w:val="0"/>
        <w:spacing w:line="500" w:lineRule="exact"/>
        <w:ind w:left="0" w:leftChars="0" w:right="0" w:rightChars="0" w:firstLine="480" w:firstLineChars="200"/>
        <w:jc w:val="left"/>
        <w:rPr>
          <w:color w:val="auto"/>
        </w:rPr>
      </w:pPr>
      <w:r>
        <w:rPr>
          <w:rFonts w:hint="eastAsia" w:ascii="宋体" w:hAnsi="宋体" w:eastAsia="宋体" w:cs="宋体"/>
          <w:color w:val="auto"/>
          <w:kern w:val="0"/>
          <w:sz w:val="24"/>
          <w:szCs w:val="24"/>
          <w:lang w:val="en-US" w:eastAsia="zh-CN" w:bidi="ar"/>
        </w:rPr>
        <w:t xml:space="preserve">传    真：                             传    真： </w:t>
      </w:r>
    </w:p>
    <w:p w14:paraId="7B35408A">
      <w:pPr>
        <w:keepNext w:val="0"/>
        <w:keepLines w:val="0"/>
        <w:pageBreakBefore w:val="0"/>
        <w:widowControl/>
        <w:suppressLineNumbers w:val="0"/>
        <w:tabs>
          <w:tab w:val="left" w:pos="459"/>
        </w:tabs>
        <w:topLinePunct w:val="0"/>
        <w:bidi w:val="0"/>
        <w:spacing w:line="500" w:lineRule="exact"/>
        <w:ind w:left="0" w:leftChars="0" w:right="0" w:rightChars="0" w:firstLine="480" w:firstLineChars="200"/>
        <w:jc w:val="left"/>
        <w:rPr>
          <w:color w:val="auto"/>
        </w:rPr>
      </w:pPr>
      <w:r>
        <w:rPr>
          <w:rFonts w:hint="eastAsia" w:ascii="宋体" w:hAnsi="宋体" w:eastAsia="宋体" w:cs="宋体"/>
          <w:color w:val="auto"/>
          <w:kern w:val="0"/>
          <w:sz w:val="24"/>
          <w:szCs w:val="24"/>
          <w:lang w:val="en-US" w:eastAsia="zh-CN" w:bidi="ar"/>
        </w:rPr>
        <w:t xml:space="preserve">开户银行：                             开户银行： </w:t>
      </w:r>
    </w:p>
    <w:p w14:paraId="4A563C61">
      <w:pPr>
        <w:keepNext w:val="0"/>
        <w:keepLines w:val="0"/>
        <w:pageBreakBefore w:val="0"/>
        <w:widowControl/>
        <w:suppressLineNumbers w:val="0"/>
        <w:topLinePunct w:val="0"/>
        <w:bidi w:val="0"/>
        <w:spacing w:line="500" w:lineRule="exact"/>
        <w:ind w:left="0" w:leftChars="0" w:right="0" w:rightChars="0" w:firstLine="480" w:firstLineChars="200"/>
        <w:jc w:val="left"/>
        <w:rPr>
          <w:color w:val="auto"/>
        </w:rPr>
        <w:sectPr>
          <w:headerReference r:id="rId12" w:type="default"/>
          <w:pgSz w:w="11910" w:h="16840"/>
          <w:pgMar w:top="1060" w:right="1020" w:bottom="1200" w:left="1040" w:header="872" w:footer="1005" w:gutter="0"/>
          <w:pgNumType w:fmt="decimal"/>
          <w:cols w:space="720" w:num="1"/>
        </w:sectPr>
      </w:pPr>
      <w:r>
        <w:rPr>
          <w:rFonts w:hint="eastAsia" w:ascii="宋体" w:hAnsi="宋体" w:eastAsia="宋体" w:cs="宋体"/>
          <w:color w:val="auto"/>
          <w:kern w:val="0"/>
          <w:sz w:val="24"/>
          <w:szCs w:val="24"/>
          <w:lang w:val="en-US" w:eastAsia="zh-CN" w:bidi="ar"/>
        </w:rPr>
        <w:t>帐   号：                              帐    号</w:t>
      </w:r>
      <w:r>
        <w:rPr>
          <w:rFonts w:hint="eastAsia" w:cs="宋体"/>
          <w:color w:val="auto"/>
          <w:kern w:val="0"/>
          <w:sz w:val="24"/>
          <w:szCs w:val="24"/>
          <w:lang w:val="en-US" w:eastAsia="zh-CN" w:bidi="ar"/>
        </w:rPr>
        <w:t>：</w:t>
      </w:r>
    </w:p>
    <w:p w14:paraId="3E042716">
      <w:pPr>
        <w:pageBreakBefore w:val="0"/>
        <w:topLinePunct w:val="0"/>
        <w:bidi w:val="0"/>
        <w:spacing w:line="500" w:lineRule="exact"/>
        <w:ind w:right="0" w:rightChars="0"/>
        <w:rPr>
          <w:rFonts w:ascii="Arial"/>
          <w:color w:val="auto"/>
          <w:sz w:val="2"/>
        </w:rPr>
      </w:pPr>
    </w:p>
    <w:tbl>
      <w:tblPr>
        <w:tblStyle w:val="38"/>
        <w:tblW w:w="15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88"/>
        <w:gridCol w:w="863"/>
        <w:gridCol w:w="762"/>
        <w:gridCol w:w="1100"/>
        <w:gridCol w:w="2050"/>
        <w:gridCol w:w="1339"/>
        <w:gridCol w:w="761"/>
        <w:gridCol w:w="1175"/>
        <w:gridCol w:w="1000"/>
        <w:gridCol w:w="1410"/>
        <w:gridCol w:w="1213"/>
        <w:gridCol w:w="1214"/>
        <w:gridCol w:w="729"/>
      </w:tblGrid>
      <w:tr w14:paraId="6B6A2C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15004" w:type="dxa"/>
            <w:gridSpan w:val="13"/>
            <w:vAlign w:val="center"/>
          </w:tcPr>
          <w:p w14:paraId="30958C5E">
            <w:pPr>
              <w:pStyle w:val="46"/>
              <w:pageBreakBefore w:val="0"/>
              <w:topLinePunct w:val="0"/>
              <w:bidi w:val="0"/>
              <w:spacing w:line="500" w:lineRule="exact"/>
              <w:ind w:left="0" w:leftChars="0" w:right="0" w:rightChars="0" w:firstLine="711" w:firstLineChars="200"/>
              <w:jc w:val="center"/>
              <w:rPr>
                <w:color w:val="auto"/>
                <w:sz w:val="35"/>
                <w:szCs w:val="35"/>
              </w:rPr>
            </w:pPr>
            <w:r>
              <w:rPr>
                <w:b/>
                <w:bCs/>
                <w:color w:val="auto"/>
                <w:spacing w:val="2"/>
                <w:sz w:val="35"/>
                <w:szCs w:val="35"/>
              </w:rPr>
              <w:t>验收单</w:t>
            </w:r>
          </w:p>
        </w:tc>
      </w:tr>
      <w:tr w14:paraId="509E2E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1388" w:type="dxa"/>
            <w:vAlign w:val="center"/>
          </w:tcPr>
          <w:p w14:paraId="7510DC83">
            <w:pPr>
              <w:pStyle w:val="46"/>
              <w:pageBreakBefore w:val="0"/>
              <w:topLinePunct w:val="0"/>
              <w:bidi w:val="0"/>
              <w:spacing w:line="500" w:lineRule="exact"/>
              <w:ind w:right="0" w:rightChars="0"/>
              <w:jc w:val="center"/>
              <w:rPr>
                <w:color w:val="auto"/>
                <w:sz w:val="22"/>
                <w:szCs w:val="22"/>
              </w:rPr>
            </w:pPr>
            <w:r>
              <w:rPr>
                <w:color w:val="auto"/>
                <w:spacing w:val="-2"/>
                <w:sz w:val="22"/>
                <w:szCs w:val="22"/>
              </w:rPr>
              <w:t>供货单位</w:t>
            </w:r>
          </w:p>
        </w:tc>
        <w:tc>
          <w:tcPr>
            <w:tcW w:w="2725" w:type="dxa"/>
            <w:gridSpan w:val="3"/>
            <w:vAlign w:val="center"/>
          </w:tcPr>
          <w:p w14:paraId="76B4192D">
            <w:pPr>
              <w:pageBreakBefore w:val="0"/>
              <w:topLinePunct w:val="0"/>
              <w:bidi w:val="0"/>
              <w:spacing w:line="500" w:lineRule="exact"/>
              <w:ind w:left="0" w:leftChars="0" w:right="0" w:rightChars="0" w:firstLine="420" w:firstLineChars="200"/>
              <w:jc w:val="center"/>
              <w:rPr>
                <w:rFonts w:ascii="Arial"/>
                <w:color w:val="auto"/>
                <w:sz w:val="21"/>
              </w:rPr>
            </w:pPr>
          </w:p>
        </w:tc>
        <w:tc>
          <w:tcPr>
            <w:tcW w:w="2050" w:type="dxa"/>
            <w:vAlign w:val="center"/>
          </w:tcPr>
          <w:p w14:paraId="508FB8D0">
            <w:pPr>
              <w:pStyle w:val="46"/>
              <w:pageBreakBefore w:val="0"/>
              <w:topLinePunct w:val="0"/>
              <w:bidi w:val="0"/>
              <w:spacing w:line="500" w:lineRule="exact"/>
              <w:ind w:right="0" w:rightChars="0"/>
              <w:jc w:val="center"/>
              <w:rPr>
                <w:color w:val="auto"/>
                <w:sz w:val="22"/>
                <w:szCs w:val="22"/>
              </w:rPr>
            </w:pPr>
            <w:r>
              <w:rPr>
                <w:color w:val="auto"/>
                <w:spacing w:val="-3"/>
                <w:sz w:val="22"/>
                <w:szCs w:val="22"/>
              </w:rPr>
              <w:t>供货人</w:t>
            </w:r>
          </w:p>
        </w:tc>
        <w:tc>
          <w:tcPr>
            <w:tcW w:w="2100" w:type="dxa"/>
            <w:gridSpan w:val="2"/>
            <w:vAlign w:val="center"/>
          </w:tcPr>
          <w:p w14:paraId="6E7D3A32">
            <w:pPr>
              <w:pageBreakBefore w:val="0"/>
              <w:topLinePunct w:val="0"/>
              <w:bidi w:val="0"/>
              <w:spacing w:line="500" w:lineRule="exact"/>
              <w:ind w:left="0" w:leftChars="0" w:right="0" w:rightChars="0" w:firstLine="420" w:firstLineChars="200"/>
              <w:jc w:val="center"/>
              <w:rPr>
                <w:rFonts w:ascii="Arial"/>
                <w:color w:val="auto"/>
                <w:sz w:val="21"/>
              </w:rPr>
            </w:pPr>
          </w:p>
        </w:tc>
        <w:tc>
          <w:tcPr>
            <w:tcW w:w="1175" w:type="dxa"/>
            <w:vAlign w:val="center"/>
          </w:tcPr>
          <w:p w14:paraId="4203DE40">
            <w:pPr>
              <w:pStyle w:val="46"/>
              <w:pageBreakBefore w:val="0"/>
              <w:topLinePunct w:val="0"/>
              <w:bidi w:val="0"/>
              <w:spacing w:line="500" w:lineRule="exact"/>
              <w:ind w:right="0" w:rightChars="0"/>
              <w:jc w:val="center"/>
              <w:rPr>
                <w:color w:val="auto"/>
                <w:sz w:val="22"/>
                <w:szCs w:val="22"/>
              </w:rPr>
            </w:pPr>
            <w:r>
              <w:rPr>
                <w:color w:val="auto"/>
                <w:spacing w:val="-17"/>
                <w:sz w:val="22"/>
                <w:szCs w:val="22"/>
              </w:rPr>
              <w:t>电话</w:t>
            </w:r>
          </w:p>
        </w:tc>
        <w:tc>
          <w:tcPr>
            <w:tcW w:w="5566" w:type="dxa"/>
            <w:gridSpan w:val="5"/>
            <w:vAlign w:val="center"/>
          </w:tcPr>
          <w:p w14:paraId="5852C0CD">
            <w:pPr>
              <w:pageBreakBefore w:val="0"/>
              <w:topLinePunct w:val="0"/>
              <w:bidi w:val="0"/>
              <w:spacing w:line="500" w:lineRule="exact"/>
              <w:ind w:left="0" w:leftChars="0" w:right="0" w:rightChars="0" w:firstLine="420" w:firstLineChars="200"/>
              <w:jc w:val="center"/>
              <w:rPr>
                <w:rFonts w:ascii="Arial"/>
                <w:color w:val="auto"/>
                <w:sz w:val="21"/>
              </w:rPr>
            </w:pPr>
          </w:p>
        </w:tc>
      </w:tr>
      <w:tr w14:paraId="64E2B2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1388" w:type="dxa"/>
            <w:vAlign w:val="center"/>
          </w:tcPr>
          <w:p w14:paraId="5081B31C">
            <w:pPr>
              <w:pStyle w:val="46"/>
              <w:pageBreakBefore w:val="0"/>
              <w:topLinePunct w:val="0"/>
              <w:bidi w:val="0"/>
              <w:spacing w:line="500" w:lineRule="exact"/>
              <w:ind w:right="0" w:rightChars="0"/>
              <w:jc w:val="center"/>
              <w:rPr>
                <w:color w:val="auto"/>
                <w:sz w:val="22"/>
                <w:szCs w:val="22"/>
              </w:rPr>
            </w:pPr>
            <w:r>
              <w:rPr>
                <w:color w:val="auto"/>
                <w:spacing w:val="-4"/>
                <w:sz w:val="22"/>
                <w:szCs w:val="22"/>
              </w:rPr>
              <w:t>收货单位</w:t>
            </w:r>
          </w:p>
        </w:tc>
        <w:tc>
          <w:tcPr>
            <w:tcW w:w="2725" w:type="dxa"/>
            <w:gridSpan w:val="3"/>
            <w:vAlign w:val="center"/>
          </w:tcPr>
          <w:p w14:paraId="3FF4DBF7">
            <w:pPr>
              <w:pageBreakBefore w:val="0"/>
              <w:topLinePunct w:val="0"/>
              <w:bidi w:val="0"/>
              <w:spacing w:line="500" w:lineRule="exact"/>
              <w:ind w:left="0" w:leftChars="0" w:right="0" w:rightChars="0" w:firstLine="420" w:firstLineChars="200"/>
              <w:jc w:val="center"/>
              <w:rPr>
                <w:rFonts w:ascii="Arial"/>
                <w:color w:val="auto"/>
                <w:sz w:val="21"/>
              </w:rPr>
            </w:pPr>
          </w:p>
        </w:tc>
        <w:tc>
          <w:tcPr>
            <w:tcW w:w="2050" w:type="dxa"/>
            <w:vAlign w:val="center"/>
          </w:tcPr>
          <w:p w14:paraId="472F02F3">
            <w:pPr>
              <w:pStyle w:val="46"/>
              <w:pageBreakBefore w:val="0"/>
              <w:topLinePunct w:val="0"/>
              <w:bidi w:val="0"/>
              <w:spacing w:line="500" w:lineRule="exact"/>
              <w:ind w:right="0" w:rightChars="0"/>
              <w:jc w:val="center"/>
              <w:rPr>
                <w:color w:val="auto"/>
                <w:sz w:val="22"/>
                <w:szCs w:val="22"/>
              </w:rPr>
            </w:pPr>
            <w:r>
              <w:rPr>
                <w:color w:val="auto"/>
                <w:spacing w:val="-5"/>
                <w:sz w:val="22"/>
                <w:szCs w:val="22"/>
              </w:rPr>
              <w:t>收货人</w:t>
            </w:r>
          </w:p>
        </w:tc>
        <w:tc>
          <w:tcPr>
            <w:tcW w:w="2100" w:type="dxa"/>
            <w:gridSpan w:val="2"/>
            <w:vAlign w:val="center"/>
          </w:tcPr>
          <w:p w14:paraId="54EACE77">
            <w:pPr>
              <w:pageBreakBefore w:val="0"/>
              <w:topLinePunct w:val="0"/>
              <w:bidi w:val="0"/>
              <w:spacing w:line="500" w:lineRule="exact"/>
              <w:ind w:left="0" w:leftChars="0" w:right="0" w:rightChars="0" w:firstLine="420" w:firstLineChars="200"/>
              <w:jc w:val="center"/>
              <w:rPr>
                <w:rFonts w:ascii="Arial"/>
                <w:color w:val="auto"/>
                <w:sz w:val="21"/>
              </w:rPr>
            </w:pPr>
          </w:p>
        </w:tc>
        <w:tc>
          <w:tcPr>
            <w:tcW w:w="1175" w:type="dxa"/>
            <w:vAlign w:val="center"/>
          </w:tcPr>
          <w:p w14:paraId="32D96233">
            <w:pPr>
              <w:pStyle w:val="46"/>
              <w:pageBreakBefore w:val="0"/>
              <w:topLinePunct w:val="0"/>
              <w:bidi w:val="0"/>
              <w:spacing w:line="500" w:lineRule="exact"/>
              <w:ind w:right="0" w:rightChars="0"/>
              <w:jc w:val="center"/>
              <w:rPr>
                <w:color w:val="auto"/>
                <w:sz w:val="22"/>
                <w:szCs w:val="22"/>
              </w:rPr>
            </w:pPr>
            <w:r>
              <w:rPr>
                <w:color w:val="auto"/>
                <w:spacing w:val="-17"/>
                <w:sz w:val="22"/>
                <w:szCs w:val="22"/>
              </w:rPr>
              <w:t>电话</w:t>
            </w:r>
          </w:p>
        </w:tc>
        <w:tc>
          <w:tcPr>
            <w:tcW w:w="5566" w:type="dxa"/>
            <w:gridSpan w:val="5"/>
            <w:vAlign w:val="center"/>
          </w:tcPr>
          <w:p w14:paraId="1DD004A4">
            <w:pPr>
              <w:pageBreakBefore w:val="0"/>
              <w:topLinePunct w:val="0"/>
              <w:bidi w:val="0"/>
              <w:spacing w:line="500" w:lineRule="exact"/>
              <w:ind w:left="0" w:leftChars="0" w:right="0" w:rightChars="0" w:firstLine="420" w:firstLineChars="200"/>
              <w:jc w:val="center"/>
              <w:rPr>
                <w:rFonts w:ascii="Arial"/>
                <w:color w:val="auto"/>
                <w:sz w:val="21"/>
              </w:rPr>
            </w:pPr>
          </w:p>
        </w:tc>
      </w:tr>
      <w:tr w14:paraId="356460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1388" w:type="dxa"/>
            <w:vAlign w:val="center"/>
          </w:tcPr>
          <w:p w14:paraId="397F5133">
            <w:pPr>
              <w:pStyle w:val="46"/>
              <w:pageBreakBefore w:val="0"/>
              <w:topLinePunct w:val="0"/>
              <w:bidi w:val="0"/>
              <w:spacing w:line="500" w:lineRule="exact"/>
              <w:ind w:right="0" w:rightChars="0"/>
              <w:jc w:val="center"/>
              <w:rPr>
                <w:color w:val="auto"/>
                <w:sz w:val="22"/>
                <w:szCs w:val="22"/>
              </w:rPr>
            </w:pPr>
            <w:r>
              <w:rPr>
                <w:color w:val="auto"/>
                <w:spacing w:val="-4"/>
                <w:sz w:val="22"/>
                <w:szCs w:val="22"/>
              </w:rPr>
              <w:t>收货地址</w:t>
            </w:r>
          </w:p>
        </w:tc>
        <w:tc>
          <w:tcPr>
            <w:tcW w:w="13616" w:type="dxa"/>
            <w:gridSpan w:val="12"/>
            <w:vAlign w:val="center"/>
          </w:tcPr>
          <w:p w14:paraId="1CF164BC">
            <w:pPr>
              <w:pageBreakBefore w:val="0"/>
              <w:topLinePunct w:val="0"/>
              <w:bidi w:val="0"/>
              <w:spacing w:line="500" w:lineRule="exact"/>
              <w:ind w:left="0" w:leftChars="0" w:right="0" w:rightChars="0" w:firstLine="420" w:firstLineChars="200"/>
              <w:jc w:val="center"/>
              <w:rPr>
                <w:rFonts w:ascii="Arial"/>
                <w:color w:val="auto"/>
                <w:sz w:val="21"/>
              </w:rPr>
            </w:pPr>
          </w:p>
        </w:tc>
      </w:tr>
      <w:tr w14:paraId="5FB4BA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15004" w:type="dxa"/>
            <w:gridSpan w:val="13"/>
            <w:vAlign w:val="center"/>
          </w:tcPr>
          <w:p w14:paraId="35ADACFB">
            <w:pPr>
              <w:pStyle w:val="46"/>
              <w:pageBreakBefore w:val="0"/>
              <w:topLinePunct w:val="0"/>
              <w:bidi w:val="0"/>
              <w:spacing w:line="500" w:lineRule="exact"/>
              <w:ind w:left="0" w:leftChars="0" w:right="0" w:rightChars="0" w:firstLine="719" w:firstLineChars="200"/>
              <w:jc w:val="center"/>
              <w:rPr>
                <w:color w:val="auto"/>
                <w:sz w:val="35"/>
                <w:szCs w:val="35"/>
              </w:rPr>
            </w:pPr>
            <w:r>
              <w:rPr>
                <w:b/>
                <w:bCs/>
                <w:color w:val="auto"/>
                <w:spacing w:val="4"/>
                <w:sz w:val="35"/>
                <w:szCs w:val="35"/>
              </w:rPr>
              <w:t>送货清单</w:t>
            </w:r>
          </w:p>
        </w:tc>
      </w:tr>
      <w:tr w14:paraId="5F446F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5" w:hRule="atLeast"/>
        </w:trPr>
        <w:tc>
          <w:tcPr>
            <w:tcW w:w="1388" w:type="dxa"/>
            <w:vAlign w:val="center"/>
          </w:tcPr>
          <w:p w14:paraId="47156D6A">
            <w:pPr>
              <w:pStyle w:val="46"/>
              <w:pageBreakBefore w:val="0"/>
              <w:topLinePunct w:val="0"/>
              <w:bidi w:val="0"/>
              <w:spacing w:line="500" w:lineRule="exact"/>
              <w:ind w:right="0" w:rightChars="0"/>
              <w:jc w:val="center"/>
              <w:rPr>
                <w:color w:val="auto"/>
                <w:sz w:val="22"/>
                <w:szCs w:val="22"/>
              </w:rPr>
            </w:pPr>
            <w:r>
              <w:rPr>
                <w:color w:val="auto"/>
                <w:spacing w:val="-2"/>
                <w:sz w:val="22"/>
                <w:szCs w:val="22"/>
              </w:rPr>
              <w:t>产品名称</w:t>
            </w:r>
          </w:p>
        </w:tc>
        <w:tc>
          <w:tcPr>
            <w:tcW w:w="863" w:type="dxa"/>
            <w:vAlign w:val="center"/>
          </w:tcPr>
          <w:p w14:paraId="72858494">
            <w:pPr>
              <w:pStyle w:val="46"/>
              <w:pageBreakBefore w:val="0"/>
              <w:topLinePunct w:val="0"/>
              <w:bidi w:val="0"/>
              <w:spacing w:line="500" w:lineRule="exact"/>
              <w:ind w:right="0" w:rightChars="0"/>
              <w:jc w:val="center"/>
              <w:rPr>
                <w:color w:val="auto"/>
                <w:sz w:val="22"/>
                <w:szCs w:val="22"/>
              </w:rPr>
            </w:pPr>
            <w:r>
              <w:rPr>
                <w:color w:val="auto"/>
                <w:spacing w:val="-3"/>
                <w:sz w:val="22"/>
                <w:szCs w:val="22"/>
              </w:rPr>
              <w:t>批次</w:t>
            </w:r>
          </w:p>
        </w:tc>
        <w:tc>
          <w:tcPr>
            <w:tcW w:w="762" w:type="dxa"/>
            <w:vAlign w:val="center"/>
          </w:tcPr>
          <w:p w14:paraId="151A69F2">
            <w:pPr>
              <w:pStyle w:val="46"/>
              <w:pageBreakBefore w:val="0"/>
              <w:topLinePunct w:val="0"/>
              <w:bidi w:val="0"/>
              <w:spacing w:line="500" w:lineRule="exact"/>
              <w:ind w:right="0" w:rightChars="0"/>
              <w:jc w:val="center"/>
              <w:rPr>
                <w:color w:val="auto"/>
                <w:sz w:val="22"/>
                <w:szCs w:val="22"/>
              </w:rPr>
            </w:pPr>
            <w:r>
              <w:rPr>
                <w:color w:val="auto"/>
                <w:spacing w:val="-5"/>
                <w:sz w:val="22"/>
                <w:szCs w:val="22"/>
              </w:rPr>
              <w:t>单位</w:t>
            </w:r>
          </w:p>
        </w:tc>
        <w:tc>
          <w:tcPr>
            <w:tcW w:w="1100" w:type="dxa"/>
            <w:vAlign w:val="center"/>
          </w:tcPr>
          <w:p w14:paraId="18817FFC">
            <w:pPr>
              <w:pStyle w:val="46"/>
              <w:pageBreakBefore w:val="0"/>
              <w:topLinePunct w:val="0"/>
              <w:bidi w:val="0"/>
              <w:spacing w:line="500" w:lineRule="exact"/>
              <w:ind w:right="0" w:rightChars="0"/>
              <w:jc w:val="center"/>
              <w:rPr>
                <w:color w:val="auto"/>
                <w:sz w:val="22"/>
                <w:szCs w:val="22"/>
              </w:rPr>
            </w:pPr>
            <w:r>
              <w:rPr>
                <w:color w:val="auto"/>
                <w:spacing w:val="-2"/>
                <w:sz w:val="22"/>
                <w:szCs w:val="22"/>
              </w:rPr>
              <w:t>送货数量</w:t>
            </w:r>
          </w:p>
        </w:tc>
        <w:tc>
          <w:tcPr>
            <w:tcW w:w="2050" w:type="dxa"/>
            <w:vAlign w:val="center"/>
          </w:tcPr>
          <w:p w14:paraId="5616C577">
            <w:pPr>
              <w:pStyle w:val="46"/>
              <w:pageBreakBefore w:val="0"/>
              <w:topLinePunct w:val="0"/>
              <w:bidi w:val="0"/>
              <w:spacing w:line="500" w:lineRule="exact"/>
              <w:ind w:right="0" w:rightChars="0"/>
              <w:jc w:val="center"/>
              <w:rPr>
                <w:color w:val="auto"/>
                <w:sz w:val="22"/>
                <w:szCs w:val="22"/>
              </w:rPr>
            </w:pPr>
            <w:r>
              <w:rPr>
                <w:color w:val="auto"/>
                <w:spacing w:val="-2"/>
                <w:sz w:val="22"/>
                <w:szCs w:val="22"/>
              </w:rPr>
              <w:t>产品具体要求</w:t>
            </w:r>
          </w:p>
        </w:tc>
        <w:tc>
          <w:tcPr>
            <w:tcW w:w="2100" w:type="dxa"/>
            <w:gridSpan w:val="2"/>
            <w:vAlign w:val="center"/>
          </w:tcPr>
          <w:p w14:paraId="7E2AEDBA">
            <w:pPr>
              <w:pStyle w:val="46"/>
              <w:pageBreakBefore w:val="0"/>
              <w:topLinePunct w:val="0"/>
              <w:bidi w:val="0"/>
              <w:spacing w:line="500" w:lineRule="exact"/>
              <w:ind w:right="0" w:rightChars="0"/>
              <w:jc w:val="center"/>
              <w:rPr>
                <w:color w:val="auto"/>
                <w:sz w:val="22"/>
                <w:szCs w:val="22"/>
              </w:rPr>
            </w:pPr>
            <w:r>
              <w:rPr>
                <w:color w:val="auto"/>
                <w:spacing w:val="-3"/>
                <w:sz w:val="22"/>
                <w:szCs w:val="22"/>
              </w:rPr>
              <w:t>生产日</w:t>
            </w:r>
            <w:r>
              <w:rPr>
                <w:color w:val="auto"/>
                <w:sz w:val="22"/>
                <w:szCs w:val="22"/>
              </w:rPr>
              <w:t>期</w:t>
            </w:r>
          </w:p>
          <w:p w14:paraId="14A34C17">
            <w:pPr>
              <w:pStyle w:val="46"/>
              <w:pageBreakBefore w:val="0"/>
              <w:topLinePunct w:val="0"/>
              <w:bidi w:val="0"/>
              <w:spacing w:line="500" w:lineRule="exact"/>
              <w:ind w:right="0" w:rightChars="0"/>
              <w:jc w:val="center"/>
              <w:rPr>
                <w:color w:val="auto"/>
                <w:sz w:val="22"/>
                <w:szCs w:val="22"/>
              </w:rPr>
            </w:pPr>
            <w:r>
              <w:rPr>
                <w:color w:val="auto"/>
                <w:spacing w:val="-5"/>
                <w:sz w:val="22"/>
                <w:szCs w:val="22"/>
              </w:rPr>
              <w:t>（产出</w:t>
            </w:r>
            <w:r>
              <w:rPr>
                <w:color w:val="auto"/>
                <w:spacing w:val="-12"/>
                <w:sz w:val="22"/>
                <w:szCs w:val="22"/>
              </w:rPr>
              <w:t>时间）</w:t>
            </w:r>
          </w:p>
        </w:tc>
        <w:tc>
          <w:tcPr>
            <w:tcW w:w="1175" w:type="dxa"/>
            <w:vAlign w:val="center"/>
          </w:tcPr>
          <w:p w14:paraId="7906DF94">
            <w:pPr>
              <w:pStyle w:val="46"/>
              <w:pageBreakBefore w:val="0"/>
              <w:topLinePunct w:val="0"/>
              <w:bidi w:val="0"/>
              <w:spacing w:line="500" w:lineRule="exact"/>
              <w:ind w:right="0" w:rightChars="0"/>
              <w:jc w:val="center"/>
              <w:rPr>
                <w:color w:val="auto"/>
                <w:sz w:val="22"/>
                <w:szCs w:val="22"/>
              </w:rPr>
            </w:pPr>
            <w:r>
              <w:rPr>
                <w:color w:val="auto"/>
                <w:spacing w:val="-3"/>
                <w:sz w:val="22"/>
                <w:szCs w:val="22"/>
              </w:rPr>
              <w:t>外观和质量</w:t>
            </w:r>
          </w:p>
        </w:tc>
        <w:tc>
          <w:tcPr>
            <w:tcW w:w="1000" w:type="dxa"/>
            <w:vAlign w:val="center"/>
          </w:tcPr>
          <w:p w14:paraId="7E04F3D0">
            <w:pPr>
              <w:pStyle w:val="46"/>
              <w:pageBreakBefore w:val="0"/>
              <w:topLinePunct w:val="0"/>
              <w:bidi w:val="0"/>
              <w:spacing w:line="500" w:lineRule="exact"/>
              <w:ind w:right="0" w:rightChars="0"/>
              <w:jc w:val="center"/>
              <w:rPr>
                <w:color w:val="auto"/>
                <w:sz w:val="22"/>
                <w:szCs w:val="22"/>
              </w:rPr>
            </w:pPr>
            <w:r>
              <w:rPr>
                <w:color w:val="auto"/>
                <w:spacing w:val="-3"/>
                <w:sz w:val="22"/>
                <w:szCs w:val="22"/>
              </w:rPr>
              <w:t>保质期</w:t>
            </w:r>
          </w:p>
        </w:tc>
        <w:tc>
          <w:tcPr>
            <w:tcW w:w="1410" w:type="dxa"/>
            <w:vAlign w:val="center"/>
          </w:tcPr>
          <w:p w14:paraId="55F58715">
            <w:pPr>
              <w:pStyle w:val="46"/>
              <w:pageBreakBefore w:val="0"/>
              <w:topLinePunct w:val="0"/>
              <w:bidi w:val="0"/>
              <w:spacing w:line="500" w:lineRule="exact"/>
              <w:ind w:right="0" w:rightChars="0"/>
              <w:jc w:val="center"/>
              <w:rPr>
                <w:color w:val="auto"/>
                <w:sz w:val="22"/>
                <w:szCs w:val="22"/>
              </w:rPr>
            </w:pPr>
            <w:r>
              <w:rPr>
                <w:color w:val="auto"/>
                <w:spacing w:val="-3"/>
                <w:sz w:val="22"/>
                <w:szCs w:val="22"/>
              </w:rPr>
              <w:t>是否提供质</w:t>
            </w:r>
            <w:r>
              <w:rPr>
                <w:color w:val="auto"/>
                <w:spacing w:val="-2"/>
                <w:sz w:val="22"/>
                <w:szCs w:val="22"/>
              </w:rPr>
              <w:t>量相关证明</w:t>
            </w:r>
            <w:r>
              <w:rPr>
                <w:color w:val="auto"/>
                <w:spacing w:val="-5"/>
                <w:sz w:val="22"/>
                <w:szCs w:val="22"/>
              </w:rPr>
              <w:t>文件</w:t>
            </w:r>
          </w:p>
        </w:tc>
        <w:tc>
          <w:tcPr>
            <w:tcW w:w="1213" w:type="dxa"/>
            <w:vAlign w:val="center"/>
          </w:tcPr>
          <w:p w14:paraId="4E65A587">
            <w:pPr>
              <w:pStyle w:val="46"/>
              <w:pageBreakBefore w:val="0"/>
              <w:topLinePunct w:val="0"/>
              <w:bidi w:val="0"/>
              <w:spacing w:line="500" w:lineRule="exact"/>
              <w:ind w:right="0" w:rightChars="0"/>
              <w:jc w:val="center"/>
              <w:rPr>
                <w:color w:val="auto"/>
                <w:sz w:val="22"/>
                <w:szCs w:val="22"/>
              </w:rPr>
            </w:pPr>
            <w:r>
              <w:rPr>
                <w:color w:val="auto"/>
                <w:spacing w:val="-6"/>
                <w:sz w:val="22"/>
                <w:szCs w:val="22"/>
              </w:rPr>
              <w:t>留样数量</w:t>
            </w:r>
          </w:p>
        </w:tc>
        <w:tc>
          <w:tcPr>
            <w:tcW w:w="1214" w:type="dxa"/>
            <w:vAlign w:val="center"/>
          </w:tcPr>
          <w:p w14:paraId="5A97626E">
            <w:pPr>
              <w:pStyle w:val="46"/>
              <w:pageBreakBefore w:val="0"/>
              <w:topLinePunct w:val="0"/>
              <w:bidi w:val="0"/>
              <w:spacing w:line="500" w:lineRule="exact"/>
              <w:ind w:right="0" w:rightChars="0"/>
              <w:jc w:val="center"/>
              <w:rPr>
                <w:color w:val="auto"/>
                <w:sz w:val="22"/>
                <w:szCs w:val="22"/>
              </w:rPr>
            </w:pPr>
            <w:r>
              <w:rPr>
                <w:color w:val="auto"/>
                <w:spacing w:val="-3"/>
                <w:sz w:val="22"/>
                <w:szCs w:val="22"/>
              </w:rPr>
              <w:t>是否合格</w:t>
            </w:r>
          </w:p>
        </w:tc>
        <w:tc>
          <w:tcPr>
            <w:tcW w:w="729" w:type="dxa"/>
            <w:vAlign w:val="center"/>
          </w:tcPr>
          <w:p w14:paraId="19BCF9EE">
            <w:pPr>
              <w:pStyle w:val="46"/>
              <w:pageBreakBefore w:val="0"/>
              <w:topLinePunct w:val="0"/>
              <w:bidi w:val="0"/>
              <w:spacing w:line="500" w:lineRule="exact"/>
              <w:ind w:right="0" w:rightChars="0"/>
              <w:jc w:val="center"/>
              <w:rPr>
                <w:color w:val="auto"/>
                <w:sz w:val="22"/>
                <w:szCs w:val="22"/>
              </w:rPr>
            </w:pPr>
            <w:r>
              <w:rPr>
                <w:color w:val="auto"/>
                <w:spacing w:val="-5"/>
                <w:sz w:val="22"/>
                <w:szCs w:val="22"/>
              </w:rPr>
              <w:t>备注</w:t>
            </w:r>
          </w:p>
        </w:tc>
      </w:tr>
      <w:tr w14:paraId="5CE7C5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388" w:type="dxa"/>
            <w:vAlign w:val="center"/>
          </w:tcPr>
          <w:p w14:paraId="325C8220">
            <w:pPr>
              <w:pStyle w:val="46"/>
              <w:pageBreakBefore w:val="0"/>
              <w:topLinePunct w:val="0"/>
              <w:bidi w:val="0"/>
              <w:spacing w:line="500" w:lineRule="exact"/>
              <w:ind w:left="0" w:leftChars="0" w:right="0" w:rightChars="0" w:firstLine="440" w:firstLineChars="200"/>
              <w:jc w:val="center"/>
              <w:rPr>
                <w:color w:val="auto"/>
                <w:sz w:val="22"/>
                <w:szCs w:val="22"/>
              </w:rPr>
            </w:pPr>
          </w:p>
        </w:tc>
        <w:tc>
          <w:tcPr>
            <w:tcW w:w="863" w:type="dxa"/>
            <w:vAlign w:val="center"/>
          </w:tcPr>
          <w:p w14:paraId="68E5BCF1">
            <w:pPr>
              <w:pageBreakBefore w:val="0"/>
              <w:topLinePunct w:val="0"/>
              <w:bidi w:val="0"/>
              <w:spacing w:line="500" w:lineRule="exact"/>
              <w:ind w:left="0" w:leftChars="0" w:right="0" w:rightChars="0" w:firstLine="420" w:firstLineChars="200"/>
              <w:jc w:val="center"/>
              <w:rPr>
                <w:rFonts w:ascii="Arial"/>
                <w:color w:val="auto"/>
                <w:sz w:val="21"/>
              </w:rPr>
            </w:pPr>
          </w:p>
        </w:tc>
        <w:tc>
          <w:tcPr>
            <w:tcW w:w="762" w:type="dxa"/>
            <w:vAlign w:val="center"/>
          </w:tcPr>
          <w:p w14:paraId="392BC561">
            <w:pPr>
              <w:pStyle w:val="46"/>
              <w:pageBreakBefore w:val="0"/>
              <w:topLinePunct w:val="0"/>
              <w:bidi w:val="0"/>
              <w:spacing w:line="500" w:lineRule="exact"/>
              <w:ind w:left="0" w:leftChars="0" w:right="0" w:rightChars="0" w:firstLine="440" w:firstLineChars="200"/>
              <w:jc w:val="center"/>
              <w:rPr>
                <w:color w:val="auto"/>
                <w:sz w:val="22"/>
                <w:szCs w:val="22"/>
              </w:rPr>
            </w:pPr>
          </w:p>
        </w:tc>
        <w:tc>
          <w:tcPr>
            <w:tcW w:w="1100" w:type="dxa"/>
            <w:vAlign w:val="center"/>
          </w:tcPr>
          <w:p w14:paraId="4D5CFF2A">
            <w:pPr>
              <w:pageBreakBefore w:val="0"/>
              <w:topLinePunct w:val="0"/>
              <w:bidi w:val="0"/>
              <w:spacing w:line="500" w:lineRule="exact"/>
              <w:ind w:left="0" w:leftChars="0" w:right="0" w:rightChars="0" w:firstLine="420" w:firstLineChars="200"/>
              <w:jc w:val="center"/>
              <w:rPr>
                <w:rFonts w:ascii="Arial"/>
                <w:color w:val="auto"/>
                <w:sz w:val="21"/>
              </w:rPr>
            </w:pPr>
          </w:p>
        </w:tc>
        <w:tc>
          <w:tcPr>
            <w:tcW w:w="2050" w:type="dxa"/>
            <w:vAlign w:val="center"/>
          </w:tcPr>
          <w:p w14:paraId="5175BB1D">
            <w:pPr>
              <w:pStyle w:val="46"/>
              <w:pageBreakBefore w:val="0"/>
              <w:topLinePunct w:val="0"/>
              <w:bidi w:val="0"/>
              <w:spacing w:line="500" w:lineRule="exact"/>
              <w:ind w:left="0" w:leftChars="0" w:right="0" w:rightChars="0" w:firstLine="440" w:firstLineChars="200"/>
              <w:jc w:val="center"/>
              <w:rPr>
                <w:color w:val="auto"/>
                <w:sz w:val="22"/>
                <w:szCs w:val="22"/>
              </w:rPr>
            </w:pPr>
          </w:p>
        </w:tc>
        <w:tc>
          <w:tcPr>
            <w:tcW w:w="2100" w:type="dxa"/>
            <w:gridSpan w:val="2"/>
            <w:vAlign w:val="center"/>
          </w:tcPr>
          <w:p w14:paraId="23E1CD5B">
            <w:pPr>
              <w:pageBreakBefore w:val="0"/>
              <w:topLinePunct w:val="0"/>
              <w:bidi w:val="0"/>
              <w:spacing w:line="500" w:lineRule="exact"/>
              <w:ind w:left="0" w:leftChars="0" w:right="0" w:rightChars="0" w:firstLine="420" w:firstLineChars="200"/>
              <w:jc w:val="center"/>
              <w:rPr>
                <w:rFonts w:ascii="Arial"/>
                <w:color w:val="auto"/>
                <w:sz w:val="21"/>
              </w:rPr>
            </w:pPr>
          </w:p>
        </w:tc>
        <w:tc>
          <w:tcPr>
            <w:tcW w:w="1175" w:type="dxa"/>
            <w:vAlign w:val="center"/>
          </w:tcPr>
          <w:p w14:paraId="7ECE8500">
            <w:pPr>
              <w:pageBreakBefore w:val="0"/>
              <w:topLinePunct w:val="0"/>
              <w:bidi w:val="0"/>
              <w:spacing w:line="500" w:lineRule="exact"/>
              <w:ind w:left="0" w:leftChars="0" w:right="0" w:rightChars="0" w:firstLine="420" w:firstLineChars="200"/>
              <w:jc w:val="center"/>
              <w:rPr>
                <w:rFonts w:ascii="Arial"/>
                <w:color w:val="auto"/>
                <w:sz w:val="21"/>
              </w:rPr>
            </w:pPr>
          </w:p>
        </w:tc>
        <w:tc>
          <w:tcPr>
            <w:tcW w:w="1000" w:type="dxa"/>
            <w:vAlign w:val="center"/>
          </w:tcPr>
          <w:p w14:paraId="0D89AF61">
            <w:pPr>
              <w:pageBreakBefore w:val="0"/>
              <w:topLinePunct w:val="0"/>
              <w:bidi w:val="0"/>
              <w:spacing w:line="500" w:lineRule="exact"/>
              <w:ind w:left="0" w:leftChars="0" w:right="0" w:rightChars="0" w:firstLine="420" w:firstLineChars="200"/>
              <w:jc w:val="center"/>
              <w:rPr>
                <w:rFonts w:ascii="Arial"/>
                <w:color w:val="auto"/>
                <w:sz w:val="21"/>
              </w:rPr>
            </w:pPr>
          </w:p>
        </w:tc>
        <w:tc>
          <w:tcPr>
            <w:tcW w:w="1410" w:type="dxa"/>
            <w:vAlign w:val="center"/>
          </w:tcPr>
          <w:p w14:paraId="680B578A">
            <w:pPr>
              <w:pStyle w:val="46"/>
              <w:pageBreakBefore w:val="0"/>
              <w:topLinePunct w:val="0"/>
              <w:bidi w:val="0"/>
              <w:spacing w:line="500" w:lineRule="exact"/>
              <w:ind w:right="0" w:rightChars="0"/>
              <w:jc w:val="center"/>
              <w:rPr>
                <w:color w:val="auto"/>
                <w:sz w:val="22"/>
                <w:szCs w:val="22"/>
              </w:rPr>
            </w:pPr>
            <w:r>
              <w:rPr>
                <w:color w:val="auto"/>
                <w:spacing w:val="-15"/>
                <w:sz w:val="22"/>
                <w:szCs w:val="22"/>
              </w:rPr>
              <w:t>□是</w:t>
            </w:r>
            <w:r>
              <w:rPr>
                <w:color w:val="auto"/>
                <w:spacing w:val="29"/>
                <w:sz w:val="22"/>
                <w:szCs w:val="22"/>
              </w:rPr>
              <w:t xml:space="preserve"> </w:t>
            </w:r>
            <w:r>
              <w:rPr>
                <w:color w:val="auto"/>
                <w:spacing w:val="-15"/>
                <w:sz w:val="22"/>
                <w:szCs w:val="22"/>
              </w:rPr>
              <w:t>□否</w:t>
            </w:r>
          </w:p>
        </w:tc>
        <w:tc>
          <w:tcPr>
            <w:tcW w:w="1213" w:type="dxa"/>
            <w:vAlign w:val="center"/>
          </w:tcPr>
          <w:p w14:paraId="2D22D3DC">
            <w:pPr>
              <w:pageBreakBefore w:val="0"/>
              <w:topLinePunct w:val="0"/>
              <w:bidi w:val="0"/>
              <w:spacing w:line="500" w:lineRule="exact"/>
              <w:ind w:left="0" w:leftChars="0" w:right="0" w:rightChars="0" w:firstLine="420" w:firstLineChars="200"/>
              <w:jc w:val="center"/>
              <w:rPr>
                <w:rFonts w:ascii="Arial"/>
                <w:color w:val="auto"/>
                <w:sz w:val="21"/>
              </w:rPr>
            </w:pPr>
          </w:p>
        </w:tc>
        <w:tc>
          <w:tcPr>
            <w:tcW w:w="1214" w:type="dxa"/>
            <w:vAlign w:val="center"/>
          </w:tcPr>
          <w:p w14:paraId="3FC7E717">
            <w:pPr>
              <w:pStyle w:val="46"/>
              <w:pageBreakBefore w:val="0"/>
              <w:topLinePunct w:val="0"/>
              <w:bidi w:val="0"/>
              <w:spacing w:line="500" w:lineRule="exact"/>
              <w:ind w:right="0" w:rightChars="0"/>
              <w:jc w:val="center"/>
              <w:rPr>
                <w:color w:val="auto"/>
                <w:sz w:val="22"/>
                <w:szCs w:val="22"/>
              </w:rPr>
            </w:pPr>
            <w:r>
              <w:rPr>
                <w:color w:val="auto"/>
                <w:spacing w:val="-10"/>
                <w:sz w:val="22"/>
                <w:szCs w:val="22"/>
              </w:rPr>
              <w:t>□合格</w:t>
            </w:r>
          </w:p>
          <w:p w14:paraId="60BF6A76">
            <w:pPr>
              <w:pStyle w:val="46"/>
              <w:pageBreakBefore w:val="0"/>
              <w:topLinePunct w:val="0"/>
              <w:bidi w:val="0"/>
              <w:spacing w:line="500" w:lineRule="exact"/>
              <w:ind w:right="0" w:rightChars="0"/>
              <w:jc w:val="center"/>
              <w:rPr>
                <w:color w:val="auto"/>
                <w:sz w:val="22"/>
                <w:szCs w:val="22"/>
              </w:rPr>
            </w:pPr>
            <w:r>
              <w:rPr>
                <w:rFonts w:hint="eastAsia"/>
                <w:color w:val="auto"/>
                <w:spacing w:val="-8"/>
                <w:sz w:val="22"/>
                <w:szCs w:val="22"/>
                <w:lang w:eastAsia="zh-CN"/>
              </w:rPr>
              <w:t>□</w:t>
            </w:r>
            <w:r>
              <w:rPr>
                <w:color w:val="auto"/>
                <w:spacing w:val="-8"/>
                <w:sz w:val="22"/>
                <w:szCs w:val="22"/>
              </w:rPr>
              <w:t>不合格</w:t>
            </w:r>
          </w:p>
        </w:tc>
        <w:tc>
          <w:tcPr>
            <w:tcW w:w="729" w:type="dxa"/>
            <w:vAlign w:val="center"/>
          </w:tcPr>
          <w:p w14:paraId="4FC22C5C">
            <w:pPr>
              <w:pageBreakBefore w:val="0"/>
              <w:topLinePunct w:val="0"/>
              <w:bidi w:val="0"/>
              <w:spacing w:line="500" w:lineRule="exact"/>
              <w:ind w:left="0" w:leftChars="0" w:right="0" w:rightChars="0" w:firstLine="420" w:firstLineChars="200"/>
              <w:jc w:val="center"/>
              <w:rPr>
                <w:rFonts w:ascii="Arial"/>
                <w:color w:val="auto"/>
                <w:sz w:val="21"/>
              </w:rPr>
            </w:pPr>
          </w:p>
        </w:tc>
      </w:tr>
      <w:tr w14:paraId="0CCA7C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3" w:hRule="atLeast"/>
        </w:trPr>
        <w:tc>
          <w:tcPr>
            <w:tcW w:w="15004" w:type="dxa"/>
            <w:gridSpan w:val="13"/>
            <w:vAlign w:val="center"/>
          </w:tcPr>
          <w:p w14:paraId="16A089E7">
            <w:pPr>
              <w:pageBreakBefore w:val="0"/>
              <w:topLinePunct w:val="0"/>
              <w:bidi w:val="0"/>
              <w:spacing w:line="500" w:lineRule="exact"/>
              <w:ind w:right="0" w:rightChars="0" w:firstLine="216" w:firstLineChars="100"/>
              <w:jc w:val="both"/>
              <w:rPr>
                <w:rFonts w:ascii="Arial"/>
                <w:color w:val="auto"/>
                <w:sz w:val="21"/>
              </w:rPr>
            </w:pPr>
            <w:r>
              <w:rPr>
                <w:color w:val="auto"/>
                <w:spacing w:val="-2"/>
                <w:sz w:val="22"/>
                <w:szCs w:val="22"/>
              </w:rPr>
              <w:t>验收内容：</w:t>
            </w:r>
          </w:p>
        </w:tc>
      </w:tr>
      <w:tr w14:paraId="2CA23B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3" w:hRule="atLeast"/>
        </w:trPr>
        <w:tc>
          <w:tcPr>
            <w:tcW w:w="7502" w:type="dxa"/>
            <w:gridSpan w:val="6"/>
            <w:vAlign w:val="center"/>
          </w:tcPr>
          <w:p w14:paraId="3A6DA9C3">
            <w:pPr>
              <w:pStyle w:val="46"/>
              <w:pageBreakBefore w:val="0"/>
              <w:topLinePunct w:val="0"/>
              <w:bidi w:val="0"/>
              <w:spacing w:line="500" w:lineRule="exact"/>
              <w:ind w:right="0" w:rightChars="0" w:firstLine="212" w:firstLineChars="100"/>
              <w:rPr>
                <w:color w:val="auto"/>
                <w:spacing w:val="-4"/>
                <w:sz w:val="22"/>
                <w:szCs w:val="22"/>
              </w:rPr>
            </w:pPr>
            <w:r>
              <w:rPr>
                <w:color w:val="auto"/>
                <w:spacing w:val="-4"/>
                <w:sz w:val="22"/>
                <w:szCs w:val="22"/>
              </w:rPr>
              <w:t>收货单位：</w:t>
            </w:r>
          </w:p>
          <w:p w14:paraId="1D1B1B4C">
            <w:pPr>
              <w:pageBreakBefore w:val="0"/>
              <w:topLinePunct w:val="0"/>
              <w:bidi w:val="0"/>
              <w:spacing w:line="500" w:lineRule="exact"/>
              <w:ind w:right="0" w:rightChars="0" w:firstLine="196" w:firstLineChars="100"/>
              <w:jc w:val="both"/>
              <w:rPr>
                <w:color w:val="auto"/>
                <w:spacing w:val="3"/>
                <w:sz w:val="22"/>
                <w:szCs w:val="22"/>
              </w:rPr>
            </w:pPr>
            <w:r>
              <w:rPr>
                <w:color w:val="auto"/>
                <w:spacing w:val="-12"/>
                <w:sz w:val="22"/>
                <w:szCs w:val="22"/>
              </w:rPr>
              <w:t>收货人签字：</w:t>
            </w:r>
            <w:r>
              <w:rPr>
                <w:color w:val="auto"/>
                <w:spacing w:val="3"/>
                <w:sz w:val="22"/>
                <w:szCs w:val="22"/>
              </w:rPr>
              <w:t xml:space="preserve"> </w:t>
            </w:r>
          </w:p>
          <w:p w14:paraId="7838B0F0">
            <w:pPr>
              <w:pageBreakBefore w:val="0"/>
              <w:topLinePunct w:val="0"/>
              <w:bidi w:val="0"/>
              <w:spacing w:line="500" w:lineRule="exact"/>
              <w:ind w:right="0" w:rightChars="0" w:firstLine="200" w:firstLineChars="100"/>
              <w:jc w:val="both"/>
              <w:rPr>
                <w:color w:val="auto"/>
                <w:sz w:val="22"/>
                <w:szCs w:val="22"/>
              </w:rPr>
            </w:pPr>
            <w:r>
              <w:rPr>
                <w:color w:val="auto"/>
                <w:spacing w:val="-10"/>
                <w:sz w:val="22"/>
                <w:szCs w:val="22"/>
              </w:rPr>
              <w:t>验货人签字：</w:t>
            </w:r>
            <w:r>
              <w:rPr>
                <w:color w:val="auto"/>
                <w:sz w:val="22"/>
                <w:szCs w:val="22"/>
              </w:rPr>
              <w:t xml:space="preserve"> </w:t>
            </w:r>
          </w:p>
          <w:p w14:paraId="00E784F2">
            <w:pPr>
              <w:pageBreakBefore w:val="0"/>
              <w:topLinePunct w:val="0"/>
              <w:bidi w:val="0"/>
              <w:spacing w:line="500" w:lineRule="exact"/>
              <w:ind w:right="0" w:rightChars="0" w:firstLine="216" w:firstLineChars="100"/>
              <w:jc w:val="both"/>
              <w:rPr>
                <w:color w:val="auto"/>
                <w:spacing w:val="-2"/>
                <w:sz w:val="22"/>
                <w:szCs w:val="22"/>
              </w:rPr>
            </w:pPr>
            <w:r>
              <w:rPr>
                <w:color w:val="auto"/>
                <w:spacing w:val="-2"/>
                <w:sz w:val="22"/>
                <w:szCs w:val="22"/>
              </w:rPr>
              <w:t>验收日期：</w:t>
            </w:r>
          </w:p>
        </w:tc>
        <w:tc>
          <w:tcPr>
            <w:tcW w:w="7502" w:type="dxa"/>
            <w:gridSpan w:val="7"/>
            <w:vAlign w:val="center"/>
          </w:tcPr>
          <w:p w14:paraId="697368A7">
            <w:pPr>
              <w:pStyle w:val="46"/>
              <w:pageBreakBefore w:val="0"/>
              <w:topLinePunct w:val="0"/>
              <w:bidi w:val="0"/>
              <w:spacing w:line="500" w:lineRule="exact"/>
              <w:ind w:right="0" w:rightChars="0" w:firstLine="212" w:firstLineChars="100"/>
              <w:rPr>
                <w:color w:val="auto"/>
                <w:spacing w:val="-4"/>
                <w:sz w:val="22"/>
                <w:szCs w:val="22"/>
              </w:rPr>
            </w:pPr>
            <w:r>
              <w:rPr>
                <w:color w:val="auto"/>
                <w:spacing w:val="-4"/>
                <w:sz w:val="22"/>
                <w:szCs w:val="22"/>
              </w:rPr>
              <w:t>供货单位</w:t>
            </w:r>
          </w:p>
          <w:p w14:paraId="3F702DDF">
            <w:pPr>
              <w:pStyle w:val="46"/>
              <w:pageBreakBefore w:val="0"/>
              <w:topLinePunct w:val="0"/>
              <w:bidi w:val="0"/>
              <w:spacing w:line="500" w:lineRule="exact"/>
              <w:ind w:right="0" w:rightChars="0" w:firstLine="212" w:firstLineChars="100"/>
              <w:rPr>
                <w:color w:val="auto"/>
                <w:spacing w:val="-4"/>
                <w:sz w:val="22"/>
                <w:szCs w:val="22"/>
              </w:rPr>
            </w:pPr>
            <w:r>
              <w:rPr>
                <w:color w:val="auto"/>
                <w:spacing w:val="-4"/>
                <w:sz w:val="22"/>
                <w:szCs w:val="22"/>
              </w:rPr>
              <w:t>送货人签字：</w:t>
            </w:r>
          </w:p>
          <w:p w14:paraId="41B9A278">
            <w:pPr>
              <w:pageBreakBefore w:val="0"/>
              <w:topLinePunct w:val="0"/>
              <w:bidi w:val="0"/>
              <w:spacing w:line="500" w:lineRule="exact"/>
              <w:ind w:right="0" w:rightChars="0" w:firstLine="212" w:firstLineChars="100"/>
              <w:jc w:val="both"/>
              <w:rPr>
                <w:color w:val="auto"/>
                <w:spacing w:val="-2"/>
                <w:sz w:val="22"/>
                <w:szCs w:val="22"/>
              </w:rPr>
            </w:pPr>
            <w:r>
              <w:rPr>
                <w:color w:val="auto"/>
                <w:spacing w:val="-4"/>
                <w:sz w:val="22"/>
                <w:szCs w:val="22"/>
              </w:rPr>
              <w:t>验收日期：</w:t>
            </w:r>
          </w:p>
        </w:tc>
      </w:tr>
    </w:tbl>
    <w:p w14:paraId="1DB5D3F9">
      <w:pPr>
        <w:pageBreakBefore w:val="0"/>
        <w:topLinePunct w:val="0"/>
        <w:bidi w:val="0"/>
        <w:spacing w:line="500" w:lineRule="exact"/>
        <w:ind w:left="0" w:leftChars="0" w:right="0" w:rightChars="0" w:firstLine="40" w:firstLineChars="200"/>
        <w:rPr>
          <w:rFonts w:ascii="Arial"/>
          <w:color w:val="auto"/>
          <w:sz w:val="2"/>
        </w:rPr>
      </w:pPr>
    </w:p>
    <w:p w14:paraId="462C5082">
      <w:pPr>
        <w:pStyle w:val="8"/>
        <w:pageBreakBefore w:val="0"/>
        <w:topLinePunct w:val="0"/>
        <w:bidi w:val="0"/>
        <w:spacing w:line="500" w:lineRule="exact"/>
        <w:ind w:left="0" w:leftChars="0" w:right="0" w:rightChars="0" w:firstLine="400" w:firstLineChars="200"/>
        <w:rPr>
          <w:color w:val="auto"/>
        </w:rPr>
        <w:sectPr>
          <w:pgSz w:w="16840" w:h="11910" w:orient="landscape"/>
          <w:pgMar w:top="1040" w:right="1060" w:bottom="1020" w:left="1200" w:header="872" w:footer="624" w:gutter="0"/>
          <w:pgNumType w:fmt="decimal"/>
          <w:cols w:space="720" w:num="1"/>
        </w:sectPr>
      </w:pPr>
    </w:p>
    <w:p w14:paraId="6DB307A0">
      <w:pPr>
        <w:pStyle w:val="8"/>
        <w:pageBreakBefore w:val="0"/>
        <w:topLinePunct w:val="0"/>
        <w:bidi w:val="0"/>
        <w:spacing w:line="500" w:lineRule="exact"/>
        <w:ind w:left="0" w:leftChars="0" w:right="0" w:rightChars="0" w:firstLine="400" w:firstLineChars="200"/>
        <w:rPr>
          <w:color w:val="auto"/>
        </w:rPr>
      </w:pPr>
    </w:p>
    <w:p w14:paraId="78F8614E">
      <w:pPr>
        <w:pStyle w:val="2"/>
        <w:pageBreakBefore w:val="0"/>
        <w:topLinePunct w:val="0"/>
        <w:bidi w:val="0"/>
        <w:spacing w:before="0" w:line="500" w:lineRule="exact"/>
        <w:ind w:left="0" w:leftChars="0" w:right="0" w:rightChars="0" w:firstLine="723" w:firstLineChars="200"/>
        <w:rPr>
          <w:color w:val="auto"/>
        </w:rPr>
      </w:pPr>
      <w:r>
        <w:rPr>
          <w:color w:val="auto"/>
        </w:rPr>
        <w:t>第六章 投标文件格式</w:t>
      </w:r>
      <w:bookmarkEnd w:id="20"/>
    </w:p>
    <w:p w14:paraId="009CCA1E">
      <w:pPr>
        <w:pStyle w:val="12"/>
        <w:pageBreakBefore w:val="0"/>
        <w:topLinePunct w:val="0"/>
        <w:bidi w:val="0"/>
        <w:spacing w:line="500" w:lineRule="exact"/>
        <w:ind w:left="0" w:leftChars="0" w:right="0" w:rightChars="0" w:firstLine="402" w:firstLineChars="200"/>
        <w:rPr>
          <w:b/>
          <w:color w:val="auto"/>
          <w:sz w:val="20"/>
        </w:rPr>
      </w:pPr>
    </w:p>
    <w:p w14:paraId="3847C355">
      <w:pPr>
        <w:pageBreakBefore w:val="0"/>
        <w:topLinePunct w:val="0"/>
        <w:bidi w:val="0"/>
        <w:spacing w:line="500" w:lineRule="exact"/>
        <w:ind w:left="0" w:leftChars="0" w:right="0" w:rightChars="0" w:firstLine="720" w:firstLineChars="200"/>
        <w:jc w:val="both"/>
        <w:rPr>
          <w:rFonts w:hint="default" w:ascii="Times New Roman" w:eastAsia="宋体"/>
          <w:color w:val="auto"/>
          <w:sz w:val="36"/>
          <w:szCs w:val="36"/>
          <w:lang w:val="en-US" w:eastAsia="zh-CN"/>
        </w:rPr>
      </w:pPr>
      <w:r>
        <w:rPr>
          <w:rFonts w:hint="eastAsia"/>
          <w:color w:val="auto"/>
          <w:sz w:val="36"/>
          <w:szCs w:val="36"/>
          <w:lang w:val="en-US" w:eastAsia="zh-CN"/>
        </w:rPr>
        <w:t>标段</w:t>
      </w:r>
      <w:r>
        <w:rPr>
          <w:color w:val="auto"/>
          <w:sz w:val="36"/>
          <w:szCs w:val="36"/>
        </w:rPr>
        <w:t>编号：</w:t>
      </w:r>
      <w:r>
        <w:rPr>
          <w:rFonts w:hint="eastAsia"/>
          <w:color w:val="auto"/>
          <w:sz w:val="36"/>
          <w:szCs w:val="36"/>
          <w:lang w:val="en-US" w:eastAsia="zh-CN"/>
        </w:rPr>
        <w:t>ZKJWCG-20260702.1.2.5B1-01/ZKJWCG-20260702.1.2.5B1-02/ZKJWCG-20260702.1.2.5B1-03</w:t>
      </w:r>
    </w:p>
    <w:p w14:paraId="1498B585">
      <w:pPr>
        <w:pStyle w:val="12"/>
        <w:pageBreakBefore w:val="0"/>
        <w:topLinePunct w:val="0"/>
        <w:bidi w:val="0"/>
        <w:spacing w:line="500" w:lineRule="exact"/>
        <w:ind w:left="0" w:leftChars="0" w:right="0" w:rightChars="0" w:firstLine="440" w:firstLineChars="200"/>
        <w:rPr>
          <w:rFonts w:ascii="Times New Roman"/>
          <w:color w:val="auto"/>
          <w:sz w:val="22"/>
        </w:rPr>
      </w:pPr>
    </w:p>
    <w:p w14:paraId="2D9F757C">
      <w:pPr>
        <w:pageBreakBefore w:val="0"/>
        <w:tabs>
          <w:tab w:val="left" w:pos="1199"/>
        </w:tabs>
        <w:topLinePunct w:val="0"/>
        <w:bidi w:val="0"/>
        <w:spacing w:line="500" w:lineRule="exact"/>
        <w:ind w:left="0" w:leftChars="0" w:right="0" w:rightChars="0" w:firstLine="964" w:firstLineChars="200"/>
        <w:jc w:val="center"/>
        <w:rPr>
          <w:rFonts w:hint="eastAsia"/>
          <w:b/>
          <w:color w:val="auto"/>
          <w:sz w:val="48"/>
          <w:lang w:val="en-US" w:eastAsia="zh-CN"/>
        </w:rPr>
      </w:pPr>
    </w:p>
    <w:p w14:paraId="4029A5A2">
      <w:pPr>
        <w:pageBreakBefore w:val="0"/>
        <w:tabs>
          <w:tab w:val="left" w:pos="1199"/>
        </w:tabs>
        <w:topLinePunct w:val="0"/>
        <w:bidi w:val="0"/>
        <w:spacing w:line="500" w:lineRule="exact"/>
        <w:ind w:right="0" w:rightChars="0"/>
        <w:jc w:val="center"/>
        <w:rPr>
          <w:rFonts w:hint="eastAsia"/>
          <w:b/>
          <w:color w:val="auto"/>
          <w:sz w:val="48"/>
          <w:lang w:val="en-US" w:eastAsia="zh-CN"/>
        </w:rPr>
      </w:pPr>
    </w:p>
    <w:p w14:paraId="49756D11">
      <w:pPr>
        <w:pageBreakBefore w:val="0"/>
        <w:tabs>
          <w:tab w:val="left" w:pos="1199"/>
        </w:tabs>
        <w:topLinePunct w:val="0"/>
        <w:bidi w:val="0"/>
        <w:spacing w:line="500" w:lineRule="exact"/>
        <w:ind w:right="0" w:rightChars="0"/>
        <w:jc w:val="center"/>
        <w:rPr>
          <w:b/>
          <w:color w:val="auto"/>
          <w:sz w:val="48"/>
        </w:rPr>
      </w:pPr>
      <w:r>
        <w:rPr>
          <w:rFonts w:hint="eastAsia"/>
          <w:b/>
          <w:color w:val="auto"/>
          <w:sz w:val="48"/>
          <w:lang w:val="en-US" w:eastAsia="zh-CN"/>
        </w:rPr>
        <w:t>汉滨区2026－2027学年度中小学幼儿园大宗食材及原辅材料配送项目招标采购(二次)</w:t>
      </w:r>
      <w:r>
        <w:rPr>
          <w:b/>
          <w:color w:val="auto"/>
          <w:sz w:val="48"/>
        </w:rPr>
        <w:t>（</w:t>
      </w:r>
      <w:r>
        <w:rPr>
          <w:rFonts w:hint="eastAsia"/>
          <w:b/>
          <w:color w:val="auto"/>
          <w:sz w:val="48"/>
          <w:lang w:val="en-US" w:eastAsia="zh-CN"/>
        </w:rPr>
        <w:t>合同包一/二/三</w:t>
      </w:r>
      <w:r>
        <w:rPr>
          <w:b/>
          <w:color w:val="auto"/>
          <w:sz w:val="48"/>
        </w:rPr>
        <w:t>）</w:t>
      </w:r>
    </w:p>
    <w:p w14:paraId="2BCA0C2E">
      <w:pPr>
        <w:pStyle w:val="12"/>
        <w:pageBreakBefore w:val="0"/>
        <w:topLinePunct w:val="0"/>
        <w:bidi w:val="0"/>
        <w:spacing w:line="500" w:lineRule="exact"/>
        <w:ind w:left="0" w:leftChars="0" w:right="0" w:rightChars="0" w:firstLine="964" w:firstLineChars="200"/>
        <w:rPr>
          <w:b/>
          <w:color w:val="auto"/>
          <w:sz w:val="48"/>
        </w:rPr>
      </w:pPr>
    </w:p>
    <w:p w14:paraId="4E602DDA">
      <w:pPr>
        <w:pStyle w:val="12"/>
        <w:pageBreakBefore w:val="0"/>
        <w:topLinePunct w:val="0"/>
        <w:bidi w:val="0"/>
        <w:spacing w:line="500" w:lineRule="exact"/>
        <w:ind w:left="0" w:leftChars="0" w:right="0" w:rightChars="0" w:firstLine="964" w:firstLineChars="200"/>
        <w:rPr>
          <w:b/>
          <w:color w:val="auto"/>
          <w:sz w:val="48"/>
        </w:rPr>
      </w:pPr>
    </w:p>
    <w:p w14:paraId="0B9FF54F">
      <w:pPr>
        <w:rPr>
          <w:color w:val="auto"/>
        </w:rPr>
      </w:pPr>
    </w:p>
    <w:p w14:paraId="2FA3DCF0">
      <w:pPr>
        <w:pStyle w:val="12"/>
        <w:pageBreakBefore w:val="0"/>
        <w:topLinePunct w:val="0"/>
        <w:bidi w:val="0"/>
        <w:spacing w:line="500" w:lineRule="exact"/>
        <w:ind w:left="0" w:leftChars="0" w:right="0" w:rightChars="0" w:firstLine="803" w:firstLineChars="200"/>
        <w:rPr>
          <w:b/>
          <w:color w:val="auto"/>
          <w:sz w:val="40"/>
        </w:rPr>
      </w:pPr>
    </w:p>
    <w:p w14:paraId="1D47DB0B">
      <w:pPr>
        <w:pageBreakBefore w:val="0"/>
        <w:tabs>
          <w:tab w:val="left" w:pos="1199"/>
        </w:tabs>
        <w:topLinePunct w:val="0"/>
        <w:bidi w:val="0"/>
        <w:spacing w:line="500" w:lineRule="exact"/>
        <w:ind w:left="0" w:leftChars="0" w:right="0" w:rightChars="0" w:firstLine="964" w:firstLineChars="200"/>
        <w:jc w:val="center"/>
        <w:rPr>
          <w:rFonts w:hint="eastAsia" w:ascii="宋体" w:hAnsi="宋体" w:eastAsia="宋体" w:cs="宋体"/>
          <w:b/>
          <w:color w:val="auto"/>
          <w:sz w:val="48"/>
          <w:lang w:val="en-US" w:eastAsia="zh-CN"/>
        </w:rPr>
      </w:pPr>
    </w:p>
    <w:p w14:paraId="1A234423">
      <w:pPr>
        <w:pageBreakBefore w:val="0"/>
        <w:tabs>
          <w:tab w:val="left" w:pos="1199"/>
        </w:tabs>
        <w:topLinePunct w:val="0"/>
        <w:bidi w:val="0"/>
        <w:spacing w:line="500" w:lineRule="exact"/>
        <w:ind w:left="0" w:leftChars="0" w:right="0" w:rightChars="0" w:firstLine="964" w:firstLineChars="200"/>
        <w:jc w:val="center"/>
        <w:rPr>
          <w:rFonts w:hint="eastAsia" w:ascii="宋体" w:hAnsi="宋体" w:eastAsia="宋体" w:cs="宋体"/>
          <w:b/>
          <w:color w:val="auto"/>
          <w:sz w:val="48"/>
          <w:lang w:val="en-US" w:eastAsia="zh-CN"/>
        </w:rPr>
      </w:pPr>
    </w:p>
    <w:p w14:paraId="7F65F04F">
      <w:pPr>
        <w:pageBreakBefore w:val="0"/>
        <w:tabs>
          <w:tab w:val="left" w:pos="1199"/>
        </w:tabs>
        <w:topLinePunct w:val="0"/>
        <w:bidi w:val="0"/>
        <w:spacing w:line="500" w:lineRule="exact"/>
        <w:ind w:left="0" w:leftChars="0" w:right="0" w:rightChars="0" w:firstLine="964" w:firstLineChars="200"/>
        <w:jc w:val="center"/>
        <w:rPr>
          <w:rFonts w:hint="eastAsia" w:ascii="宋体" w:hAnsi="宋体" w:eastAsia="宋体" w:cs="宋体"/>
          <w:b/>
          <w:color w:val="auto"/>
          <w:sz w:val="48"/>
          <w:lang w:val="en-US" w:eastAsia="zh-CN"/>
        </w:rPr>
      </w:pPr>
      <w:r>
        <w:rPr>
          <w:rFonts w:hint="eastAsia" w:ascii="宋体" w:hAnsi="宋体" w:eastAsia="宋体" w:cs="宋体"/>
          <w:b/>
          <w:color w:val="auto"/>
          <w:sz w:val="48"/>
          <w:lang w:val="en-US" w:eastAsia="zh-CN"/>
        </w:rPr>
        <w:t>投 标 文 件</w:t>
      </w:r>
    </w:p>
    <w:p w14:paraId="5F0B1111">
      <w:pPr>
        <w:pStyle w:val="12"/>
        <w:pageBreakBefore w:val="0"/>
        <w:topLinePunct w:val="0"/>
        <w:bidi w:val="0"/>
        <w:spacing w:line="500" w:lineRule="exact"/>
        <w:ind w:left="0" w:leftChars="0" w:right="0" w:rightChars="0" w:firstLine="1446" w:firstLineChars="200"/>
        <w:rPr>
          <w:b/>
          <w:color w:val="auto"/>
          <w:sz w:val="72"/>
        </w:rPr>
      </w:pPr>
    </w:p>
    <w:p w14:paraId="55829225">
      <w:pPr>
        <w:pStyle w:val="12"/>
        <w:pageBreakBefore w:val="0"/>
        <w:topLinePunct w:val="0"/>
        <w:bidi w:val="0"/>
        <w:spacing w:line="500" w:lineRule="exact"/>
        <w:ind w:left="0" w:leftChars="0" w:right="0" w:rightChars="0" w:firstLine="1446" w:firstLineChars="200"/>
        <w:rPr>
          <w:b/>
          <w:color w:val="auto"/>
          <w:sz w:val="72"/>
        </w:rPr>
      </w:pPr>
    </w:p>
    <w:p w14:paraId="537F0695">
      <w:pPr>
        <w:pStyle w:val="12"/>
        <w:pageBreakBefore w:val="0"/>
        <w:topLinePunct w:val="0"/>
        <w:bidi w:val="0"/>
        <w:spacing w:line="500" w:lineRule="exact"/>
        <w:ind w:left="0" w:leftChars="0" w:right="0" w:rightChars="0" w:firstLine="1446" w:firstLineChars="200"/>
        <w:rPr>
          <w:b/>
          <w:color w:val="auto"/>
          <w:sz w:val="72"/>
        </w:rPr>
      </w:pPr>
    </w:p>
    <w:p w14:paraId="315C7226">
      <w:pPr>
        <w:pageBreakBefore w:val="0"/>
        <w:topLinePunct w:val="0"/>
        <w:bidi w:val="0"/>
        <w:spacing w:line="500" w:lineRule="exact"/>
        <w:ind w:left="0" w:leftChars="0" w:right="0" w:rightChars="0" w:firstLine="1446" w:firstLineChars="200"/>
        <w:rPr>
          <w:b/>
          <w:color w:val="auto"/>
          <w:sz w:val="72"/>
        </w:rPr>
      </w:pPr>
    </w:p>
    <w:p w14:paraId="2B5508BD">
      <w:pPr>
        <w:pageBreakBefore w:val="0"/>
        <w:topLinePunct w:val="0"/>
        <w:bidi w:val="0"/>
        <w:spacing w:line="500" w:lineRule="exact"/>
        <w:ind w:left="0" w:leftChars="0" w:right="0" w:rightChars="0" w:firstLine="1446" w:firstLineChars="200"/>
        <w:rPr>
          <w:b/>
          <w:color w:val="auto"/>
          <w:sz w:val="72"/>
        </w:rPr>
      </w:pPr>
    </w:p>
    <w:p w14:paraId="5D6C7687">
      <w:pPr>
        <w:pStyle w:val="8"/>
        <w:pageBreakBefore w:val="0"/>
        <w:topLinePunct w:val="0"/>
        <w:bidi w:val="0"/>
        <w:spacing w:line="500" w:lineRule="exact"/>
        <w:ind w:left="0" w:leftChars="0" w:right="0" w:rightChars="0" w:firstLine="400" w:firstLineChars="200"/>
        <w:rPr>
          <w:color w:val="auto"/>
        </w:rPr>
      </w:pPr>
    </w:p>
    <w:p w14:paraId="4911E5B3">
      <w:pPr>
        <w:pStyle w:val="4"/>
        <w:pageBreakBefore w:val="0"/>
        <w:tabs>
          <w:tab w:val="left" w:pos="6438"/>
        </w:tabs>
        <w:topLinePunct w:val="0"/>
        <w:bidi w:val="0"/>
        <w:spacing w:before="0" w:line="480" w:lineRule="auto"/>
        <w:ind w:left="0" w:leftChars="0" w:right="0" w:rightChars="0" w:firstLine="611" w:firstLineChars="200"/>
        <w:jc w:val="both"/>
        <w:rPr>
          <w:rFonts w:ascii="仿宋_GB2312" w:hAnsi="仿宋_GB2312" w:eastAsia="仿宋_GB2312" w:cs="仿宋_GB2312"/>
          <w:color w:val="auto"/>
          <w:kern w:val="0"/>
          <w:sz w:val="28"/>
          <w:szCs w:val="28"/>
          <w:lang w:val="en-US" w:eastAsia="zh-CN" w:bidi="ar"/>
        </w:rPr>
      </w:pPr>
      <w:r>
        <w:rPr>
          <w:rFonts w:hint="eastAsia"/>
          <w:color w:val="auto"/>
          <w:w w:val="95"/>
          <w:lang w:eastAsia="zh-CN"/>
        </w:rPr>
        <w:t>供</w:t>
      </w:r>
      <w:r>
        <w:rPr>
          <w:rFonts w:hint="eastAsia"/>
          <w:color w:val="auto"/>
          <w:w w:val="95"/>
          <w:lang w:val="en-US" w:eastAsia="zh-CN"/>
        </w:rPr>
        <w:t xml:space="preserve"> </w:t>
      </w:r>
      <w:r>
        <w:rPr>
          <w:rFonts w:hint="eastAsia"/>
          <w:color w:val="auto"/>
          <w:w w:val="95"/>
          <w:lang w:eastAsia="zh-CN"/>
        </w:rPr>
        <w:t>应</w:t>
      </w:r>
      <w:r>
        <w:rPr>
          <w:rFonts w:hint="eastAsia"/>
          <w:color w:val="auto"/>
          <w:w w:val="95"/>
          <w:lang w:val="en-US" w:eastAsia="zh-CN"/>
        </w:rPr>
        <w:t xml:space="preserve"> </w:t>
      </w:r>
      <w:r>
        <w:rPr>
          <w:rFonts w:hint="eastAsia"/>
          <w:color w:val="auto"/>
          <w:w w:val="95"/>
          <w:lang w:eastAsia="zh-CN"/>
        </w:rPr>
        <w:t>商</w:t>
      </w:r>
      <w:r>
        <w:rPr>
          <w:color w:val="auto"/>
          <w:spacing w:val="5"/>
          <w:w w:val="95"/>
        </w:rPr>
        <w:t>：</w:t>
      </w:r>
      <w:r>
        <w:rPr>
          <w:rFonts w:hint="eastAsia"/>
          <w:color w:val="auto"/>
          <w:spacing w:val="5"/>
          <w:w w:val="95"/>
          <w:u w:val="single"/>
          <w:lang w:val="en-US" w:eastAsia="zh-CN"/>
        </w:rPr>
        <w:t xml:space="preserve">                            </w:t>
      </w:r>
      <w:r>
        <w:rPr>
          <w:rFonts w:hint="eastAsia"/>
          <w:color w:val="auto"/>
          <w:spacing w:val="5"/>
          <w:w w:val="95"/>
          <w:u w:val="none"/>
          <w:lang w:val="en-US" w:eastAsia="zh-CN"/>
        </w:rPr>
        <w:t>（盖章）</w:t>
      </w:r>
    </w:p>
    <w:p w14:paraId="79FBCB27">
      <w:pPr>
        <w:keepNext w:val="0"/>
        <w:keepLines w:val="0"/>
        <w:pageBreakBefore w:val="0"/>
        <w:widowControl/>
        <w:suppressLineNumbers w:val="0"/>
        <w:topLinePunct w:val="0"/>
        <w:bidi w:val="0"/>
        <w:spacing w:line="480" w:lineRule="auto"/>
        <w:ind w:left="0" w:leftChars="0" w:right="0" w:rightChars="0" w:firstLine="611" w:firstLineChars="200"/>
        <w:jc w:val="left"/>
        <w:rPr>
          <w:rFonts w:hint="eastAsia" w:ascii="宋体" w:hAnsi="宋体" w:eastAsia="宋体" w:cs="宋体"/>
          <w:b/>
          <w:bCs/>
          <w:color w:val="auto"/>
          <w:w w:val="95"/>
          <w:sz w:val="32"/>
          <w:szCs w:val="32"/>
          <w:lang w:val="zh-CN" w:eastAsia="zh-CN" w:bidi="zh-CN"/>
        </w:rPr>
      </w:pPr>
      <w:r>
        <w:rPr>
          <w:rFonts w:hint="eastAsia" w:ascii="宋体" w:hAnsi="宋体" w:eastAsia="宋体" w:cs="宋体"/>
          <w:b/>
          <w:bCs/>
          <w:color w:val="auto"/>
          <w:w w:val="95"/>
          <w:sz w:val="32"/>
          <w:szCs w:val="32"/>
          <w:lang w:val="en-US" w:eastAsia="zh-CN" w:bidi="zh-CN"/>
        </w:rPr>
        <w:t>法定代表人或授权委托人：</w:t>
      </w:r>
      <w:r>
        <w:rPr>
          <w:rFonts w:hint="eastAsia" w:cs="宋体"/>
          <w:b/>
          <w:bCs/>
          <w:color w:val="auto"/>
          <w:w w:val="95"/>
          <w:sz w:val="32"/>
          <w:szCs w:val="32"/>
          <w:u w:val="single"/>
          <w:lang w:val="en-US" w:eastAsia="zh-CN" w:bidi="zh-CN"/>
        </w:rPr>
        <w:t xml:space="preserve">         </w:t>
      </w:r>
      <w:r>
        <w:rPr>
          <w:rFonts w:hint="eastAsia" w:ascii="宋体" w:hAnsi="宋体" w:eastAsia="宋体" w:cs="宋体"/>
          <w:b/>
          <w:bCs/>
          <w:color w:val="auto"/>
          <w:w w:val="95"/>
          <w:sz w:val="32"/>
          <w:szCs w:val="32"/>
          <w:lang w:val="en-US" w:eastAsia="zh-CN" w:bidi="zh-CN"/>
        </w:rPr>
        <w:t>（签字或盖章）</w:t>
      </w:r>
    </w:p>
    <w:p w14:paraId="00C7CF37">
      <w:pPr>
        <w:pStyle w:val="4"/>
        <w:pageBreakBefore w:val="0"/>
        <w:tabs>
          <w:tab w:val="left" w:pos="1052"/>
          <w:tab w:val="left" w:pos="6394"/>
        </w:tabs>
        <w:topLinePunct w:val="0"/>
        <w:bidi w:val="0"/>
        <w:spacing w:before="0" w:line="480" w:lineRule="auto"/>
        <w:ind w:left="0" w:leftChars="0" w:right="0" w:rightChars="0" w:firstLine="643" w:firstLineChars="200"/>
        <w:jc w:val="both"/>
        <w:rPr>
          <w:rFonts w:hint="default" w:ascii="Times New Roman" w:eastAsia="宋体"/>
          <w:color w:val="auto"/>
          <w:lang w:val="en-US" w:eastAsia="zh-CN"/>
        </w:rPr>
      </w:pPr>
      <w:r>
        <w:rPr>
          <w:rFonts w:hint="eastAsia"/>
          <w:color w:val="auto"/>
          <w:lang w:val="en-US" w:eastAsia="zh-CN"/>
        </w:rPr>
        <w:t>日  期</w:t>
      </w:r>
      <w:r>
        <w:rPr>
          <w:color w:val="auto"/>
          <w:w w:val="95"/>
        </w:rPr>
        <w:t>：</w:t>
      </w:r>
      <w:r>
        <w:rPr>
          <w:rFonts w:hint="eastAsia"/>
          <w:color w:val="auto"/>
          <w:w w:val="95"/>
          <w:u w:val="single"/>
          <w:lang w:val="en-US" w:eastAsia="zh-CN"/>
        </w:rPr>
        <w:t xml:space="preserve">       </w:t>
      </w:r>
      <w:r>
        <w:rPr>
          <w:rFonts w:hint="eastAsia" w:ascii="Times New Roman" w:eastAsia="宋体"/>
          <w:color w:val="auto"/>
          <w:w w:val="99"/>
          <w:u w:val="none"/>
          <w:lang w:val="en-US" w:eastAsia="zh-CN"/>
        </w:rPr>
        <w:t>年</w:t>
      </w:r>
      <w:r>
        <w:rPr>
          <w:rFonts w:hint="eastAsia"/>
          <w:color w:val="auto"/>
          <w:w w:val="95"/>
          <w:u w:val="single"/>
          <w:lang w:val="en-US" w:eastAsia="zh-CN"/>
        </w:rPr>
        <w:t xml:space="preserve">       </w:t>
      </w:r>
      <w:r>
        <w:rPr>
          <w:rFonts w:hint="eastAsia" w:ascii="Times New Roman" w:eastAsia="宋体"/>
          <w:color w:val="auto"/>
          <w:w w:val="99"/>
          <w:u w:val="none"/>
          <w:lang w:val="en-US" w:eastAsia="zh-CN"/>
        </w:rPr>
        <w:t>月</w:t>
      </w:r>
      <w:r>
        <w:rPr>
          <w:rFonts w:hint="eastAsia"/>
          <w:color w:val="auto"/>
          <w:w w:val="95"/>
          <w:u w:val="single"/>
          <w:lang w:val="en-US" w:eastAsia="zh-CN"/>
        </w:rPr>
        <w:t xml:space="preserve">       </w:t>
      </w:r>
      <w:r>
        <w:rPr>
          <w:rFonts w:hint="eastAsia" w:ascii="Times New Roman" w:eastAsia="宋体"/>
          <w:color w:val="auto"/>
          <w:w w:val="99"/>
          <w:u w:val="none"/>
          <w:lang w:val="en-US" w:eastAsia="zh-CN"/>
        </w:rPr>
        <w:t>日</w:t>
      </w:r>
    </w:p>
    <w:p w14:paraId="20DB36DE">
      <w:pPr>
        <w:pageBreakBefore w:val="0"/>
        <w:topLinePunct w:val="0"/>
        <w:bidi w:val="0"/>
        <w:spacing w:line="500" w:lineRule="exact"/>
        <w:ind w:left="0" w:leftChars="0" w:right="0" w:rightChars="0" w:firstLine="440" w:firstLineChars="200"/>
        <w:rPr>
          <w:rFonts w:ascii="Times New Roman" w:eastAsia="Times New Roman"/>
          <w:color w:val="auto"/>
        </w:rPr>
        <w:sectPr>
          <w:pgSz w:w="11910" w:h="16840"/>
          <w:pgMar w:top="1060" w:right="1020" w:bottom="1200" w:left="1040" w:header="872" w:footer="1005" w:gutter="0"/>
          <w:pgNumType w:fmt="decimal"/>
          <w:cols w:space="720" w:num="1"/>
        </w:sectPr>
      </w:pPr>
    </w:p>
    <w:p w14:paraId="77DBA2AD">
      <w:pPr>
        <w:pStyle w:val="12"/>
        <w:pageBreakBefore w:val="0"/>
        <w:topLinePunct w:val="0"/>
        <w:bidi w:val="0"/>
        <w:spacing w:line="500" w:lineRule="exact"/>
        <w:ind w:left="0" w:leftChars="0" w:right="0" w:rightChars="0" w:firstLine="402" w:firstLineChars="200"/>
        <w:rPr>
          <w:rFonts w:ascii="Times New Roman"/>
          <w:b/>
          <w:color w:val="auto"/>
          <w:sz w:val="20"/>
        </w:rPr>
      </w:pPr>
    </w:p>
    <w:p w14:paraId="26042DC3">
      <w:pPr>
        <w:pStyle w:val="3"/>
        <w:pageBreakBefore w:val="0"/>
        <w:topLinePunct w:val="0"/>
        <w:bidi w:val="0"/>
        <w:spacing w:line="500" w:lineRule="exact"/>
        <w:ind w:left="0" w:leftChars="0" w:right="0" w:rightChars="0" w:firstLine="960" w:firstLineChars="200"/>
        <w:jc w:val="center"/>
        <w:rPr>
          <w:color w:val="auto"/>
        </w:rPr>
      </w:pPr>
      <w:r>
        <w:rPr>
          <w:color w:val="auto"/>
          <w:sz w:val="48"/>
          <w:szCs w:val="24"/>
        </w:rPr>
        <w:t>目</w:t>
      </w:r>
      <w:r>
        <w:rPr>
          <w:color w:val="auto"/>
          <w:sz w:val="48"/>
          <w:szCs w:val="24"/>
        </w:rPr>
        <w:tab/>
      </w:r>
      <w:r>
        <w:rPr>
          <w:color w:val="auto"/>
          <w:sz w:val="48"/>
          <w:szCs w:val="24"/>
        </w:rPr>
        <w:t>录</w:t>
      </w:r>
    </w:p>
    <w:p w14:paraId="79794499">
      <w:pPr>
        <w:pStyle w:val="12"/>
        <w:pageBreakBefore w:val="0"/>
        <w:topLinePunct w:val="0"/>
        <w:bidi w:val="0"/>
        <w:spacing w:line="500" w:lineRule="exact"/>
        <w:ind w:left="0" w:leftChars="0" w:right="0" w:rightChars="0" w:firstLine="720" w:firstLineChars="200"/>
        <w:rPr>
          <w:color w:val="auto"/>
          <w:sz w:val="36"/>
          <w:szCs w:val="36"/>
        </w:rPr>
      </w:pPr>
    </w:p>
    <w:p w14:paraId="33BE1E47">
      <w:pPr>
        <w:pStyle w:val="3"/>
        <w:pageBreakBefore w:val="0"/>
        <w:tabs>
          <w:tab w:val="left" w:pos="4275"/>
        </w:tabs>
        <w:topLinePunct w:val="0"/>
        <w:bidi w:val="0"/>
        <w:spacing w:line="500" w:lineRule="exact"/>
        <w:ind w:left="0" w:leftChars="0" w:right="0" w:rightChars="0" w:firstLine="720" w:firstLineChars="200"/>
        <w:rPr>
          <w:color w:val="auto"/>
        </w:rPr>
      </w:pPr>
      <w:r>
        <w:rPr>
          <w:color w:val="auto"/>
        </w:rPr>
        <w:t>第一部分</w:t>
      </w:r>
      <w:r>
        <w:rPr>
          <w:color w:val="auto"/>
        </w:rPr>
        <w:tab/>
      </w:r>
      <w:r>
        <w:rPr>
          <w:color w:val="auto"/>
        </w:rPr>
        <w:t>投标函</w:t>
      </w:r>
    </w:p>
    <w:p w14:paraId="4BE5E48B">
      <w:pPr>
        <w:pStyle w:val="3"/>
        <w:pageBreakBefore w:val="0"/>
        <w:tabs>
          <w:tab w:val="left" w:pos="4275"/>
        </w:tabs>
        <w:topLinePunct w:val="0"/>
        <w:bidi w:val="0"/>
        <w:spacing w:line="500" w:lineRule="exact"/>
        <w:ind w:left="0" w:leftChars="0" w:right="0" w:rightChars="0" w:firstLine="720" w:firstLineChars="200"/>
        <w:rPr>
          <w:rFonts w:hint="eastAsia" w:eastAsia="宋体"/>
          <w:color w:val="auto"/>
          <w:lang w:eastAsia="zh-CN"/>
        </w:rPr>
      </w:pPr>
      <w:r>
        <w:rPr>
          <w:color w:val="auto"/>
        </w:rPr>
        <w:t>第二部分</w:t>
      </w:r>
      <w:r>
        <w:rPr>
          <w:color w:val="auto"/>
        </w:rPr>
        <w:tab/>
      </w:r>
      <w:r>
        <w:rPr>
          <w:color w:val="auto"/>
        </w:rPr>
        <w:t>开标一览表（报价表</w:t>
      </w:r>
      <w:r>
        <w:rPr>
          <w:rFonts w:hint="eastAsia"/>
          <w:color w:val="auto"/>
          <w:lang w:eastAsia="zh-CN"/>
        </w:rPr>
        <w:t>）</w:t>
      </w:r>
    </w:p>
    <w:p w14:paraId="0CD8819C">
      <w:pPr>
        <w:pStyle w:val="3"/>
        <w:pageBreakBefore w:val="0"/>
        <w:tabs>
          <w:tab w:val="left" w:pos="4275"/>
        </w:tabs>
        <w:topLinePunct w:val="0"/>
        <w:bidi w:val="0"/>
        <w:spacing w:line="500" w:lineRule="exact"/>
        <w:ind w:left="0" w:leftChars="0" w:right="0" w:rightChars="0" w:firstLine="720" w:firstLineChars="200"/>
        <w:rPr>
          <w:rFonts w:ascii="宋体" w:hAnsi="宋体" w:eastAsia="宋体" w:cs="宋体"/>
          <w:color w:val="auto"/>
        </w:rPr>
      </w:pPr>
      <w:r>
        <w:rPr>
          <w:rFonts w:ascii="宋体" w:hAnsi="宋体" w:eastAsia="宋体" w:cs="宋体"/>
          <w:color w:val="auto"/>
        </w:rPr>
        <w:t>第三部分</w:t>
      </w:r>
      <w:r>
        <w:rPr>
          <w:rFonts w:ascii="宋体" w:hAnsi="宋体" w:eastAsia="宋体" w:cs="宋体"/>
          <w:color w:val="auto"/>
        </w:rPr>
        <w:tab/>
      </w:r>
      <w:r>
        <w:rPr>
          <w:rFonts w:ascii="宋体" w:hAnsi="宋体" w:eastAsia="宋体" w:cs="宋体"/>
          <w:color w:val="auto"/>
        </w:rPr>
        <w:t>投标方案</w:t>
      </w:r>
    </w:p>
    <w:p w14:paraId="28E8AB63">
      <w:pPr>
        <w:pStyle w:val="3"/>
        <w:pageBreakBefore w:val="0"/>
        <w:tabs>
          <w:tab w:val="left" w:pos="4275"/>
        </w:tabs>
        <w:topLinePunct w:val="0"/>
        <w:bidi w:val="0"/>
        <w:spacing w:line="500" w:lineRule="exact"/>
        <w:ind w:left="0" w:leftChars="0" w:right="0" w:rightChars="0" w:firstLine="720" w:firstLineChars="200"/>
        <w:rPr>
          <w:rFonts w:ascii="宋体" w:hAnsi="宋体" w:eastAsia="宋体" w:cs="宋体"/>
          <w:color w:val="auto"/>
        </w:rPr>
      </w:pPr>
      <w:r>
        <w:rPr>
          <w:rFonts w:ascii="宋体" w:hAnsi="宋体" w:eastAsia="宋体" w:cs="宋体"/>
          <w:color w:val="auto"/>
        </w:rPr>
        <w:t>第四部分</w:t>
      </w:r>
      <w:r>
        <w:rPr>
          <w:rFonts w:ascii="宋体" w:hAnsi="宋体" w:eastAsia="宋体" w:cs="宋体"/>
          <w:color w:val="auto"/>
        </w:rPr>
        <w:tab/>
      </w:r>
      <w:r>
        <w:rPr>
          <w:rFonts w:ascii="宋体" w:hAnsi="宋体" w:eastAsia="宋体" w:cs="宋体"/>
          <w:color w:val="auto"/>
        </w:rPr>
        <w:t>投标</w:t>
      </w:r>
      <w:r>
        <w:rPr>
          <w:rFonts w:hint="eastAsia" w:ascii="宋体" w:hAnsi="宋体" w:eastAsia="宋体" w:cs="宋体"/>
          <w:color w:val="auto"/>
          <w:lang w:eastAsia="zh-CN"/>
        </w:rPr>
        <w:t>人</w:t>
      </w:r>
      <w:r>
        <w:rPr>
          <w:rFonts w:ascii="宋体" w:hAnsi="宋体" w:eastAsia="宋体" w:cs="宋体"/>
          <w:color w:val="auto"/>
        </w:rPr>
        <w:t>资质证明文件</w:t>
      </w:r>
    </w:p>
    <w:p w14:paraId="119FECCA">
      <w:pPr>
        <w:pStyle w:val="3"/>
        <w:pageBreakBefore w:val="0"/>
        <w:tabs>
          <w:tab w:val="left" w:pos="4275"/>
        </w:tabs>
        <w:topLinePunct w:val="0"/>
        <w:bidi w:val="0"/>
        <w:spacing w:line="500" w:lineRule="exact"/>
        <w:ind w:left="0" w:leftChars="0" w:right="0" w:rightChars="0" w:firstLine="720" w:firstLineChars="200"/>
        <w:rPr>
          <w:rFonts w:ascii="宋体" w:hAnsi="宋体" w:eastAsia="宋体" w:cs="宋体"/>
          <w:color w:val="auto"/>
        </w:rPr>
      </w:pPr>
      <w:r>
        <w:rPr>
          <w:rFonts w:ascii="宋体" w:hAnsi="宋体" w:eastAsia="宋体" w:cs="宋体"/>
          <w:color w:val="auto"/>
        </w:rPr>
        <w:t>第五部分</w:t>
      </w:r>
      <w:r>
        <w:rPr>
          <w:rFonts w:ascii="宋体" w:hAnsi="宋体" w:eastAsia="宋体" w:cs="宋体"/>
          <w:color w:val="auto"/>
        </w:rPr>
        <w:tab/>
      </w:r>
      <w:r>
        <w:rPr>
          <w:rFonts w:hint="eastAsia" w:ascii="宋体" w:hAnsi="宋体" w:eastAsia="宋体" w:cs="宋体"/>
          <w:color w:val="auto"/>
          <w:lang w:val="en-US" w:eastAsia="zh-CN"/>
        </w:rPr>
        <w:t>供应商</w:t>
      </w:r>
      <w:r>
        <w:rPr>
          <w:rFonts w:ascii="宋体" w:hAnsi="宋体" w:eastAsia="宋体" w:cs="宋体"/>
          <w:color w:val="auto"/>
        </w:rPr>
        <w:t>承诺书</w:t>
      </w:r>
    </w:p>
    <w:p w14:paraId="6F4BC15D">
      <w:pPr>
        <w:pStyle w:val="3"/>
        <w:pageBreakBefore w:val="0"/>
        <w:tabs>
          <w:tab w:val="left" w:pos="4275"/>
        </w:tabs>
        <w:topLinePunct w:val="0"/>
        <w:bidi w:val="0"/>
        <w:spacing w:line="500" w:lineRule="exact"/>
        <w:ind w:left="0" w:leftChars="0" w:right="0" w:rightChars="0" w:firstLine="720" w:firstLineChars="200"/>
        <w:rPr>
          <w:rFonts w:ascii="宋体" w:hAnsi="宋体" w:eastAsia="宋体" w:cs="宋体"/>
          <w:color w:val="auto"/>
        </w:rPr>
        <w:sectPr>
          <w:pgSz w:w="11910" w:h="16840"/>
          <w:pgMar w:top="1060" w:right="1020" w:bottom="1200" w:left="1040" w:header="872" w:footer="1005" w:gutter="0"/>
          <w:pgNumType w:fmt="decimal"/>
          <w:cols w:space="720" w:num="1"/>
        </w:sectPr>
      </w:pPr>
      <w:r>
        <w:rPr>
          <w:rFonts w:ascii="宋体" w:hAnsi="宋体" w:eastAsia="宋体" w:cs="宋体"/>
          <w:color w:val="auto"/>
        </w:rPr>
        <w:t>第六部分</w:t>
      </w:r>
      <w:r>
        <w:rPr>
          <w:rFonts w:ascii="宋体" w:hAnsi="宋体" w:eastAsia="宋体" w:cs="宋体"/>
          <w:color w:val="auto"/>
        </w:rPr>
        <w:tab/>
      </w:r>
      <w:r>
        <w:rPr>
          <w:rFonts w:ascii="宋体" w:hAnsi="宋体" w:eastAsia="宋体" w:cs="宋体"/>
          <w:color w:val="auto"/>
        </w:rPr>
        <w:t>其他</w:t>
      </w:r>
    </w:p>
    <w:p w14:paraId="59ADC5F1">
      <w:pPr>
        <w:pStyle w:val="4"/>
        <w:pageBreakBefore w:val="0"/>
        <w:topLinePunct w:val="0"/>
        <w:bidi w:val="0"/>
        <w:spacing w:before="0" w:line="500" w:lineRule="exact"/>
        <w:ind w:left="0" w:leftChars="0" w:right="0" w:rightChars="0" w:firstLine="643" w:firstLineChars="200"/>
        <w:rPr>
          <w:color w:val="auto"/>
          <w:sz w:val="31"/>
        </w:rPr>
      </w:pPr>
      <w:r>
        <w:rPr>
          <w:color w:val="auto"/>
        </w:rPr>
        <w:t>第一部分 投标函</w:t>
      </w:r>
    </w:p>
    <w:p w14:paraId="0E5010D5">
      <w:pPr>
        <w:pageBreakBefore w:val="0"/>
        <w:topLinePunct w:val="0"/>
        <w:bidi w:val="0"/>
        <w:spacing w:line="500" w:lineRule="exact"/>
        <w:ind w:left="0" w:leftChars="0" w:right="0" w:rightChars="0" w:firstLine="442" w:firstLineChars="200"/>
        <w:rPr>
          <w:b/>
          <w:color w:val="auto"/>
          <w:szCs w:val="21"/>
        </w:rPr>
      </w:pPr>
    </w:p>
    <w:p w14:paraId="2CD81549">
      <w:pPr>
        <w:pageBreakBefore w:val="0"/>
        <w:topLinePunct w:val="0"/>
        <w:autoSpaceDE/>
        <w:autoSpaceDN/>
        <w:bidi w:val="0"/>
        <w:spacing w:line="500" w:lineRule="exact"/>
        <w:ind w:left="0" w:leftChars="0" w:right="0" w:rightChars="0" w:firstLine="480" w:firstLineChars="200"/>
        <w:rPr>
          <w:b/>
          <w:color w:val="auto"/>
          <w:szCs w:val="21"/>
          <w:u w:val="single"/>
          <w:lang w:val="en-US"/>
        </w:rPr>
      </w:pPr>
      <w:r>
        <w:rPr>
          <w:rFonts w:hint="eastAsia"/>
          <w:color w:val="auto"/>
          <w:sz w:val="24"/>
        </w:rPr>
        <w:t>致：</w:t>
      </w:r>
      <w:r>
        <w:rPr>
          <w:rFonts w:hint="eastAsia"/>
          <w:color w:val="auto"/>
          <w:sz w:val="24"/>
          <w:u w:val="single"/>
        </w:rPr>
        <w:t xml:space="preserve">     （采购人）     </w:t>
      </w:r>
      <w:r>
        <w:rPr>
          <w:rFonts w:hint="eastAsia"/>
          <w:b/>
          <w:color w:val="auto"/>
          <w:szCs w:val="21"/>
          <w:u w:val="single"/>
          <w:lang w:val="en-US"/>
        </w:rPr>
        <w:t xml:space="preserve"> </w:t>
      </w:r>
    </w:p>
    <w:p w14:paraId="2539F1AE">
      <w:pPr>
        <w:pageBreakBefore w:val="0"/>
        <w:topLinePunct w:val="0"/>
        <w:bidi w:val="0"/>
        <w:spacing w:line="500" w:lineRule="exact"/>
        <w:ind w:left="0" w:leftChars="0" w:right="0" w:rightChars="0" w:firstLine="440" w:firstLineChars="200"/>
        <w:rPr>
          <w:color w:val="auto"/>
          <w:szCs w:val="21"/>
          <w:u w:val="single"/>
        </w:rPr>
      </w:pPr>
      <w:r>
        <w:rPr>
          <w:rFonts w:hint="eastAsia"/>
          <w:color w:val="auto"/>
          <w:szCs w:val="21"/>
        </w:rPr>
        <w:t>我单位收到贵</w:t>
      </w:r>
      <w:bookmarkStart w:id="21" w:name="_Hlk77247809"/>
      <w:r>
        <w:rPr>
          <w:rFonts w:hint="eastAsia"/>
          <w:color w:val="auto"/>
          <w:szCs w:val="21"/>
          <w:lang w:val="en-US" w:eastAsia="zh-CN"/>
        </w:rPr>
        <w:t>单位</w:t>
      </w:r>
      <w:bookmarkEnd w:id="21"/>
      <w:r>
        <w:rPr>
          <w:rFonts w:hint="eastAsia"/>
          <w:color w:val="auto"/>
          <w:szCs w:val="21"/>
          <w:u w:val="single"/>
          <w:lang w:val="en-US" w:eastAsia="zh-CN"/>
        </w:rPr>
        <w:t>汉滨区2026－2027学年度中小学幼儿园大宗食材及原辅材料配送项目招标采购(二次)（合同包       ）</w:t>
      </w:r>
      <w:r>
        <w:rPr>
          <w:rFonts w:hint="eastAsia"/>
          <w:color w:val="auto"/>
          <w:szCs w:val="21"/>
        </w:rPr>
        <w:t>的招标文件，我们决定参加该项目投标活动，并参与投标会议。为此，我方郑重声明以下诸点，并负法律责任。</w:t>
      </w:r>
    </w:p>
    <w:p w14:paraId="6471F46B">
      <w:pPr>
        <w:pageBreakBefore w:val="0"/>
        <w:topLinePunct w:val="0"/>
        <w:bidi w:val="0"/>
        <w:spacing w:line="500" w:lineRule="exact"/>
        <w:ind w:left="0" w:leftChars="0" w:right="0" w:rightChars="0" w:firstLine="440" w:firstLineChars="200"/>
        <w:rPr>
          <w:b/>
          <w:color w:val="auto"/>
          <w:szCs w:val="21"/>
          <w:u w:val="single"/>
        </w:rPr>
      </w:pPr>
      <w:r>
        <w:rPr>
          <w:rFonts w:hint="eastAsia"/>
          <w:color w:val="auto"/>
          <w:szCs w:val="21"/>
        </w:rPr>
        <w:t>1</w:t>
      </w:r>
      <w:r>
        <w:rPr>
          <w:rFonts w:hint="eastAsia"/>
          <w:color w:val="auto"/>
          <w:szCs w:val="21"/>
          <w:lang w:val="en-US" w:eastAsia="zh-CN"/>
        </w:rPr>
        <w:t>.</w:t>
      </w:r>
      <w:r>
        <w:rPr>
          <w:rFonts w:hint="eastAsia"/>
          <w:color w:val="auto"/>
          <w:szCs w:val="21"/>
        </w:rPr>
        <w:t>愿意按照招标文件中的一切要求，我公司的投标报价为：</w:t>
      </w:r>
    </w:p>
    <w:p w14:paraId="25282085">
      <w:pPr>
        <w:pageBreakBefore w:val="0"/>
        <w:topLinePunct w:val="0"/>
        <w:bidi w:val="0"/>
        <w:spacing w:line="500" w:lineRule="exact"/>
        <w:ind w:left="0" w:leftChars="0" w:right="0" w:rightChars="0" w:firstLine="440" w:firstLineChars="200"/>
        <w:rPr>
          <w:color w:val="auto"/>
          <w:szCs w:val="21"/>
          <w:u w:val="single"/>
        </w:rPr>
      </w:pPr>
      <w:r>
        <w:rPr>
          <w:rFonts w:hint="eastAsia"/>
          <w:color w:val="auto"/>
          <w:szCs w:val="21"/>
        </w:rPr>
        <w:t>投标总报价（元）：小写：</w:t>
      </w:r>
      <w:r>
        <w:rPr>
          <w:rFonts w:hint="eastAsia"/>
          <w:color w:val="auto"/>
          <w:szCs w:val="21"/>
          <w:u w:val="single"/>
        </w:rPr>
        <w:t xml:space="preserve">       </w:t>
      </w:r>
      <w:r>
        <w:rPr>
          <w:color w:val="auto"/>
          <w:szCs w:val="21"/>
          <w:u w:val="single"/>
        </w:rPr>
        <w:t xml:space="preserve">       </w:t>
      </w:r>
      <w:r>
        <w:rPr>
          <w:rFonts w:hint="eastAsia"/>
          <w:color w:val="auto"/>
          <w:szCs w:val="21"/>
        </w:rPr>
        <w:t>元，大写：</w:t>
      </w:r>
      <w:r>
        <w:rPr>
          <w:rFonts w:hint="eastAsia"/>
          <w:color w:val="auto"/>
          <w:szCs w:val="21"/>
          <w:u w:val="single"/>
        </w:rPr>
        <w:t xml:space="preserve">     </w:t>
      </w:r>
      <w:r>
        <w:rPr>
          <w:rFonts w:hint="eastAsia"/>
          <w:color w:val="auto"/>
          <w:szCs w:val="21"/>
          <w:u w:val="single"/>
          <w:lang w:val="en-US"/>
        </w:rPr>
        <w:t xml:space="preserve"> </w:t>
      </w:r>
      <w:r>
        <w:rPr>
          <w:rFonts w:hint="eastAsia"/>
          <w:color w:val="auto"/>
          <w:szCs w:val="21"/>
          <w:u w:val="single"/>
        </w:rPr>
        <w:t xml:space="preserve">      </w:t>
      </w:r>
      <w:r>
        <w:rPr>
          <w:rFonts w:hint="eastAsia"/>
          <w:color w:val="auto"/>
          <w:szCs w:val="21"/>
        </w:rPr>
        <w:t xml:space="preserve"> 。</w:t>
      </w:r>
    </w:p>
    <w:p w14:paraId="08AC60B8">
      <w:pPr>
        <w:pageBreakBefore w:val="0"/>
        <w:topLinePunct w:val="0"/>
        <w:bidi w:val="0"/>
        <w:spacing w:line="500" w:lineRule="exact"/>
        <w:ind w:left="0" w:leftChars="0" w:right="0" w:rightChars="0" w:firstLine="440" w:firstLineChars="200"/>
        <w:rPr>
          <w:color w:val="auto"/>
          <w:szCs w:val="21"/>
          <w:u w:val="single"/>
        </w:rPr>
      </w:pPr>
      <w:r>
        <w:rPr>
          <w:rFonts w:hint="eastAsia"/>
          <w:color w:val="auto"/>
          <w:szCs w:val="21"/>
        </w:rPr>
        <w:t>供应期限：</w:t>
      </w:r>
      <w:r>
        <w:rPr>
          <w:rFonts w:hint="eastAsia"/>
          <w:color w:val="auto"/>
          <w:szCs w:val="21"/>
          <w:u w:val="single"/>
        </w:rPr>
        <w:t xml:space="preserve">          </w:t>
      </w:r>
    </w:p>
    <w:p w14:paraId="22E543A8">
      <w:pPr>
        <w:pageBreakBefore w:val="0"/>
        <w:topLinePunct w:val="0"/>
        <w:bidi w:val="0"/>
        <w:spacing w:line="500" w:lineRule="exact"/>
        <w:ind w:left="0" w:leftChars="0" w:right="0" w:rightChars="0" w:firstLine="440" w:firstLineChars="200"/>
        <w:rPr>
          <w:color w:val="auto"/>
          <w:szCs w:val="21"/>
        </w:rPr>
      </w:pPr>
      <w:r>
        <w:rPr>
          <w:rFonts w:hint="eastAsia"/>
          <w:color w:val="auto"/>
          <w:szCs w:val="21"/>
          <w:lang w:val="en-US"/>
        </w:rPr>
        <w:t>2</w:t>
      </w:r>
      <w:r>
        <w:rPr>
          <w:rFonts w:hint="eastAsia"/>
          <w:color w:val="auto"/>
          <w:szCs w:val="21"/>
          <w:lang w:val="en-US" w:eastAsia="zh-CN"/>
        </w:rPr>
        <w:t>.</w:t>
      </w:r>
      <w:r>
        <w:rPr>
          <w:rFonts w:hint="eastAsia"/>
          <w:color w:val="auto"/>
          <w:szCs w:val="21"/>
        </w:rPr>
        <w:t>如果我们投标文件被接受，我们将履行招标文件中规定的每一项要求，按期、按质、按量完成任务。</w:t>
      </w:r>
    </w:p>
    <w:p w14:paraId="59CB6F08">
      <w:pPr>
        <w:pageBreakBefore w:val="0"/>
        <w:topLinePunct w:val="0"/>
        <w:bidi w:val="0"/>
        <w:spacing w:line="500" w:lineRule="exact"/>
        <w:ind w:left="0" w:leftChars="0" w:right="0" w:rightChars="0" w:firstLine="440" w:firstLineChars="200"/>
        <w:rPr>
          <w:color w:val="auto"/>
          <w:szCs w:val="21"/>
        </w:rPr>
      </w:pPr>
      <w:r>
        <w:rPr>
          <w:rFonts w:hint="eastAsia"/>
          <w:color w:val="auto"/>
          <w:szCs w:val="21"/>
          <w:lang w:val="en-US"/>
        </w:rPr>
        <w:t>3</w:t>
      </w:r>
      <w:r>
        <w:rPr>
          <w:rFonts w:hint="eastAsia"/>
          <w:color w:val="auto"/>
          <w:szCs w:val="21"/>
          <w:lang w:val="en-US" w:eastAsia="zh-CN"/>
        </w:rPr>
        <w:t>.</w:t>
      </w:r>
      <w:r>
        <w:rPr>
          <w:rFonts w:hint="eastAsia"/>
          <w:color w:val="auto"/>
          <w:szCs w:val="21"/>
        </w:rPr>
        <w:t>我们理解，最低报价不是中标的唯一条件，你们有选择</w:t>
      </w:r>
      <w:r>
        <w:rPr>
          <w:rFonts w:hint="eastAsia"/>
          <w:color w:val="auto"/>
          <w:szCs w:val="21"/>
          <w:lang w:eastAsia="zh-CN"/>
        </w:rPr>
        <w:t>供应商</w:t>
      </w:r>
      <w:r>
        <w:rPr>
          <w:rFonts w:hint="eastAsia"/>
          <w:color w:val="auto"/>
          <w:szCs w:val="21"/>
        </w:rPr>
        <w:t>的权力。</w:t>
      </w:r>
    </w:p>
    <w:p w14:paraId="1DAB6245">
      <w:pPr>
        <w:pageBreakBefore w:val="0"/>
        <w:topLinePunct w:val="0"/>
        <w:bidi w:val="0"/>
        <w:spacing w:line="500" w:lineRule="exact"/>
        <w:ind w:left="0" w:leftChars="0" w:right="0" w:rightChars="0" w:firstLine="440" w:firstLineChars="200"/>
        <w:rPr>
          <w:color w:val="auto"/>
          <w:szCs w:val="21"/>
        </w:rPr>
      </w:pPr>
      <w:r>
        <w:rPr>
          <w:rFonts w:hint="eastAsia"/>
          <w:color w:val="auto"/>
          <w:szCs w:val="21"/>
          <w:lang w:val="en-US"/>
        </w:rPr>
        <w:t>4</w:t>
      </w:r>
      <w:r>
        <w:rPr>
          <w:rFonts w:hint="eastAsia"/>
          <w:color w:val="auto"/>
          <w:szCs w:val="21"/>
          <w:lang w:val="en-US" w:eastAsia="zh-CN"/>
        </w:rPr>
        <w:t>.</w:t>
      </w:r>
      <w:r>
        <w:rPr>
          <w:rFonts w:hint="eastAsia"/>
          <w:color w:val="auto"/>
          <w:szCs w:val="21"/>
        </w:rPr>
        <w:t>我们愿按《中华人民共和国民法典》履行自己的全部责任。</w:t>
      </w:r>
    </w:p>
    <w:p w14:paraId="42312AED">
      <w:pPr>
        <w:pageBreakBefore w:val="0"/>
        <w:topLinePunct w:val="0"/>
        <w:bidi w:val="0"/>
        <w:spacing w:line="500" w:lineRule="exact"/>
        <w:ind w:left="0" w:leftChars="0" w:right="0" w:rightChars="0" w:firstLine="440" w:firstLineChars="200"/>
        <w:rPr>
          <w:color w:val="auto"/>
          <w:szCs w:val="21"/>
        </w:rPr>
      </w:pPr>
      <w:r>
        <w:rPr>
          <w:rFonts w:hint="eastAsia"/>
          <w:color w:val="auto"/>
          <w:szCs w:val="21"/>
          <w:lang w:val="en-US"/>
        </w:rPr>
        <w:t>5</w:t>
      </w:r>
      <w:r>
        <w:rPr>
          <w:rFonts w:hint="eastAsia"/>
          <w:color w:val="auto"/>
          <w:szCs w:val="21"/>
          <w:lang w:val="en-US" w:eastAsia="zh-CN"/>
        </w:rPr>
        <w:t>.</w:t>
      </w:r>
      <w:r>
        <w:rPr>
          <w:rFonts w:hint="eastAsia"/>
          <w:color w:val="auto"/>
          <w:szCs w:val="21"/>
        </w:rPr>
        <w:t>我们同意按招标文件规定，遵守贵</w:t>
      </w:r>
      <w:r>
        <w:rPr>
          <w:rFonts w:hint="eastAsia"/>
          <w:color w:val="auto"/>
          <w:szCs w:val="21"/>
          <w:lang w:val="en-US" w:eastAsia="zh-CN"/>
        </w:rPr>
        <w:t>单位</w:t>
      </w:r>
      <w:r>
        <w:rPr>
          <w:rFonts w:hint="eastAsia"/>
          <w:color w:val="auto"/>
          <w:szCs w:val="21"/>
        </w:rPr>
        <w:t>有关规定和收费标准。</w:t>
      </w:r>
    </w:p>
    <w:p w14:paraId="5D9C0358">
      <w:pPr>
        <w:pageBreakBefore w:val="0"/>
        <w:topLinePunct w:val="0"/>
        <w:bidi w:val="0"/>
        <w:spacing w:line="500" w:lineRule="exact"/>
        <w:ind w:left="0" w:leftChars="0" w:right="0" w:rightChars="0" w:firstLine="440" w:firstLineChars="200"/>
        <w:rPr>
          <w:color w:val="auto"/>
          <w:szCs w:val="21"/>
        </w:rPr>
      </w:pPr>
      <w:r>
        <w:rPr>
          <w:rFonts w:hint="eastAsia"/>
          <w:color w:val="auto"/>
          <w:szCs w:val="21"/>
          <w:lang w:val="en-US"/>
        </w:rPr>
        <w:t>6</w:t>
      </w:r>
      <w:r>
        <w:rPr>
          <w:rFonts w:hint="eastAsia"/>
          <w:color w:val="auto"/>
          <w:szCs w:val="21"/>
          <w:lang w:val="en-US" w:eastAsia="zh-CN"/>
        </w:rPr>
        <w:t>.</w:t>
      </w:r>
      <w:r>
        <w:rPr>
          <w:rFonts w:hint="eastAsia"/>
          <w:color w:val="auto"/>
          <w:szCs w:val="21"/>
        </w:rPr>
        <w:t>我方的投标文件有效期为自投标文件递交截止之日起</w:t>
      </w:r>
      <w:r>
        <w:rPr>
          <w:rFonts w:hint="eastAsia"/>
          <w:color w:val="auto"/>
          <w:szCs w:val="21"/>
          <w:u w:val="single"/>
        </w:rPr>
        <w:t xml:space="preserve">       </w:t>
      </w:r>
      <w:r>
        <w:rPr>
          <w:rFonts w:hint="eastAsia"/>
          <w:color w:val="auto"/>
          <w:szCs w:val="21"/>
        </w:rPr>
        <w:t>日历天。</w:t>
      </w:r>
    </w:p>
    <w:p w14:paraId="2E7A84DA">
      <w:pPr>
        <w:pageBreakBefore w:val="0"/>
        <w:topLinePunct w:val="0"/>
        <w:bidi w:val="0"/>
        <w:spacing w:line="500" w:lineRule="exact"/>
        <w:ind w:left="0" w:leftChars="0" w:right="0" w:rightChars="0" w:firstLine="440" w:firstLineChars="200"/>
        <w:rPr>
          <w:color w:val="auto"/>
          <w:szCs w:val="21"/>
        </w:rPr>
      </w:pPr>
      <w:r>
        <w:rPr>
          <w:rFonts w:hint="eastAsia"/>
          <w:color w:val="auto"/>
          <w:szCs w:val="21"/>
          <w:lang w:val="en-US"/>
        </w:rPr>
        <w:t>7</w:t>
      </w:r>
      <w:r>
        <w:rPr>
          <w:rFonts w:hint="eastAsia"/>
          <w:color w:val="auto"/>
          <w:szCs w:val="21"/>
          <w:lang w:val="en-US" w:eastAsia="zh-CN"/>
        </w:rPr>
        <w:t>.</w:t>
      </w:r>
      <w:r>
        <w:rPr>
          <w:rFonts w:hint="eastAsia"/>
          <w:color w:val="auto"/>
          <w:szCs w:val="21"/>
        </w:rPr>
        <w:t>所有关于本投标文件的函电，请按下列地址联系。</w:t>
      </w:r>
    </w:p>
    <w:p w14:paraId="5A7DE013">
      <w:pPr>
        <w:pageBreakBefore w:val="0"/>
        <w:topLinePunct w:val="0"/>
        <w:bidi w:val="0"/>
        <w:spacing w:line="500" w:lineRule="exact"/>
        <w:ind w:left="0" w:leftChars="0" w:right="0" w:rightChars="0" w:firstLine="440" w:firstLineChars="200"/>
        <w:rPr>
          <w:color w:val="auto"/>
          <w:szCs w:val="21"/>
          <w:u w:val="single"/>
        </w:rPr>
      </w:pPr>
      <w:r>
        <w:rPr>
          <w:rFonts w:hint="eastAsia"/>
          <w:color w:val="auto"/>
          <w:szCs w:val="21"/>
        </w:rPr>
        <w:t>地    址：</w:t>
      </w:r>
      <w:r>
        <w:rPr>
          <w:rFonts w:hint="eastAsia"/>
          <w:color w:val="auto"/>
          <w:szCs w:val="21"/>
          <w:u w:val="single"/>
        </w:rPr>
        <w:t xml:space="preserve">                              </w:t>
      </w:r>
    </w:p>
    <w:p w14:paraId="4D35E7EF">
      <w:pPr>
        <w:pageBreakBefore w:val="0"/>
        <w:topLinePunct w:val="0"/>
        <w:bidi w:val="0"/>
        <w:spacing w:line="500" w:lineRule="exact"/>
        <w:ind w:left="0" w:leftChars="0" w:right="0" w:rightChars="0" w:firstLine="440" w:firstLineChars="200"/>
        <w:rPr>
          <w:color w:val="auto"/>
          <w:szCs w:val="21"/>
          <w:u w:val="single"/>
        </w:rPr>
      </w:pPr>
      <w:r>
        <w:rPr>
          <w:rFonts w:hint="eastAsia"/>
          <w:color w:val="auto"/>
          <w:szCs w:val="21"/>
        </w:rPr>
        <w:t>开 户 行：</w:t>
      </w:r>
      <w:r>
        <w:rPr>
          <w:rFonts w:hint="eastAsia"/>
          <w:color w:val="auto"/>
          <w:szCs w:val="21"/>
          <w:u w:val="single"/>
        </w:rPr>
        <w:t xml:space="preserve">                              </w:t>
      </w:r>
    </w:p>
    <w:p w14:paraId="17BCA6DD">
      <w:pPr>
        <w:pageBreakBefore w:val="0"/>
        <w:topLinePunct w:val="0"/>
        <w:bidi w:val="0"/>
        <w:spacing w:line="500" w:lineRule="exact"/>
        <w:ind w:left="0" w:leftChars="0" w:right="0" w:rightChars="0" w:firstLine="440" w:firstLineChars="200"/>
        <w:rPr>
          <w:color w:val="auto"/>
          <w:szCs w:val="21"/>
        </w:rPr>
      </w:pPr>
      <w:r>
        <w:rPr>
          <w:rFonts w:hint="eastAsia"/>
          <w:color w:val="auto"/>
          <w:szCs w:val="21"/>
        </w:rPr>
        <w:t>帐    号：</w:t>
      </w:r>
      <w:r>
        <w:rPr>
          <w:rFonts w:hint="eastAsia"/>
          <w:color w:val="auto"/>
          <w:szCs w:val="21"/>
          <w:u w:val="single"/>
        </w:rPr>
        <w:t xml:space="preserve">                              </w:t>
      </w:r>
    </w:p>
    <w:p w14:paraId="413DF7C7">
      <w:pPr>
        <w:pageBreakBefore w:val="0"/>
        <w:topLinePunct w:val="0"/>
        <w:bidi w:val="0"/>
        <w:spacing w:line="500" w:lineRule="exact"/>
        <w:ind w:left="0" w:leftChars="0" w:right="0" w:rightChars="0" w:firstLine="440" w:firstLineChars="200"/>
        <w:rPr>
          <w:color w:val="auto"/>
          <w:szCs w:val="21"/>
        </w:rPr>
      </w:pPr>
      <w:r>
        <w:rPr>
          <w:rFonts w:hint="eastAsia"/>
          <w:color w:val="auto"/>
          <w:szCs w:val="21"/>
        </w:rPr>
        <w:t>电    话：</w:t>
      </w:r>
      <w:r>
        <w:rPr>
          <w:rFonts w:hint="eastAsia"/>
          <w:color w:val="auto"/>
          <w:szCs w:val="21"/>
          <w:u w:val="single"/>
        </w:rPr>
        <w:t xml:space="preserve">                              </w:t>
      </w:r>
    </w:p>
    <w:p w14:paraId="2B6B76C7">
      <w:pPr>
        <w:pageBreakBefore w:val="0"/>
        <w:topLinePunct w:val="0"/>
        <w:bidi w:val="0"/>
        <w:spacing w:line="500" w:lineRule="exact"/>
        <w:ind w:left="0" w:leftChars="0" w:right="0" w:rightChars="0" w:firstLine="440" w:firstLineChars="200"/>
        <w:rPr>
          <w:color w:val="auto"/>
          <w:szCs w:val="21"/>
        </w:rPr>
      </w:pPr>
      <w:r>
        <w:rPr>
          <w:rFonts w:hint="eastAsia"/>
          <w:color w:val="auto"/>
          <w:szCs w:val="21"/>
        </w:rPr>
        <w:t>传    真：</w:t>
      </w:r>
      <w:r>
        <w:rPr>
          <w:rFonts w:hint="eastAsia"/>
          <w:color w:val="auto"/>
          <w:szCs w:val="21"/>
          <w:u w:val="single"/>
        </w:rPr>
        <w:t xml:space="preserve">                              </w:t>
      </w:r>
    </w:p>
    <w:p w14:paraId="0C4D3BC5">
      <w:pPr>
        <w:pageBreakBefore w:val="0"/>
        <w:topLinePunct w:val="0"/>
        <w:bidi w:val="0"/>
        <w:spacing w:line="500" w:lineRule="exact"/>
        <w:ind w:left="0" w:leftChars="0" w:right="0" w:rightChars="0" w:firstLine="440" w:firstLineChars="200"/>
        <w:rPr>
          <w:color w:val="auto"/>
          <w:szCs w:val="21"/>
          <w:u w:val="single"/>
        </w:rPr>
      </w:pPr>
      <w:r>
        <w:rPr>
          <w:rFonts w:hint="eastAsia"/>
          <w:color w:val="auto"/>
          <w:szCs w:val="21"/>
        </w:rPr>
        <w:t>邮    编：</w:t>
      </w:r>
      <w:r>
        <w:rPr>
          <w:rFonts w:hint="eastAsia"/>
          <w:color w:val="auto"/>
          <w:szCs w:val="21"/>
          <w:u w:val="single"/>
        </w:rPr>
        <w:t xml:space="preserve">                              </w:t>
      </w:r>
    </w:p>
    <w:p w14:paraId="7D171713">
      <w:pPr>
        <w:pStyle w:val="8"/>
        <w:pageBreakBefore w:val="0"/>
        <w:topLinePunct w:val="0"/>
        <w:bidi w:val="0"/>
        <w:spacing w:line="500" w:lineRule="exact"/>
        <w:ind w:left="0" w:leftChars="0" w:right="0" w:rightChars="0" w:firstLine="400" w:firstLineChars="200"/>
        <w:rPr>
          <w:color w:val="auto"/>
          <w:szCs w:val="21"/>
          <w:u w:val="single"/>
        </w:rPr>
      </w:pPr>
    </w:p>
    <w:p w14:paraId="5973C1A4">
      <w:pPr>
        <w:pStyle w:val="8"/>
        <w:pageBreakBefore w:val="0"/>
        <w:topLinePunct w:val="0"/>
        <w:bidi w:val="0"/>
        <w:spacing w:line="500" w:lineRule="exact"/>
        <w:ind w:left="0" w:leftChars="0" w:right="0" w:rightChars="0" w:firstLine="400" w:firstLineChars="200"/>
        <w:rPr>
          <w:color w:val="auto"/>
          <w:szCs w:val="21"/>
          <w:u w:val="single"/>
        </w:rPr>
      </w:pPr>
    </w:p>
    <w:p w14:paraId="576A2792">
      <w:pPr>
        <w:pStyle w:val="8"/>
        <w:pageBreakBefore w:val="0"/>
        <w:topLinePunct w:val="0"/>
        <w:bidi w:val="0"/>
        <w:spacing w:line="500" w:lineRule="exact"/>
        <w:ind w:left="0" w:leftChars="0" w:right="0" w:rightChars="0" w:firstLine="400" w:firstLineChars="200"/>
        <w:rPr>
          <w:color w:val="auto"/>
          <w:szCs w:val="21"/>
          <w:u w:val="single"/>
        </w:rPr>
      </w:pPr>
    </w:p>
    <w:p w14:paraId="4388C3ED">
      <w:pPr>
        <w:pageBreakBefore w:val="0"/>
        <w:topLinePunct w:val="0"/>
        <w:bidi w:val="0"/>
        <w:spacing w:line="500" w:lineRule="exact"/>
        <w:ind w:left="0" w:leftChars="0" w:right="0" w:rightChars="0" w:firstLine="440" w:firstLineChars="200"/>
        <w:rPr>
          <w:color w:val="auto"/>
          <w:szCs w:val="21"/>
        </w:rPr>
      </w:pPr>
    </w:p>
    <w:p w14:paraId="3C57E3D5">
      <w:pPr>
        <w:pageBreakBefore w:val="0"/>
        <w:topLinePunct w:val="0"/>
        <w:bidi w:val="0"/>
        <w:spacing w:line="500" w:lineRule="exact"/>
        <w:ind w:left="0" w:leftChars="0" w:right="0" w:rightChars="0" w:firstLine="440" w:firstLineChars="200"/>
        <w:rPr>
          <w:color w:val="auto"/>
          <w:szCs w:val="21"/>
        </w:rPr>
      </w:pPr>
      <w:r>
        <w:rPr>
          <w:rFonts w:hint="eastAsia"/>
          <w:color w:val="auto"/>
          <w:szCs w:val="21"/>
          <w:lang w:eastAsia="zh-CN"/>
        </w:rPr>
        <w:t>供应商</w:t>
      </w:r>
      <w:r>
        <w:rPr>
          <w:rFonts w:hint="eastAsia"/>
          <w:color w:val="auto"/>
          <w:szCs w:val="21"/>
        </w:rPr>
        <w:t>名称：（公章）</w:t>
      </w:r>
    </w:p>
    <w:p w14:paraId="4DAF48D7">
      <w:pPr>
        <w:pageBreakBefore w:val="0"/>
        <w:topLinePunct w:val="0"/>
        <w:bidi w:val="0"/>
        <w:spacing w:line="500" w:lineRule="exact"/>
        <w:ind w:left="0" w:leftChars="0" w:right="0" w:rightChars="0" w:firstLine="440" w:firstLineChars="200"/>
        <w:rPr>
          <w:rFonts w:hint="eastAsia"/>
          <w:color w:val="auto"/>
          <w:szCs w:val="21"/>
          <w:lang w:val="zh-CN" w:eastAsia="zh-CN"/>
        </w:rPr>
      </w:pPr>
      <w:r>
        <w:rPr>
          <w:rFonts w:hint="eastAsia"/>
          <w:color w:val="auto"/>
          <w:szCs w:val="21"/>
          <w:lang w:val="en-US" w:eastAsia="zh-CN"/>
        </w:rPr>
        <w:t>法定代表人或授权委托人（签字或盖章）：</w:t>
      </w:r>
    </w:p>
    <w:p w14:paraId="1AE373FF">
      <w:pPr>
        <w:pageBreakBefore w:val="0"/>
        <w:topLinePunct w:val="0"/>
        <w:bidi w:val="0"/>
        <w:spacing w:line="500" w:lineRule="exact"/>
        <w:ind w:left="0" w:leftChars="0" w:right="0" w:rightChars="0" w:firstLine="440" w:firstLineChars="200"/>
        <w:rPr>
          <w:color w:val="auto"/>
          <w:szCs w:val="21"/>
        </w:rPr>
      </w:pPr>
      <w:r>
        <w:rPr>
          <w:rFonts w:hint="eastAsia"/>
          <w:color w:val="auto"/>
          <w:szCs w:val="21"/>
        </w:rPr>
        <w:t>日期：    年    月    日</w:t>
      </w:r>
    </w:p>
    <w:p w14:paraId="261CC460">
      <w:pPr>
        <w:pStyle w:val="4"/>
        <w:pageBreakBefore w:val="0"/>
        <w:topLinePunct w:val="0"/>
        <w:bidi w:val="0"/>
        <w:spacing w:before="0" w:line="500" w:lineRule="exact"/>
        <w:ind w:left="0" w:leftChars="0" w:right="0" w:rightChars="0" w:firstLine="643" w:firstLineChars="200"/>
        <w:rPr>
          <w:b/>
          <w:color w:val="auto"/>
          <w:sz w:val="32"/>
        </w:rPr>
      </w:pPr>
      <w:r>
        <w:rPr>
          <w:color w:val="auto"/>
        </w:rPr>
        <w:br w:type="page"/>
      </w:r>
      <w:r>
        <w:rPr>
          <w:color w:val="auto"/>
        </w:rPr>
        <w:t>第二部分 开标一览表（报价表）</w:t>
      </w:r>
    </w:p>
    <w:p w14:paraId="0A0B72C0">
      <w:pPr>
        <w:pStyle w:val="12"/>
        <w:pageBreakBefore w:val="0"/>
        <w:topLinePunct w:val="0"/>
        <w:bidi w:val="0"/>
        <w:spacing w:line="500" w:lineRule="exact"/>
        <w:ind w:left="0" w:leftChars="0" w:right="0" w:rightChars="0" w:firstLine="643" w:firstLineChars="200"/>
        <w:jc w:val="center"/>
        <w:rPr>
          <w:rFonts w:hint="eastAsia"/>
          <w:b/>
          <w:bCs/>
          <w:color w:val="auto"/>
          <w:sz w:val="32"/>
          <w:szCs w:val="32"/>
          <w:lang w:val="en-US" w:eastAsia="zh-CN"/>
        </w:rPr>
      </w:pPr>
      <w:r>
        <w:rPr>
          <w:rFonts w:hint="eastAsia"/>
          <w:b/>
          <w:bCs/>
          <w:color w:val="auto"/>
          <w:sz w:val="32"/>
          <w:szCs w:val="32"/>
          <w:lang w:val="en-US" w:eastAsia="zh-CN"/>
        </w:rPr>
        <w:t>合同包一</w:t>
      </w:r>
    </w:p>
    <w:p w14:paraId="515C69A4">
      <w:pPr>
        <w:pStyle w:val="12"/>
        <w:pageBreakBefore w:val="0"/>
        <w:topLinePunct w:val="0"/>
        <w:bidi w:val="0"/>
        <w:spacing w:line="500" w:lineRule="exact"/>
        <w:ind w:left="0" w:leftChars="0" w:right="0" w:rightChars="0" w:firstLine="480" w:firstLineChars="200"/>
        <w:rPr>
          <w:rFonts w:hint="default" w:eastAsia="宋体"/>
          <w:color w:val="auto"/>
          <w:sz w:val="12"/>
          <w:lang w:val="en-US" w:eastAsia="zh-CN"/>
        </w:rPr>
      </w:pPr>
      <w:r>
        <w:rPr>
          <w:color w:val="auto"/>
        </w:rPr>
        <w:t>项目名称：</w:t>
      </w:r>
      <w:r>
        <w:rPr>
          <w:rFonts w:hint="eastAsia"/>
          <w:color w:val="auto"/>
          <w:lang w:val="en-US" w:eastAsia="zh-CN"/>
        </w:rPr>
        <w:t xml:space="preserve">                                                    </w:t>
      </w:r>
    </w:p>
    <w:tbl>
      <w:tblPr>
        <w:tblStyle w:val="23"/>
        <w:tblpPr w:leftFromText="180" w:rightFromText="180" w:vertAnchor="text" w:horzAnchor="page" w:tblpX="1163" w:tblpY="274"/>
        <w:tblOverlap w:val="never"/>
        <w:tblW w:w="9677"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951"/>
        <w:gridCol w:w="3041"/>
        <w:gridCol w:w="1710"/>
        <w:gridCol w:w="1844"/>
        <w:gridCol w:w="1131"/>
      </w:tblGrid>
      <w:tr w14:paraId="1699F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7" w:hRule="atLeast"/>
        </w:trPr>
        <w:tc>
          <w:tcPr>
            <w:tcW w:w="1951" w:type="dxa"/>
          </w:tcPr>
          <w:p w14:paraId="164DD7CC">
            <w:pPr>
              <w:pageBreakBefore w:val="0"/>
              <w:topLinePunct w:val="0"/>
              <w:bidi w:val="0"/>
              <w:spacing w:line="240" w:lineRule="auto"/>
              <w:ind w:left="0" w:leftChars="0" w:right="0" w:rightChars="0" w:firstLine="480" w:firstLineChars="200"/>
              <w:jc w:val="center"/>
              <w:rPr>
                <w:color w:val="auto"/>
                <w:sz w:val="24"/>
                <w:szCs w:val="24"/>
              </w:rPr>
            </w:pPr>
            <w:r>
              <w:rPr>
                <w:color w:val="auto"/>
                <w:sz w:val="24"/>
                <w:szCs w:val="24"/>
                <w:lang w:val="en-US" w:bidi="ar-SA"/>
              </w:rPr>
              <mc:AlternateContent>
                <mc:Choice Requires="wps">
                  <w:drawing>
                    <wp:anchor distT="0" distB="0" distL="114300" distR="114300" simplePos="0" relativeHeight="251682816" behindDoc="0" locked="0" layoutInCell="1" allowOverlap="1">
                      <wp:simplePos x="0" y="0"/>
                      <wp:positionH relativeFrom="column">
                        <wp:posOffset>31115</wp:posOffset>
                      </wp:positionH>
                      <wp:positionV relativeFrom="paragraph">
                        <wp:posOffset>22860</wp:posOffset>
                      </wp:positionV>
                      <wp:extent cx="1180465" cy="547370"/>
                      <wp:effectExtent l="1905" t="4445" r="17780" b="19685"/>
                      <wp:wrapNone/>
                      <wp:docPr id="6" name="直线 23"/>
                      <wp:cNvGraphicFramePr/>
                      <a:graphic xmlns:a="http://schemas.openxmlformats.org/drawingml/2006/main">
                        <a:graphicData uri="http://schemas.microsoft.com/office/word/2010/wordprocessingShape">
                          <wps:wsp>
                            <wps:cNvCnPr/>
                            <wps:spPr>
                              <a:xfrm>
                                <a:off x="0" y="0"/>
                                <a:ext cx="1180465" cy="54737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线 23" o:spid="_x0000_s1026" o:spt="20" style="position:absolute;left:0pt;margin-left:2.45pt;margin-top:1.8pt;height:43.1pt;width:92.95pt;z-index:251682816;mso-width-relative:page;mso-height-relative:page;" filled="f" stroked="t" coordsize="21600,21600" o:gfxdata="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C1OF3zVAAAA&#10;BgEAAA8AAAAAAAAAAQAgAAAAIgAAAGRycy9kb3ducmV2LnhtbFBLAQIUABQAAAAIAIdO4kCAoRV5&#10;5wEAANUDAAAOAAAAAAAAAAEAIAAAACQBAABkcnMvZTJvRG9jLnhtbFBLBQYAAAAABgAGAFkBAAB9&#10;BQAAAAA=&#10;">
                      <v:fill on="f" focussize="0,0"/>
                      <v:stroke color="#000000" joinstyle="round"/>
                      <v:imagedata o:title=""/>
                      <o:lock v:ext="edit" aspectratio="f"/>
                    </v:line>
                  </w:pict>
                </mc:Fallback>
              </mc:AlternateContent>
            </w:r>
            <w:r>
              <w:rPr>
                <w:rFonts w:hint="eastAsia"/>
                <w:color w:val="auto"/>
                <w:sz w:val="24"/>
                <w:szCs w:val="24"/>
                <w:lang w:val="en-US"/>
              </w:rPr>
              <w:t xml:space="preserve">    </w:t>
            </w:r>
            <w:r>
              <w:rPr>
                <w:rFonts w:hint="eastAsia"/>
                <w:color w:val="auto"/>
                <w:sz w:val="24"/>
                <w:szCs w:val="24"/>
              </w:rPr>
              <w:t>报价内容</w:t>
            </w:r>
          </w:p>
          <w:p w14:paraId="5DBFC1E0">
            <w:pPr>
              <w:pageBreakBefore w:val="0"/>
              <w:topLinePunct w:val="0"/>
              <w:bidi w:val="0"/>
              <w:spacing w:line="240" w:lineRule="auto"/>
              <w:ind w:right="0" w:rightChars="0"/>
              <w:jc w:val="both"/>
              <w:rPr>
                <w:rFonts w:hint="eastAsia"/>
                <w:color w:val="auto"/>
                <w:sz w:val="24"/>
                <w:szCs w:val="24"/>
              </w:rPr>
            </w:pPr>
          </w:p>
          <w:p w14:paraId="562A03D4">
            <w:pPr>
              <w:pageBreakBefore w:val="0"/>
              <w:topLinePunct w:val="0"/>
              <w:bidi w:val="0"/>
              <w:spacing w:line="240" w:lineRule="auto"/>
              <w:ind w:right="0" w:rightChars="0"/>
              <w:jc w:val="both"/>
              <w:rPr>
                <w:color w:val="auto"/>
                <w:sz w:val="24"/>
                <w:szCs w:val="24"/>
              </w:rPr>
            </w:pPr>
            <w:r>
              <w:rPr>
                <w:rFonts w:hint="eastAsia"/>
                <w:color w:val="auto"/>
                <w:sz w:val="24"/>
                <w:szCs w:val="24"/>
              </w:rPr>
              <w:t>投标内容</w:t>
            </w:r>
          </w:p>
        </w:tc>
        <w:tc>
          <w:tcPr>
            <w:tcW w:w="3041" w:type="dxa"/>
            <w:tcBorders>
              <w:right w:val="single" w:color="000000" w:sz="4" w:space="0"/>
            </w:tcBorders>
            <w:vAlign w:val="center"/>
          </w:tcPr>
          <w:p w14:paraId="0F82AE1E">
            <w:pPr>
              <w:pageBreakBefore w:val="0"/>
              <w:topLinePunct w:val="0"/>
              <w:bidi w:val="0"/>
              <w:spacing w:line="240" w:lineRule="auto"/>
              <w:ind w:left="0" w:leftChars="0" w:right="0" w:rightChars="0" w:firstLine="960" w:firstLineChars="400"/>
              <w:jc w:val="both"/>
              <w:rPr>
                <w:rFonts w:hint="default"/>
                <w:color w:val="auto"/>
                <w:sz w:val="24"/>
                <w:szCs w:val="24"/>
                <w:lang w:val="en-US" w:eastAsia="zh-CN"/>
              </w:rPr>
            </w:pPr>
            <w:r>
              <w:rPr>
                <w:rFonts w:hint="eastAsia"/>
                <w:color w:val="auto"/>
                <w:sz w:val="24"/>
                <w:szCs w:val="24"/>
                <w:lang w:val="en-US" w:eastAsia="zh-CN"/>
              </w:rPr>
              <w:t>所投产品</w:t>
            </w:r>
          </w:p>
        </w:tc>
        <w:tc>
          <w:tcPr>
            <w:tcW w:w="1710" w:type="dxa"/>
            <w:tcBorders>
              <w:left w:val="single" w:color="000000" w:sz="4" w:space="0"/>
              <w:right w:val="single" w:color="000000" w:sz="4" w:space="0"/>
            </w:tcBorders>
            <w:vAlign w:val="center"/>
          </w:tcPr>
          <w:p w14:paraId="2A6385DF">
            <w:pPr>
              <w:pageBreakBefore w:val="0"/>
              <w:topLinePunct w:val="0"/>
              <w:bidi w:val="0"/>
              <w:spacing w:line="240" w:lineRule="auto"/>
              <w:ind w:right="0" w:rightChars="0"/>
              <w:jc w:val="center"/>
              <w:rPr>
                <w:rFonts w:hint="default" w:eastAsia="宋体"/>
                <w:color w:val="auto"/>
                <w:sz w:val="24"/>
                <w:szCs w:val="24"/>
                <w:lang w:val="en-US" w:eastAsia="zh-CN"/>
              </w:rPr>
            </w:pPr>
            <w:r>
              <w:rPr>
                <w:rFonts w:hint="default" w:eastAsia="宋体"/>
                <w:color w:val="auto"/>
                <w:sz w:val="24"/>
                <w:szCs w:val="24"/>
                <w:lang w:val="en-US" w:eastAsia="zh-CN"/>
              </w:rPr>
              <w:t>投标单价</w:t>
            </w:r>
          </w:p>
          <w:p w14:paraId="5059E651">
            <w:pPr>
              <w:pageBreakBefore w:val="0"/>
              <w:topLinePunct w:val="0"/>
              <w:bidi w:val="0"/>
              <w:spacing w:line="240" w:lineRule="auto"/>
              <w:ind w:right="0" w:rightChars="0"/>
              <w:jc w:val="center"/>
              <w:rPr>
                <w:rFonts w:hint="default" w:eastAsia="宋体"/>
                <w:color w:val="auto"/>
                <w:sz w:val="24"/>
                <w:szCs w:val="24"/>
                <w:lang w:val="en-US" w:eastAsia="zh-CN"/>
              </w:rPr>
            </w:pPr>
            <w:r>
              <w:rPr>
                <w:rFonts w:hint="eastAsia"/>
                <w:color w:val="auto"/>
                <w:sz w:val="24"/>
                <w:szCs w:val="24"/>
                <w:lang w:val="en-US" w:eastAsia="zh-CN"/>
              </w:rPr>
              <w:t>（元）</w:t>
            </w:r>
          </w:p>
        </w:tc>
        <w:tc>
          <w:tcPr>
            <w:tcW w:w="1844" w:type="dxa"/>
            <w:tcBorders>
              <w:left w:val="single" w:color="000000" w:sz="4" w:space="0"/>
              <w:right w:val="single" w:color="000000" w:sz="4" w:space="0"/>
            </w:tcBorders>
            <w:vAlign w:val="center"/>
          </w:tcPr>
          <w:p w14:paraId="7028E42A">
            <w:pPr>
              <w:pageBreakBefore w:val="0"/>
              <w:topLinePunct w:val="0"/>
              <w:bidi w:val="0"/>
              <w:spacing w:line="240" w:lineRule="auto"/>
              <w:ind w:right="0" w:rightChars="0"/>
              <w:jc w:val="center"/>
              <w:rPr>
                <w:rFonts w:hint="eastAsia"/>
                <w:color w:val="auto"/>
                <w:sz w:val="24"/>
                <w:szCs w:val="24"/>
              </w:rPr>
            </w:pPr>
            <w:r>
              <w:rPr>
                <w:rFonts w:hint="eastAsia"/>
                <w:color w:val="auto"/>
                <w:sz w:val="24"/>
                <w:szCs w:val="24"/>
              </w:rPr>
              <w:t>投标报价</w:t>
            </w:r>
          </w:p>
          <w:p w14:paraId="691DDD80">
            <w:pPr>
              <w:pageBreakBefore w:val="0"/>
              <w:topLinePunct w:val="0"/>
              <w:bidi w:val="0"/>
              <w:spacing w:line="240" w:lineRule="auto"/>
              <w:ind w:right="0" w:rightChars="0"/>
              <w:jc w:val="center"/>
              <w:rPr>
                <w:rFonts w:hint="default" w:eastAsia="宋体"/>
                <w:color w:val="auto"/>
                <w:sz w:val="24"/>
                <w:szCs w:val="24"/>
                <w:lang w:val="en-US" w:eastAsia="zh-CN"/>
              </w:rPr>
            </w:pPr>
            <w:r>
              <w:rPr>
                <w:rFonts w:hint="eastAsia"/>
                <w:color w:val="auto"/>
                <w:sz w:val="24"/>
                <w:szCs w:val="24"/>
                <w:lang w:eastAsia="zh-CN"/>
              </w:rPr>
              <w:t>（</w:t>
            </w:r>
            <w:r>
              <w:rPr>
                <w:rFonts w:hint="eastAsia"/>
                <w:color w:val="auto"/>
                <w:sz w:val="24"/>
                <w:szCs w:val="24"/>
                <w:lang w:val="en-US" w:eastAsia="zh-CN"/>
              </w:rPr>
              <w:t>元</w:t>
            </w:r>
            <w:r>
              <w:rPr>
                <w:rFonts w:hint="eastAsia"/>
                <w:color w:val="auto"/>
                <w:sz w:val="24"/>
                <w:szCs w:val="24"/>
                <w:lang w:eastAsia="zh-CN"/>
              </w:rPr>
              <w:t>）</w:t>
            </w:r>
          </w:p>
        </w:tc>
        <w:tc>
          <w:tcPr>
            <w:tcW w:w="1131" w:type="dxa"/>
            <w:tcBorders>
              <w:left w:val="single" w:color="000000" w:sz="4" w:space="0"/>
            </w:tcBorders>
            <w:vAlign w:val="center"/>
          </w:tcPr>
          <w:p w14:paraId="595F6EA4">
            <w:pPr>
              <w:pageBreakBefore w:val="0"/>
              <w:topLinePunct w:val="0"/>
              <w:bidi w:val="0"/>
              <w:spacing w:line="240" w:lineRule="auto"/>
              <w:ind w:right="0" w:rightChars="0"/>
              <w:jc w:val="center"/>
              <w:rPr>
                <w:rFonts w:hint="default" w:eastAsia="宋体"/>
                <w:color w:val="auto"/>
                <w:sz w:val="24"/>
                <w:szCs w:val="24"/>
                <w:lang w:val="en-US" w:eastAsia="zh-CN"/>
              </w:rPr>
            </w:pPr>
            <w:r>
              <w:rPr>
                <w:rFonts w:hint="eastAsia"/>
                <w:color w:val="auto"/>
                <w:sz w:val="24"/>
                <w:szCs w:val="24"/>
                <w:lang w:val="en-US" w:eastAsia="zh-CN"/>
              </w:rPr>
              <w:t>供货期</w:t>
            </w:r>
          </w:p>
        </w:tc>
      </w:tr>
      <w:tr w14:paraId="405D6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7" w:hRule="atLeast"/>
        </w:trPr>
        <w:tc>
          <w:tcPr>
            <w:tcW w:w="1951" w:type="dxa"/>
            <w:vAlign w:val="center"/>
          </w:tcPr>
          <w:p w14:paraId="5752AE97">
            <w:pPr>
              <w:pageBreakBefore w:val="0"/>
              <w:topLinePunct w:val="0"/>
              <w:bidi w:val="0"/>
              <w:spacing w:line="240" w:lineRule="auto"/>
              <w:ind w:left="0" w:leftChars="0" w:right="0" w:rightChars="0" w:firstLine="720" w:firstLineChars="300"/>
              <w:jc w:val="both"/>
              <w:rPr>
                <w:rFonts w:hint="eastAsia" w:eastAsia="宋体"/>
                <w:color w:val="auto"/>
                <w:sz w:val="24"/>
                <w:szCs w:val="24"/>
                <w:lang w:val="en-US" w:eastAsia="zh-CN"/>
              </w:rPr>
            </w:pPr>
            <w:r>
              <w:rPr>
                <w:rFonts w:hint="eastAsia"/>
                <w:color w:val="auto"/>
                <w:sz w:val="24"/>
                <w:szCs w:val="24"/>
                <w:lang w:val="en-US" w:eastAsia="zh-CN"/>
              </w:rPr>
              <w:t>大米</w:t>
            </w:r>
          </w:p>
          <w:p w14:paraId="2EBACE0F">
            <w:pPr>
              <w:pageBreakBefore w:val="0"/>
              <w:topLinePunct w:val="0"/>
              <w:bidi w:val="0"/>
              <w:spacing w:line="240" w:lineRule="auto"/>
              <w:ind w:right="0" w:rightChars="0"/>
              <w:jc w:val="center"/>
              <w:rPr>
                <w:color w:val="auto"/>
                <w:sz w:val="24"/>
                <w:szCs w:val="24"/>
              </w:rPr>
            </w:pPr>
            <w:r>
              <w:rPr>
                <w:rFonts w:hint="eastAsia"/>
                <w:color w:val="auto"/>
                <w:sz w:val="24"/>
                <w:szCs w:val="24"/>
              </w:rPr>
              <w:t>（元/千克）</w:t>
            </w:r>
          </w:p>
        </w:tc>
        <w:tc>
          <w:tcPr>
            <w:tcW w:w="3041" w:type="dxa"/>
            <w:tcBorders>
              <w:right w:val="single" w:color="000000" w:sz="4" w:space="0"/>
            </w:tcBorders>
          </w:tcPr>
          <w:p w14:paraId="6B20FB39">
            <w:pPr>
              <w:pageBreakBefore w:val="0"/>
              <w:topLinePunct w:val="0"/>
              <w:bidi w:val="0"/>
              <w:spacing w:line="240" w:lineRule="auto"/>
              <w:ind w:right="0" w:rightChars="0"/>
              <w:jc w:val="left"/>
              <w:rPr>
                <w:rFonts w:hint="eastAsia"/>
                <w:color w:val="auto"/>
                <w:sz w:val="24"/>
                <w:szCs w:val="24"/>
                <w:lang w:val="en-US" w:eastAsia="zh-CN"/>
              </w:rPr>
            </w:pPr>
            <w:r>
              <w:rPr>
                <w:rFonts w:hint="eastAsia"/>
                <w:color w:val="auto"/>
                <w:sz w:val="24"/>
                <w:szCs w:val="24"/>
                <w:lang w:val="en-US" w:eastAsia="zh-CN"/>
              </w:rPr>
              <w:t>品  牌：</w:t>
            </w:r>
          </w:p>
          <w:p w14:paraId="48BEE2A4">
            <w:pPr>
              <w:pageBreakBefore w:val="0"/>
              <w:topLinePunct w:val="0"/>
              <w:bidi w:val="0"/>
              <w:spacing w:line="240" w:lineRule="auto"/>
              <w:ind w:right="0" w:rightChars="0"/>
              <w:jc w:val="left"/>
              <w:rPr>
                <w:rFonts w:hint="eastAsia"/>
                <w:color w:val="auto"/>
                <w:sz w:val="24"/>
                <w:szCs w:val="24"/>
                <w:lang w:val="en-US" w:eastAsia="zh-CN"/>
              </w:rPr>
            </w:pPr>
            <w:r>
              <w:rPr>
                <w:rFonts w:hint="eastAsia"/>
                <w:color w:val="auto"/>
                <w:sz w:val="24"/>
                <w:szCs w:val="24"/>
                <w:lang w:val="en-US" w:eastAsia="zh-CN"/>
              </w:rPr>
              <w:t>生产商：</w:t>
            </w:r>
          </w:p>
        </w:tc>
        <w:tc>
          <w:tcPr>
            <w:tcW w:w="1710" w:type="dxa"/>
            <w:tcBorders>
              <w:left w:val="single" w:color="000000" w:sz="4" w:space="0"/>
              <w:right w:val="single" w:color="000000" w:sz="4" w:space="0"/>
            </w:tcBorders>
            <w:vAlign w:val="top"/>
          </w:tcPr>
          <w:p w14:paraId="55103186">
            <w:pPr>
              <w:pageBreakBefore w:val="0"/>
              <w:topLinePunct w:val="0"/>
              <w:bidi w:val="0"/>
              <w:spacing w:line="240" w:lineRule="auto"/>
              <w:ind w:left="0" w:leftChars="0" w:right="0" w:rightChars="0" w:firstLine="480" w:firstLineChars="200"/>
              <w:jc w:val="both"/>
              <w:rPr>
                <w:color w:val="auto"/>
                <w:sz w:val="24"/>
                <w:szCs w:val="24"/>
              </w:rPr>
            </w:pPr>
          </w:p>
        </w:tc>
        <w:tc>
          <w:tcPr>
            <w:tcW w:w="1844" w:type="dxa"/>
            <w:tcBorders>
              <w:left w:val="single" w:color="000000" w:sz="4" w:space="0"/>
              <w:right w:val="single" w:color="000000" w:sz="4" w:space="0"/>
            </w:tcBorders>
          </w:tcPr>
          <w:p w14:paraId="0F36C538">
            <w:pPr>
              <w:pageBreakBefore w:val="0"/>
              <w:topLinePunct w:val="0"/>
              <w:bidi w:val="0"/>
              <w:spacing w:line="240" w:lineRule="auto"/>
              <w:ind w:left="0" w:leftChars="0" w:right="0" w:rightChars="0" w:firstLine="480" w:firstLineChars="200"/>
              <w:jc w:val="center"/>
              <w:rPr>
                <w:color w:val="auto"/>
                <w:sz w:val="24"/>
                <w:szCs w:val="24"/>
              </w:rPr>
            </w:pPr>
          </w:p>
        </w:tc>
        <w:tc>
          <w:tcPr>
            <w:tcW w:w="1131" w:type="dxa"/>
            <w:vMerge w:val="restart"/>
            <w:tcBorders>
              <w:left w:val="single" w:color="000000" w:sz="4" w:space="0"/>
            </w:tcBorders>
          </w:tcPr>
          <w:p w14:paraId="20A4CD24">
            <w:pPr>
              <w:pageBreakBefore w:val="0"/>
              <w:topLinePunct w:val="0"/>
              <w:bidi w:val="0"/>
              <w:spacing w:line="240" w:lineRule="auto"/>
              <w:ind w:left="0" w:leftChars="0" w:right="0" w:rightChars="0" w:firstLine="480" w:firstLineChars="200"/>
              <w:jc w:val="center"/>
              <w:rPr>
                <w:color w:val="auto"/>
                <w:sz w:val="24"/>
                <w:szCs w:val="24"/>
              </w:rPr>
            </w:pPr>
          </w:p>
        </w:tc>
      </w:tr>
      <w:tr w14:paraId="2CBCE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8" w:hRule="atLeast"/>
        </w:trPr>
        <w:tc>
          <w:tcPr>
            <w:tcW w:w="1951" w:type="dxa"/>
            <w:vAlign w:val="center"/>
          </w:tcPr>
          <w:p w14:paraId="65C03527">
            <w:pPr>
              <w:pageBreakBefore w:val="0"/>
              <w:topLinePunct w:val="0"/>
              <w:bidi w:val="0"/>
              <w:spacing w:line="240" w:lineRule="auto"/>
              <w:ind w:left="0" w:leftChars="0" w:right="0" w:rightChars="0" w:firstLine="720" w:firstLineChars="300"/>
              <w:jc w:val="both"/>
              <w:rPr>
                <w:color w:val="auto"/>
                <w:sz w:val="24"/>
                <w:szCs w:val="24"/>
              </w:rPr>
            </w:pPr>
            <w:r>
              <w:rPr>
                <w:rFonts w:hint="eastAsia"/>
                <w:color w:val="auto"/>
                <w:sz w:val="24"/>
                <w:szCs w:val="24"/>
              </w:rPr>
              <w:t>面粉</w:t>
            </w:r>
          </w:p>
          <w:p w14:paraId="50809AFC">
            <w:pPr>
              <w:pageBreakBefore w:val="0"/>
              <w:topLinePunct w:val="0"/>
              <w:bidi w:val="0"/>
              <w:spacing w:line="240" w:lineRule="auto"/>
              <w:ind w:right="0" w:rightChars="0"/>
              <w:jc w:val="center"/>
              <w:rPr>
                <w:color w:val="auto"/>
              </w:rPr>
            </w:pPr>
            <w:r>
              <w:rPr>
                <w:rFonts w:hint="eastAsia"/>
                <w:color w:val="auto"/>
                <w:sz w:val="24"/>
                <w:szCs w:val="24"/>
                <w:lang w:eastAsia="zh-CN"/>
              </w:rPr>
              <w:t>（</w:t>
            </w:r>
            <w:r>
              <w:rPr>
                <w:rFonts w:hint="eastAsia"/>
                <w:color w:val="auto"/>
                <w:sz w:val="24"/>
                <w:szCs w:val="24"/>
              </w:rPr>
              <w:t>元/千克</w:t>
            </w:r>
            <w:r>
              <w:rPr>
                <w:rFonts w:hint="eastAsia"/>
                <w:color w:val="auto"/>
                <w:sz w:val="24"/>
                <w:szCs w:val="24"/>
                <w:lang w:eastAsia="zh-CN"/>
              </w:rPr>
              <w:t>）</w:t>
            </w:r>
          </w:p>
        </w:tc>
        <w:tc>
          <w:tcPr>
            <w:tcW w:w="3041" w:type="dxa"/>
            <w:tcBorders>
              <w:right w:val="single" w:color="000000" w:sz="4" w:space="0"/>
            </w:tcBorders>
          </w:tcPr>
          <w:p w14:paraId="2EF75F24">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品  牌：</w:t>
            </w:r>
          </w:p>
          <w:p w14:paraId="74B03467">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生产商：</w:t>
            </w:r>
          </w:p>
        </w:tc>
        <w:tc>
          <w:tcPr>
            <w:tcW w:w="1710" w:type="dxa"/>
            <w:tcBorders>
              <w:left w:val="single" w:color="000000" w:sz="4" w:space="0"/>
              <w:right w:val="single" w:color="000000" w:sz="4" w:space="0"/>
            </w:tcBorders>
            <w:vAlign w:val="top"/>
          </w:tcPr>
          <w:p w14:paraId="14786990">
            <w:pPr>
              <w:pageBreakBefore w:val="0"/>
              <w:topLinePunct w:val="0"/>
              <w:bidi w:val="0"/>
              <w:spacing w:line="240" w:lineRule="auto"/>
              <w:ind w:left="0" w:leftChars="0" w:right="0" w:rightChars="0" w:firstLine="480" w:firstLineChars="200"/>
              <w:jc w:val="center"/>
              <w:rPr>
                <w:color w:val="auto"/>
                <w:sz w:val="24"/>
                <w:szCs w:val="24"/>
              </w:rPr>
            </w:pPr>
          </w:p>
        </w:tc>
        <w:tc>
          <w:tcPr>
            <w:tcW w:w="1844" w:type="dxa"/>
            <w:tcBorders>
              <w:left w:val="single" w:color="000000" w:sz="4" w:space="0"/>
              <w:right w:val="single" w:color="000000" w:sz="4" w:space="0"/>
            </w:tcBorders>
          </w:tcPr>
          <w:p w14:paraId="2159644B">
            <w:pPr>
              <w:pageBreakBefore w:val="0"/>
              <w:topLinePunct w:val="0"/>
              <w:bidi w:val="0"/>
              <w:spacing w:line="240" w:lineRule="auto"/>
              <w:ind w:left="0" w:leftChars="0" w:right="0" w:rightChars="0" w:firstLine="480" w:firstLineChars="200"/>
              <w:jc w:val="center"/>
              <w:rPr>
                <w:color w:val="auto"/>
                <w:sz w:val="24"/>
                <w:szCs w:val="24"/>
              </w:rPr>
            </w:pPr>
          </w:p>
        </w:tc>
        <w:tc>
          <w:tcPr>
            <w:tcW w:w="1131" w:type="dxa"/>
            <w:vMerge w:val="continue"/>
            <w:tcBorders>
              <w:left w:val="single" w:color="000000" w:sz="4" w:space="0"/>
            </w:tcBorders>
          </w:tcPr>
          <w:p w14:paraId="43FB222E">
            <w:pPr>
              <w:pageBreakBefore w:val="0"/>
              <w:topLinePunct w:val="0"/>
              <w:bidi w:val="0"/>
              <w:spacing w:line="240" w:lineRule="auto"/>
              <w:ind w:left="0" w:leftChars="0" w:right="0" w:rightChars="0" w:firstLine="480" w:firstLineChars="200"/>
              <w:jc w:val="center"/>
              <w:rPr>
                <w:color w:val="auto"/>
                <w:sz w:val="24"/>
                <w:szCs w:val="24"/>
              </w:rPr>
            </w:pPr>
          </w:p>
        </w:tc>
      </w:tr>
      <w:tr w14:paraId="28403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49" w:hRule="atLeast"/>
        </w:trPr>
        <w:tc>
          <w:tcPr>
            <w:tcW w:w="1951" w:type="dxa"/>
            <w:vAlign w:val="center"/>
          </w:tcPr>
          <w:p w14:paraId="2AD83E74">
            <w:pPr>
              <w:pageBreakBefore w:val="0"/>
              <w:topLinePunct w:val="0"/>
              <w:bidi w:val="0"/>
              <w:spacing w:line="240" w:lineRule="auto"/>
              <w:ind w:right="0" w:rightChars="0"/>
              <w:jc w:val="center"/>
              <w:rPr>
                <w:rFonts w:hint="eastAsia"/>
                <w:color w:val="auto"/>
                <w:sz w:val="24"/>
                <w:szCs w:val="24"/>
                <w:lang w:eastAsia="zh-CN"/>
              </w:rPr>
            </w:pPr>
            <w:r>
              <w:rPr>
                <w:rFonts w:hint="eastAsia"/>
                <w:color w:val="auto"/>
                <w:sz w:val="24"/>
                <w:szCs w:val="24"/>
                <w:lang w:eastAsia="zh-CN"/>
              </w:rPr>
              <w:t>面制品</w:t>
            </w:r>
          </w:p>
          <w:p w14:paraId="3456399D">
            <w:pPr>
              <w:pageBreakBefore w:val="0"/>
              <w:topLinePunct w:val="0"/>
              <w:bidi w:val="0"/>
              <w:spacing w:line="240" w:lineRule="auto"/>
              <w:ind w:right="0" w:rightChars="0"/>
              <w:jc w:val="center"/>
              <w:rPr>
                <w:rFonts w:hint="eastAsia"/>
                <w:color w:val="auto"/>
                <w:sz w:val="24"/>
                <w:szCs w:val="24"/>
                <w:lang w:eastAsia="zh-CN"/>
              </w:rPr>
            </w:pPr>
            <w:r>
              <w:rPr>
                <w:rFonts w:hint="eastAsia"/>
                <w:color w:val="auto"/>
                <w:sz w:val="24"/>
                <w:szCs w:val="24"/>
                <w:lang w:eastAsia="zh-CN"/>
              </w:rPr>
              <w:t>（元</w:t>
            </w:r>
            <w:r>
              <w:rPr>
                <w:rFonts w:hint="eastAsia"/>
                <w:color w:val="auto"/>
                <w:sz w:val="24"/>
                <w:szCs w:val="24"/>
                <w:lang w:val="en-US" w:eastAsia="zh-CN"/>
              </w:rPr>
              <w:t>/千克</w:t>
            </w:r>
            <w:r>
              <w:rPr>
                <w:rFonts w:hint="eastAsia"/>
                <w:color w:val="auto"/>
                <w:sz w:val="24"/>
                <w:szCs w:val="24"/>
                <w:lang w:eastAsia="zh-CN"/>
              </w:rPr>
              <w:t>）</w:t>
            </w:r>
          </w:p>
        </w:tc>
        <w:tc>
          <w:tcPr>
            <w:tcW w:w="3041" w:type="dxa"/>
            <w:tcBorders>
              <w:right w:val="single" w:color="000000" w:sz="4" w:space="0"/>
            </w:tcBorders>
          </w:tcPr>
          <w:p w14:paraId="154E9FB1">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品  牌：</w:t>
            </w:r>
          </w:p>
          <w:p w14:paraId="04AACD07">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生产商：</w:t>
            </w:r>
          </w:p>
        </w:tc>
        <w:tc>
          <w:tcPr>
            <w:tcW w:w="1710" w:type="dxa"/>
            <w:tcBorders>
              <w:left w:val="single" w:color="000000" w:sz="4" w:space="0"/>
              <w:right w:val="single" w:color="000000" w:sz="4" w:space="0"/>
            </w:tcBorders>
            <w:vAlign w:val="top"/>
          </w:tcPr>
          <w:p w14:paraId="229ED0D9">
            <w:pPr>
              <w:pageBreakBefore w:val="0"/>
              <w:topLinePunct w:val="0"/>
              <w:bidi w:val="0"/>
              <w:spacing w:line="240" w:lineRule="auto"/>
              <w:ind w:right="0" w:rightChars="0"/>
              <w:jc w:val="both"/>
              <w:rPr>
                <w:color w:val="auto"/>
                <w:sz w:val="24"/>
                <w:szCs w:val="24"/>
              </w:rPr>
            </w:pPr>
            <w:r>
              <w:rPr>
                <w:rFonts w:hint="eastAsia"/>
                <w:color w:val="auto"/>
                <w:sz w:val="24"/>
                <w:szCs w:val="24"/>
                <w:lang w:val="en-US" w:eastAsia="zh-CN"/>
              </w:rPr>
              <w:t>投标优惠率（%）：</w:t>
            </w:r>
          </w:p>
        </w:tc>
        <w:tc>
          <w:tcPr>
            <w:tcW w:w="1844" w:type="dxa"/>
            <w:tcBorders>
              <w:left w:val="single" w:color="000000" w:sz="4" w:space="0"/>
              <w:right w:val="single" w:color="000000" w:sz="4" w:space="0"/>
            </w:tcBorders>
          </w:tcPr>
          <w:p w14:paraId="2874A470">
            <w:pPr>
              <w:pageBreakBefore w:val="0"/>
              <w:topLinePunct w:val="0"/>
              <w:bidi w:val="0"/>
              <w:spacing w:line="240" w:lineRule="auto"/>
              <w:ind w:left="0" w:leftChars="0" w:right="0" w:rightChars="0" w:firstLine="480" w:firstLineChars="200"/>
              <w:jc w:val="center"/>
              <w:rPr>
                <w:color w:val="auto"/>
                <w:sz w:val="24"/>
                <w:szCs w:val="24"/>
              </w:rPr>
            </w:pPr>
          </w:p>
        </w:tc>
        <w:tc>
          <w:tcPr>
            <w:tcW w:w="1131" w:type="dxa"/>
            <w:vMerge w:val="continue"/>
            <w:tcBorders>
              <w:left w:val="single" w:color="000000" w:sz="4" w:space="0"/>
            </w:tcBorders>
          </w:tcPr>
          <w:p w14:paraId="647412D0">
            <w:pPr>
              <w:pageBreakBefore w:val="0"/>
              <w:topLinePunct w:val="0"/>
              <w:bidi w:val="0"/>
              <w:spacing w:line="240" w:lineRule="auto"/>
              <w:ind w:left="0" w:leftChars="0" w:right="0" w:rightChars="0" w:firstLine="480" w:firstLineChars="200"/>
              <w:jc w:val="center"/>
              <w:rPr>
                <w:color w:val="auto"/>
                <w:sz w:val="24"/>
                <w:szCs w:val="24"/>
              </w:rPr>
            </w:pPr>
          </w:p>
        </w:tc>
      </w:tr>
      <w:tr w14:paraId="2406F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6" w:hRule="atLeast"/>
        </w:trPr>
        <w:tc>
          <w:tcPr>
            <w:tcW w:w="1951" w:type="dxa"/>
            <w:tcBorders>
              <w:bottom w:val="single" w:color="auto" w:sz="4" w:space="0"/>
            </w:tcBorders>
            <w:vAlign w:val="center"/>
          </w:tcPr>
          <w:p w14:paraId="1645F5E8">
            <w:pPr>
              <w:pageBreakBefore w:val="0"/>
              <w:topLinePunct w:val="0"/>
              <w:bidi w:val="0"/>
              <w:spacing w:line="240" w:lineRule="auto"/>
              <w:ind w:right="0" w:rightChars="0"/>
              <w:jc w:val="center"/>
              <w:rPr>
                <w:rFonts w:hint="eastAsia"/>
                <w:color w:val="auto"/>
                <w:sz w:val="24"/>
                <w:szCs w:val="24"/>
              </w:rPr>
            </w:pPr>
            <w:r>
              <w:rPr>
                <w:rFonts w:hint="eastAsia"/>
                <w:color w:val="auto"/>
                <w:sz w:val="24"/>
                <w:szCs w:val="24"/>
                <w:lang w:val="en-US"/>
              </w:rPr>
              <w:t>菜籽</w:t>
            </w:r>
            <w:r>
              <w:rPr>
                <w:rFonts w:hint="eastAsia"/>
                <w:color w:val="auto"/>
                <w:sz w:val="24"/>
                <w:szCs w:val="24"/>
              </w:rPr>
              <w:t>油</w:t>
            </w:r>
          </w:p>
          <w:p w14:paraId="3824A8C8">
            <w:pPr>
              <w:pageBreakBefore w:val="0"/>
              <w:topLinePunct w:val="0"/>
              <w:bidi w:val="0"/>
              <w:spacing w:line="240" w:lineRule="auto"/>
              <w:ind w:right="0" w:rightChars="0"/>
              <w:jc w:val="center"/>
              <w:rPr>
                <w:color w:val="auto"/>
                <w:sz w:val="24"/>
                <w:szCs w:val="24"/>
              </w:rPr>
            </w:pPr>
            <w:r>
              <w:rPr>
                <w:rFonts w:hint="eastAsia"/>
                <w:color w:val="auto"/>
                <w:sz w:val="24"/>
                <w:szCs w:val="24"/>
              </w:rPr>
              <w:t>（元/</w:t>
            </w:r>
            <w:r>
              <w:rPr>
                <w:rFonts w:hint="eastAsia"/>
                <w:color w:val="auto"/>
                <w:sz w:val="24"/>
                <w:szCs w:val="24"/>
                <w:lang w:eastAsia="zh-CN"/>
              </w:rPr>
              <w:t>升</w:t>
            </w:r>
            <w:r>
              <w:rPr>
                <w:rFonts w:hint="eastAsia"/>
                <w:color w:val="auto"/>
                <w:sz w:val="24"/>
                <w:szCs w:val="24"/>
              </w:rPr>
              <w:t>）</w:t>
            </w:r>
          </w:p>
        </w:tc>
        <w:tc>
          <w:tcPr>
            <w:tcW w:w="3041" w:type="dxa"/>
            <w:tcBorders>
              <w:bottom w:val="single" w:color="auto" w:sz="4" w:space="0"/>
              <w:right w:val="single" w:color="000000" w:sz="4" w:space="0"/>
            </w:tcBorders>
          </w:tcPr>
          <w:p w14:paraId="6B5EC44E">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品  牌：</w:t>
            </w:r>
          </w:p>
          <w:p w14:paraId="2553B66D">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生产商：</w:t>
            </w:r>
          </w:p>
        </w:tc>
        <w:tc>
          <w:tcPr>
            <w:tcW w:w="1710" w:type="dxa"/>
            <w:tcBorders>
              <w:left w:val="single" w:color="000000" w:sz="4" w:space="0"/>
              <w:bottom w:val="single" w:color="auto" w:sz="4" w:space="0"/>
              <w:right w:val="single" w:color="000000" w:sz="4" w:space="0"/>
            </w:tcBorders>
            <w:vAlign w:val="top"/>
          </w:tcPr>
          <w:p w14:paraId="3D6039E6">
            <w:pPr>
              <w:pageBreakBefore w:val="0"/>
              <w:topLinePunct w:val="0"/>
              <w:bidi w:val="0"/>
              <w:spacing w:line="240" w:lineRule="auto"/>
              <w:ind w:left="0" w:leftChars="0" w:right="0" w:rightChars="0" w:firstLine="480" w:firstLineChars="200"/>
              <w:jc w:val="center"/>
              <w:rPr>
                <w:rFonts w:ascii="宋体" w:hAnsi="宋体" w:eastAsia="宋体" w:cs="宋体"/>
                <w:color w:val="auto"/>
                <w:sz w:val="24"/>
                <w:szCs w:val="24"/>
                <w:lang w:val="zh-CN" w:eastAsia="zh-CN" w:bidi="zh-CN"/>
              </w:rPr>
            </w:pPr>
          </w:p>
        </w:tc>
        <w:tc>
          <w:tcPr>
            <w:tcW w:w="1844" w:type="dxa"/>
            <w:tcBorders>
              <w:left w:val="single" w:color="000000" w:sz="4" w:space="0"/>
              <w:bottom w:val="single" w:color="auto" w:sz="4" w:space="0"/>
              <w:right w:val="single" w:color="000000" w:sz="4" w:space="0"/>
            </w:tcBorders>
          </w:tcPr>
          <w:p w14:paraId="01F50226">
            <w:pPr>
              <w:pageBreakBefore w:val="0"/>
              <w:topLinePunct w:val="0"/>
              <w:bidi w:val="0"/>
              <w:spacing w:line="240" w:lineRule="auto"/>
              <w:ind w:left="0" w:leftChars="0" w:right="0" w:rightChars="0" w:firstLine="480" w:firstLineChars="200"/>
              <w:jc w:val="center"/>
              <w:rPr>
                <w:color w:val="auto"/>
                <w:sz w:val="24"/>
                <w:szCs w:val="24"/>
              </w:rPr>
            </w:pPr>
          </w:p>
        </w:tc>
        <w:tc>
          <w:tcPr>
            <w:tcW w:w="1131" w:type="dxa"/>
            <w:vMerge w:val="continue"/>
            <w:tcBorders>
              <w:left w:val="single" w:color="000000" w:sz="4" w:space="0"/>
            </w:tcBorders>
          </w:tcPr>
          <w:p w14:paraId="546478C4">
            <w:pPr>
              <w:pageBreakBefore w:val="0"/>
              <w:topLinePunct w:val="0"/>
              <w:bidi w:val="0"/>
              <w:spacing w:line="240" w:lineRule="auto"/>
              <w:ind w:left="0" w:leftChars="0" w:right="0" w:rightChars="0" w:firstLine="480" w:firstLineChars="200"/>
              <w:jc w:val="center"/>
              <w:rPr>
                <w:color w:val="auto"/>
                <w:sz w:val="24"/>
                <w:szCs w:val="24"/>
              </w:rPr>
            </w:pPr>
          </w:p>
        </w:tc>
      </w:tr>
      <w:tr w14:paraId="736CE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1951" w:type="dxa"/>
            <w:tcBorders>
              <w:bottom w:val="single" w:color="auto" w:sz="4" w:space="0"/>
            </w:tcBorders>
            <w:vAlign w:val="center"/>
          </w:tcPr>
          <w:p w14:paraId="5BD64B1C">
            <w:pPr>
              <w:pageBreakBefore w:val="0"/>
              <w:topLinePunct w:val="0"/>
              <w:bidi w:val="0"/>
              <w:spacing w:line="240" w:lineRule="auto"/>
              <w:ind w:right="0" w:rightChars="0"/>
              <w:jc w:val="center"/>
              <w:rPr>
                <w:rFonts w:hint="eastAsia"/>
                <w:color w:val="auto"/>
                <w:sz w:val="24"/>
                <w:szCs w:val="24"/>
              </w:rPr>
            </w:pPr>
            <w:r>
              <w:rPr>
                <w:rFonts w:hint="eastAsia"/>
                <w:color w:val="auto"/>
                <w:sz w:val="24"/>
                <w:szCs w:val="24"/>
                <w:lang w:val="en-US" w:eastAsia="zh-CN"/>
              </w:rPr>
              <w:t>纯牛奶</w:t>
            </w:r>
          </w:p>
        </w:tc>
        <w:tc>
          <w:tcPr>
            <w:tcW w:w="3041" w:type="dxa"/>
            <w:tcBorders>
              <w:bottom w:val="single" w:color="auto" w:sz="4" w:space="0"/>
              <w:right w:val="single" w:color="000000" w:sz="4" w:space="0"/>
            </w:tcBorders>
          </w:tcPr>
          <w:p w14:paraId="5ACA2A28">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品  牌：</w:t>
            </w:r>
          </w:p>
          <w:p w14:paraId="0953ACB0">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生产商：</w:t>
            </w:r>
          </w:p>
        </w:tc>
        <w:tc>
          <w:tcPr>
            <w:tcW w:w="1710" w:type="dxa"/>
            <w:tcBorders>
              <w:left w:val="single" w:color="000000" w:sz="4" w:space="0"/>
              <w:bottom w:val="single" w:color="auto" w:sz="4" w:space="0"/>
              <w:right w:val="single" w:color="000000" w:sz="4" w:space="0"/>
            </w:tcBorders>
            <w:vAlign w:val="top"/>
          </w:tcPr>
          <w:p w14:paraId="1849D59C">
            <w:pPr>
              <w:pageBreakBefore w:val="0"/>
              <w:topLinePunct w:val="0"/>
              <w:bidi w:val="0"/>
              <w:spacing w:line="240" w:lineRule="auto"/>
              <w:ind w:right="0" w:rightChars="0"/>
              <w:jc w:val="both"/>
              <w:rPr>
                <w:rFonts w:ascii="宋体" w:hAnsi="宋体" w:eastAsia="宋体" w:cs="宋体"/>
                <w:color w:val="auto"/>
                <w:sz w:val="24"/>
                <w:szCs w:val="24"/>
                <w:lang w:val="zh-CN" w:eastAsia="zh-CN" w:bidi="zh-CN"/>
              </w:rPr>
            </w:pPr>
            <w:r>
              <w:rPr>
                <w:rFonts w:hint="eastAsia"/>
                <w:color w:val="auto"/>
                <w:sz w:val="24"/>
                <w:szCs w:val="24"/>
                <w:lang w:val="en-US" w:eastAsia="zh-CN"/>
              </w:rPr>
              <w:t>投标优惠率（%）：</w:t>
            </w:r>
          </w:p>
        </w:tc>
        <w:tc>
          <w:tcPr>
            <w:tcW w:w="1844" w:type="dxa"/>
            <w:tcBorders>
              <w:left w:val="single" w:color="000000" w:sz="4" w:space="0"/>
              <w:bottom w:val="single" w:color="auto" w:sz="4" w:space="0"/>
              <w:right w:val="single" w:color="000000" w:sz="4" w:space="0"/>
            </w:tcBorders>
          </w:tcPr>
          <w:p w14:paraId="7865690D">
            <w:pPr>
              <w:pageBreakBefore w:val="0"/>
              <w:topLinePunct w:val="0"/>
              <w:bidi w:val="0"/>
              <w:spacing w:line="240" w:lineRule="auto"/>
              <w:ind w:left="0" w:leftChars="0" w:right="0" w:rightChars="0" w:firstLine="480" w:firstLineChars="200"/>
              <w:jc w:val="center"/>
              <w:rPr>
                <w:color w:val="auto"/>
                <w:sz w:val="24"/>
                <w:szCs w:val="24"/>
              </w:rPr>
            </w:pPr>
          </w:p>
        </w:tc>
        <w:tc>
          <w:tcPr>
            <w:tcW w:w="1131" w:type="dxa"/>
            <w:vMerge w:val="continue"/>
            <w:tcBorders>
              <w:left w:val="single" w:color="000000" w:sz="4" w:space="0"/>
            </w:tcBorders>
          </w:tcPr>
          <w:p w14:paraId="3DA9F72A">
            <w:pPr>
              <w:pageBreakBefore w:val="0"/>
              <w:topLinePunct w:val="0"/>
              <w:bidi w:val="0"/>
              <w:spacing w:line="240" w:lineRule="auto"/>
              <w:ind w:left="0" w:leftChars="0" w:right="0" w:rightChars="0" w:firstLine="480" w:firstLineChars="200"/>
              <w:jc w:val="center"/>
              <w:rPr>
                <w:color w:val="auto"/>
                <w:sz w:val="24"/>
                <w:szCs w:val="24"/>
              </w:rPr>
            </w:pPr>
          </w:p>
        </w:tc>
      </w:tr>
      <w:tr w14:paraId="7A50D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0" w:hRule="atLeast"/>
        </w:trPr>
        <w:tc>
          <w:tcPr>
            <w:tcW w:w="1951" w:type="dxa"/>
            <w:tcBorders>
              <w:top w:val="single" w:color="auto" w:sz="4" w:space="0"/>
              <w:left w:val="single" w:color="auto" w:sz="4" w:space="0"/>
              <w:bottom w:val="single" w:color="auto" w:sz="4" w:space="0"/>
              <w:right w:val="single" w:color="auto" w:sz="4" w:space="0"/>
            </w:tcBorders>
            <w:vAlign w:val="center"/>
          </w:tcPr>
          <w:p w14:paraId="55D5966D">
            <w:pPr>
              <w:pageBreakBefore w:val="0"/>
              <w:topLinePunct w:val="0"/>
              <w:bidi w:val="0"/>
              <w:spacing w:line="240" w:lineRule="auto"/>
              <w:ind w:right="0" w:rightChars="0" w:firstLine="720" w:firstLineChars="300"/>
              <w:jc w:val="both"/>
              <w:rPr>
                <w:rFonts w:hint="eastAsia"/>
                <w:color w:val="auto"/>
                <w:sz w:val="24"/>
                <w:szCs w:val="24"/>
                <w:lang w:val="en-US" w:eastAsia="zh-CN"/>
              </w:rPr>
            </w:pPr>
            <w:r>
              <w:rPr>
                <w:rFonts w:hint="eastAsia"/>
                <w:color w:val="auto"/>
                <w:sz w:val="24"/>
                <w:szCs w:val="24"/>
                <w:lang w:val="en-US" w:eastAsia="zh-CN"/>
              </w:rPr>
              <w:t>杂粮</w:t>
            </w:r>
          </w:p>
        </w:tc>
        <w:tc>
          <w:tcPr>
            <w:tcW w:w="4751" w:type="dxa"/>
            <w:gridSpan w:val="2"/>
            <w:tcBorders>
              <w:top w:val="single" w:color="auto" w:sz="4" w:space="0"/>
              <w:left w:val="single" w:color="auto" w:sz="4" w:space="0"/>
              <w:bottom w:val="single" w:color="auto" w:sz="4" w:space="0"/>
              <w:right w:val="single" w:color="auto" w:sz="4" w:space="0"/>
            </w:tcBorders>
            <w:vAlign w:val="center"/>
          </w:tcPr>
          <w:p w14:paraId="0EC4A4F3">
            <w:pPr>
              <w:pStyle w:val="12"/>
              <w:pageBreakBefore w:val="0"/>
              <w:topLinePunct w:val="0"/>
              <w:bidi w:val="0"/>
              <w:spacing w:line="240" w:lineRule="auto"/>
              <w:ind w:right="0" w:rightChars="0"/>
              <w:rPr>
                <w:rFonts w:hint="default"/>
                <w:color w:val="auto"/>
                <w:sz w:val="24"/>
                <w:szCs w:val="24"/>
                <w:lang w:val="en-US" w:eastAsia="zh-CN"/>
              </w:rPr>
            </w:pPr>
            <w:r>
              <w:rPr>
                <w:rFonts w:hint="eastAsia"/>
                <w:color w:val="auto"/>
                <w:sz w:val="24"/>
                <w:szCs w:val="24"/>
                <w:lang w:val="en-US" w:eastAsia="zh-CN"/>
              </w:rPr>
              <w:t>投标优惠率（%）：</w:t>
            </w:r>
          </w:p>
        </w:tc>
        <w:tc>
          <w:tcPr>
            <w:tcW w:w="1844" w:type="dxa"/>
            <w:tcBorders>
              <w:top w:val="single" w:color="auto" w:sz="4" w:space="0"/>
              <w:left w:val="single" w:color="auto" w:sz="4" w:space="0"/>
              <w:bottom w:val="single" w:color="auto" w:sz="4" w:space="0"/>
              <w:right w:val="single" w:color="auto" w:sz="4" w:space="0"/>
            </w:tcBorders>
            <w:vAlign w:val="center"/>
          </w:tcPr>
          <w:p w14:paraId="4CC9AFA3">
            <w:pPr>
              <w:pStyle w:val="12"/>
              <w:pageBreakBefore w:val="0"/>
              <w:topLinePunct w:val="0"/>
              <w:bidi w:val="0"/>
              <w:spacing w:line="240" w:lineRule="auto"/>
              <w:ind w:left="0" w:leftChars="0" w:right="0" w:rightChars="0" w:firstLine="480" w:firstLineChars="200"/>
              <w:rPr>
                <w:rFonts w:hint="eastAsia"/>
                <w:color w:val="auto"/>
                <w:sz w:val="24"/>
                <w:szCs w:val="24"/>
                <w:lang w:val="en-US" w:eastAsia="zh-CN"/>
              </w:rPr>
            </w:pPr>
          </w:p>
        </w:tc>
        <w:tc>
          <w:tcPr>
            <w:tcW w:w="1131" w:type="dxa"/>
            <w:vMerge w:val="continue"/>
            <w:tcBorders>
              <w:left w:val="single" w:color="000000" w:sz="4" w:space="0"/>
              <w:bottom w:val="single" w:color="auto" w:sz="4" w:space="0"/>
            </w:tcBorders>
            <w:vAlign w:val="center"/>
          </w:tcPr>
          <w:p w14:paraId="64D43094">
            <w:pPr>
              <w:pStyle w:val="12"/>
              <w:pageBreakBefore w:val="0"/>
              <w:topLinePunct w:val="0"/>
              <w:bidi w:val="0"/>
              <w:spacing w:line="240" w:lineRule="auto"/>
              <w:ind w:left="0" w:leftChars="0" w:right="0" w:rightChars="0" w:firstLine="480" w:firstLineChars="200"/>
              <w:rPr>
                <w:rFonts w:hint="eastAsia"/>
                <w:color w:val="auto"/>
                <w:sz w:val="24"/>
                <w:szCs w:val="24"/>
                <w:lang w:val="en-US" w:eastAsia="zh-CN"/>
              </w:rPr>
            </w:pPr>
          </w:p>
        </w:tc>
      </w:tr>
      <w:tr w14:paraId="2FE4E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46" w:hRule="atLeast"/>
        </w:trPr>
        <w:tc>
          <w:tcPr>
            <w:tcW w:w="1951" w:type="dxa"/>
            <w:tcBorders>
              <w:top w:val="single" w:color="auto" w:sz="4" w:space="0"/>
              <w:right w:val="single" w:color="000000" w:sz="4" w:space="0"/>
            </w:tcBorders>
            <w:vAlign w:val="center"/>
          </w:tcPr>
          <w:p w14:paraId="3718A1D3">
            <w:pPr>
              <w:pageBreakBefore w:val="0"/>
              <w:topLinePunct w:val="0"/>
              <w:bidi w:val="0"/>
              <w:spacing w:line="240" w:lineRule="auto"/>
              <w:ind w:right="0" w:rightChars="0"/>
              <w:jc w:val="both"/>
              <w:rPr>
                <w:rFonts w:hint="default"/>
                <w:color w:val="auto"/>
                <w:u w:val="none"/>
                <w:lang w:val="en-US" w:eastAsia="zh-CN"/>
              </w:rPr>
            </w:pPr>
            <w:r>
              <w:rPr>
                <w:rFonts w:hint="eastAsia"/>
                <w:color w:val="auto"/>
                <w:sz w:val="24"/>
                <w:szCs w:val="24"/>
                <w:lang w:val="en-US" w:eastAsia="zh-CN"/>
              </w:rPr>
              <w:t>投标总报价（元）</w:t>
            </w:r>
          </w:p>
        </w:tc>
        <w:tc>
          <w:tcPr>
            <w:tcW w:w="7726" w:type="dxa"/>
            <w:gridSpan w:val="4"/>
            <w:tcBorders>
              <w:top w:val="single" w:color="auto" w:sz="4" w:space="0"/>
              <w:right w:val="single" w:color="000000" w:sz="4" w:space="0"/>
            </w:tcBorders>
            <w:vAlign w:val="center"/>
          </w:tcPr>
          <w:p w14:paraId="619A4EE5">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大写：</w:t>
            </w:r>
          </w:p>
          <w:p w14:paraId="360EF2DA">
            <w:pPr>
              <w:pStyle w:val="12"/>
              <w:pageBreakBefore w:val="0"/>
              <w:topLinePunct w:val="0"/>
              <w:bidi w:val="0"/>
              <w:spacing w:line="240" w:lineRule="auto"/>
              <w:ind w:right="0" w:rightChars="0"/>
              <w:rPr>
                <w:rFonts w:hint="default"/>
                <w:color w:val="auto"/>
                <w:lang w:val="en-US" w:eastAsia="zh-CN"/>
              </w:rPr>
            </w:pPr>
            <w:r>
              <w:rPr>
                <w:rFonts w:hint="eastAsia"/>
                <w:color w:val="auto"/>
                <w:sz w:val="24"/>
                <w:szCs w:val="24"/>
                <w:lang w:val="en-US" w:eastAsia="zh-CN"/>
              </w:rPr>
              <w:t>小写：</w:t>
            </w:r>
          </w:p>
        </w:tc>
      </w:tr>
      <w:tr w14:paraId="604EF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trPr>
        <w:tc>
          <w:tcPr>
            <w:tcW w:w="9677" w:type="dxa"/>
            <w:gridSpan w:val="5"/>
            <w:tcBorders>
              <w:right w:val="single" w:color="000000" w:sz="4" w:space="0"/>
            </w:tcBorders>
          </w:tcPr>
          <w:p w14:paraId="265D3A00">
            <w:pPr>
              <w:keepNext w:val="0"/>
              <w:keepLines w:val="0"/>
              <w:pageBreakBefore w:val="0"/>
              <w:widowControl w:val="0"/>
              <w:kinsoku/>
              <w:wordWrap/>
              <w:overflowPunct/>
              <w:topLinePunct w:val="0"/>
              <w:autoSpaceDE w:val="0"/>
              <w:autoSpaceDN w:val="0"/>
              <w:bidi w:val="0"/>
              <w:adjustRightInd/>
              <w:snapToGrid/>
              <w:spacing w:line="216" w:lineRule="auto"/>
              <w:ind w:left="0" w:leftChars="0" w:right="0" w:rightChars="0" w:firstLine="482" w:firstLineChars="200"/>
              <w:textAlignment w:val="auto"/>
              <w:rPr>
                <w:rFonts w:hint="eastAsia"/>
                <w:b/>
                <w:bCs/>
                <w:color w:val="auto"/>
                <w:sz w:val="24"/>
                <w:szCs w:val="24"/>
              </w:rPr>
            </w:pPr>
            <w:r>
              <w:rPr>
                <w:rFonts w:hint="eastAsia"/>
                <w:b/>
                <w:bCs/>
                <w:color w:val="auto"/>
                <w:sz w:val="24"/>
                <w:szCs w:val="24"/>
              </w:rPr>
              <w:t>备注：</w:t>
            </w:r>
          </w:p>
          <w:p w14:paraId="2AF3B7E6">
            <w:pPr>
              <w:keepNext w:val="0"/>
              <w:keepLines w:val="0"/>
              <w:pageBreakBefore w:val="0"/>
              <w:widowControl w:val="0"/>
              <w:numPr>
                <w:ilvl w:val="0"/>
                <w:numId w:val="0"/>
              </w:numPr>
              <w:kinsoku/>
              <w:wordWrap/>
              <w:overflowPunct/>
              <w:topLinePunct w:val="0"/>
              <w:autoSpaceDE w:val="0"/>
              <w:autoSpaceDN w:val="0"/>
              <w:bidi w:val="0"/>
              <w:adjustRightInd/>
              <w:snapToGrid/>
              <w:spacing w:line="216" w:lineRule="auto"/>
              <w:ind w:right="0" w:rightChars="0" w:firstLine="480" w:firstLineChars="200"/>
              <w:textAlignment w:val="auto"/>
              <w:rPr>
                <w:rFonts w:hint="eastAsia"/>
                <w:b w:val="0"/>
                <w:bCs w:val="0"/>
                <w:color w:val="auto"/>
                <w:sz w:val="24"/>
                <w:szCs w:val="24"/>
              </w:rPr>
            </w:pPr>
            <w:r>
              <w:rPr>
                <w:rFonts w:hint="eastAsia"/>
                <w:b w:val="0"/>
                <w:bCs w:val="0"/>
                <w:color w:val="auto"/>
                <w:sz w:val="24"/>
                <w:szCs w:val="24"/>
                <w:lang w:val="en-US" w:eastAsia="zh-CN"/>
              </w:rPr>
              <w:t>1.投标人自主报价，但报价不得超过最高限价，超过最高限价的报价视为无效报价，本合同包</w:t>
            </w:r>
            <w:r>
              <w:rPr>
                <w:rFonts w:hint="eastAsia"/>
                <w:b w:val="0"/>
                <w:bCs w:val="0"/>
                <w:color w:val="auto"/>
                <w:sz w:val="24"/>
                <w:szCs w:val="24"/>
              </w:rPr>
              <w:t>大米单价限价为：</w:t>
            </w:r>
            <w:r>
              <w:rPr>
                <w:rFonts w:hint="eastAsia"/>
                <w:b w:val="0"/>
                <w:bCs w:val="0"/>
                <w:color w:val="auto"/>
                <w:sz w:val="24"/>
                <w:szCs w:val="24"/>
                <w:lang w:val="en-US" w:eastAsia="zh-CN"/>
              </w:rPr>
              <w:t>4.78</w:t>
            </w:r>
            <w:r>
              <w:rPr>
                <w:rFonts w:hint="eastAsia"/>
                <w:b w:val="0"/>
                <w:bCs w:val="0"/>
                <w:color w:val="auto"/>
                <w:sz w:val="24"/>
                <w:szCs w:val="24"/>
              </w:rPr>
              <w:t>元/千克，面粉单价限价为：</w:t>
            </w:r>
            <w:r>
              <w:rPr>
                <w:rFonts w:hint="eastAsia"/>
                <w:b w:val="0"/>
                <w:bCs w:val="0"/>
                <w:color w:val="auto"/>
                <w:sz w:val="24"/>
                <w:szCs w:val="24"/>
                <w:lang w:val="en-US" w:eastAsia="zh-CN"/>
              </w:rPr>
              <w:t>4.28</w:t>
            </w:r>
            <w:r>
              <w:rPr>
                <w:rFonts w:hint="eastAsia"/>
                <w:b w:val="0"/>
                <w:bCs w:val="0"/>
                <w:color w:val="auto"/>
                <w:sz w:val="24"/>
                <w:szCs w:val="24"/>
              </w:rPr>
              <w:t>元/千克，</w:t>
            </w:r>
            <w:r>
              <w:rPr>
                <w:rFonts w:hint="eastAsia"/>
                <w:b w:val="0"/>
                <w:bCs w:val="0"/>
                <w:color w:val="auto"/>
                <w:sz w:val="24"/>
                <w:szCs w:val="24"/>
                <w:lang w:eastAsia="zh-CN"/>
              </w:rPr>
              <w:t>菜籽</w:t>
            </w:r>
            <w:r>
              <w:rPr>
                <w:rFonts w:hint="eastAsia"/>
                <w:b w:val="0"/>
                <w:bCs w:val="0"/>
                <w:color w:val="auto"/>
                <w:sz w:val="24"/>
                <w:szCs w:val="24"/>
              </w:rPr>
              <w:t>油单价限价为：</w:t>
            </w:r>
            <w:r>
              <w:rPr>
                <w:rFonts w:hint="eastAsia"/>
                <w:b w:val="0"/>
                <w:bCs w:val="0"/>
                <w:color w:val="auto"/>
                <w:sz w:val="24"/>
                <w:szCs w:val="24"/>
                <w:lang w:val="en-US" w:eastAsia="zh-CN"/>
              </w:rPr>
              <w:t>14.31</w:t>
            </w:r>
            <w:r>
              <w:rPr>
                <w:rFonts w:hint="eastAsia"/>
                <w:b w:val="0"/>
                <w:bCs w:val="0"/>
                <w:color w:val="auto"/>
                <w:sz w:val="24"/>
                <w:szCs w:val="24"/>
              </w:rPr>
              <w:t>元/升；</w:t>
            </w:r>
            <w:r>
              <w:rPr>
                <w:rFonts w:hint="eastAsia" w:cs="宋体"/>
                <w:i w:val="0"/>
                <w:iCs w:val="0"/>
                <w:color w:val="auto"/>
                <w:sz w:val="24"/>
                <w:szCs w:val="24"/>
                <w:shd w:val="clear" w:color="auto" w:fill="auto"/>
                <w:lang w:val="en-US" w:eastAsia="zh-CN"/>
              </w:rPr>
              <w:t>每项分项</w:t>
            </w:r>
            <w:r>
              <w:rPr>
                <w:rFonts w:hint="eastAsia" w:cs="宋体"/>
                <w:color w:val="auto"/>
                <w:sz w:val="24"/>
                <w:szCs w:val="24"/>
                <w:highlight w:val="none"/>
                <w:lang w:val="en-US" w:eastAsia="zh-CN"/>
              </w:rPr>
              <w:t>投标价=</w:t>
            </w:r>
            <w:r>
              <w:rPr>
                <w:rFonts w:hint="eastAsia" w:cs="宋体"/>
                <w:i w:val="0"/>
                <w:iCs w:val="0"/>
                <w:color w:val="auto"/>
                <w:sz w:val="24"/>
                <w:szCs w:val="24"/>
                <w:shd w:val="clear" w:color="auto" w:fill="auto"/>
                <w:lang w:val="en-US" w:eastAsia="zh-CN"/>
              </w:rPr>
              <w:t>每项分项</w:t>
            </w:r>
            <w:r>
              <w:rPr>
                <w:rFonts w:hint="eastAsia" w:cs="宋体"/>
                <w:color w:val="auto"/>
                <w:sz w:val="24"/>
                <w:szCs w:val="24"/>
                <w:highlight w:val="none"/>
                <w:lang w:val="en-US" w:eastAsia="zh-CN"/>
              </w:rPr>
              <w:t>投标单价*</w:t>
            </w:r>
            <w:r>
              <w:rPr>
                <w:rFonts w:hint="eastAsia" w:cs="宋体"/>
                <w:i w:val="0"/>
                <w:iCs w:val="0"/>
                <w:color w:val="auto"/>
                <w:sz w:val="24"/>
                <w:szCs w:val="24"/>
                <w:shd w:val="clear" w:color="auto" w:fill="auto"/>
                <w:lang w:val="en-US" w:eastAsia="zh-CN"/>
              </w:rPr>
              <w:t>每项分项</w:t>
            </w:r>
            <w:r>
              <w:rPr>
                <w:rFonts w:hint="eastAsia" w:cs="宋体"/>
                <w:color w:val="auto"/>
                <w:sz w:val="24"/>
                <w:szCs w:val="24"/>
                <w:highlight w:val="none"/>
                <w:lang w:val="en-US" w:eastAsia="zh-CN"/>
              </w:rPr>
              <w:t>数量。</w:t>
            </w:r>
          </w:p>
          <w:p w14:paraId="757A5168">
            <w:pPr>
              <w:keepNext w:val="0"/>
              <w:keepLines w:val="0"/>
              <w:pageBreakBefore w:val="0"/>
              <w:widowControl w:val="0"/>
              <w:numPr>
                <w:ilvl w:val="0"/>
                <w:numId w:val="0"/>
              </w:numPr>
              <w:kinsoku/>
              <w:wordWrap/>
              <w:overflowPunct/>
              <w:topLinePunct w:val="0"/>
              <w:autoSpaceDE w:val="0"/>
              <w:autoSpaceDN w:val="0"/>
              <w:bidi w:val="0"/>
              <w:adjustRightInd/>
              <w:snapToGrid/>
              <w:spacing w:line="216" w:lineRule="auto"/>
              <w:ind w:right="0" w:rightChars="0" w:firstLine="480" w:firstLineChars="200"/>
              <w:textAlignment w:val="auto"/>
              <w:rPr>
                <w:rFonts w:hint="eastAsia"/>
                <w:color w:val="auto"/>
                <w:lang w:val="en-US" w:eastAsia="zh-CN"/>
              </w:rPr>
            </w:pPr>
            <w:r>
              <w:rPr>
                <w:rFonts w:hint="eastAsia" w:cs="宋体"/>
                <w:i w:val="0"/>
                <w:iCs w:val="0"/>
                <w:color w:val="auto"/>
                <w:sz w:val="24"/>
                <w:szCs w:val="24"/>
                <w:shd w:val="clear" w:color="auto" w:fill="auto"/>
                <w:lang w:val="en-US" w:eastAsia="zh-CN"/>
              </w:rPr>
              <w:t>2.</w:t>
            </w:r>
            <w:r>
              <w:rPr>
                <w:rFonts w:hint="eastAsia" w:ascii="宋体" w:hAnsi="宋体" w:eastAsia="宋体" w:cs="宋体"/>
                <w:i w:val="0"/>
                <w:iCs w:val="0"/>
                <w:color w:val="auto"/>
                <w:sz w:val="24"/>
                <w:szCs w:val="24"/>
                <w:shd w:val="clear" w:color="auto" w:fill="auto"/>
              </w:rPr>
              <w:t>投标报价表中</w:t>
            </w:r>
            <w:r>
              <w:rPr>
                <w:rFonts w:hint="eastAsia" w:ascii="宋体" w:hAnsi="宋体" w:eastAsia="宋体" w:cs="宋体"/>
                <w:i w:val="0"/>
                <w:iCs w:val="0"/>
                <w:color w:val="auto"/>
                <w:sz w:val="24"/>
                <w:szCs w:val="24"/>
                <w:shd w:val="clear" w:color="auto" w:fill="auto"/>
                <w:lang w:eastAsia="zh-CN"/>
              </w:rPr>
              <w:t>（</w:t>
            </w:r>
            <w:r>
              <w:rPr>
                <w:rFonts w:hint="eastAsia" w:cs="宋体"/>
                <w:i w:val="0"/>
                <w:iCs w:val="0"/>
                <w:color w:val="auto"/>
                <w:sz w:val="24"/>
                <w:szCs w:val="24"/>
                <w:shd w:val="clear" w:color="auto" w:fill="auto"/>
                <w:lang w:eastAsia="zh-CN"/>
              </w:rPr>
              <w:t>面制品、纯牛奶、</w:t>
            </w:r>
            <w:r>
              <w:rPr>
                <w:rFonts w:hint="eastAsia" w:ascii="宋体" w:hAnsi="宋体" w:eastAsia="宋体" w:cs="宋体"/>
                <w:i w:val="0"/>
                <w:iCs w:val="0"/>
                <w:color w:val="auto"/>
                <w:sz w:val="24"/>
                <w:szCs w:val="24"/>
                <w:shd w:val="clear" w:color="auto" w:fill="auto"/>
                <w:lang w:eastAsia="zh-CN"/>
              </w:rPr>
              <w:t>杂粮）</w:t>
            </w:r>
            <w:r>
              <w:rPr>
                <w:rFonts w:hint="eastAsia" w:ascii="宋体" w:hAnsi="宋体" w:eastAsia="宋体" w:cs="宋体"/>
                <w:i w:val="0"/>
                <w:iCs w:val="0"/>
                <w:color w:val="auto"/>
                <w:sz w:val="24"/>
                <w:szCs w:val="24"/>
                <w:shd w:val="clear" w:color="auto" w:fill="auto"/>
              </w:rPr>
              <w:t>标明的价格为总价，最终结算价格单价</w:t>
            </w:r>
            <w:r>
              <w:rPr>
                <w:rFonts w:hint="eastAsia" w:ascii="宋体" w:hAnsi="宋体" w:eastAsia="宋体" w:cs="宋体"/>
                <w:i w:val="0"/>
                <w:iCs w:val="0"/>
                <w:color w:val="auto"/>
                <w:sz w:val="24"/>
                <w:szCs w:val="24"/>
                <w:shd w:val="clear" w:color="auto" w:fill="auto"/>
                <w:lang w:eastAsia="zh-CN"/>
              </w:rPr>
              <w:t>因</w:t>
            </w:r>
            <w:r>
              <w:rPr>
                <w:rFonts w:hint="eastAsia" w:ascii="宋体" w:hAnsi="宋体" w:eastAsia="宋体" w:cs="宋体"/>
                <w:i w:val="0"/>
                <w:iCs w:val="0"/>
                <w:color w:val="auto"/>
                <w:sz w:val="24"/>
                <w:szCs w:val="24"/>
                <w:shd w:val="clear" w:color="auto" w:fill="auto"/>
                <w:lang w:val="en-US" w:eastAsia="zh-CN"/>
              </w:rPr>
              <w:t>此类原辅料价格因市场行情波动较大，需采取市场采价确定。</w:t>
            </w:r>
            <w:r>
              <w:rPr>
                <w:rFonts w:hint="eastAsia" w:cs="宋体"/>
                <w:i w:val="0"/>
                <w:iCs w:val="0"/>
                <w:color w:val="auto"/>
                <w:sz w:val="24"/>
                <w:szCs w:val="24"/>
                <w:shd w:val="clear" w:color="auto" w:fill="auto"/>
                <w:lang w:val="en-US" w:eastAsia="zh-CN"/>
              </w:rPr>
              <w:t>具体为汉滨区教体局联合区发改部门及各学校成立询价小组，选择在汉滨城区3家及以上大型商超及农贸市场进行询价。每月开展两次市场采价询价工作，将每次所取的市场均价作为后半月的结算价。故每次结算单价的计算方式为：所取的市场均价为基准*（1-优惠率），依据实际供货量据实结算，</w:t>
            </w:r>
            <w:r>
              <w:rPr>
                <w:rFonts w:hint="eastAsia" w:cs="宋体"/>
                <w:b/>
                <w:bCs/>
                <w:color w:val="auto"/>
                <w:sz w:val="24"/>
                <w:szCs w:val="24"/>
                <w:highlight w:val="none"/>
                <w:lang w:val="en-US" w:eastAsia="zh-CN"/>
              </w:rPr>
              <w:t>面制品投标报价=面制品总预算*（</w:t>
            </w:r>
            <w:r>
              <w:rPr>
                <w:rFonts w:hint="eastAsia" w:cs="宋体"/>
                <w:b/>
                <w:bCs/>
                <w:i w:val="0"/>
                <w:iCs w:val="0"/>
                <w:color w:val="auto"/>
                <w:sz w:val="24"/>
                <w:szCs w:val="24"/>
                <w:shd w:val="clear" w:color="auto" w:fill="auto"/>
                <w:lang w:val="en-US" w:eastAsia="zh-CN"/>
              </w:rPr>
              <w:t>1-</w:t>
            </w:r>
            <w:r>
              <w:rPr>
                <w:rFonts w:hint="eastAsia" w:cs="宋体"/>
                <w:b/>
                <w:bCs/>
                <w:color w:val="auto"/>
                <w:sz w:val="24"/>
                <w:szCs w:val="24"/>
                <w:highlight w:val="none"/>
                <w:lang w:val="en-US" w:eastAsia="zh-CN"/>
              </w:rPr>
              <w:t>投标优惠率），纯牛奶投标报价=纯牛奶总预算*（</w:t>
            </w:r>
            <w:r>
              <w:rPr>
                <w:rFonts w:hint="eastAsia" w:cs="宋体"/>
                <w:b/>
                <w:bCs/>
                <w:i w:val="0"/>
                <w:iCs w:val="0"/>
                <w:color w:val="auto"/>
                <w:sz w:val="24"/>
                <w:szCs w:val="24"/>
                <w:shd w:val="clear" w:color="auto" w:fill="auto"/>
                <w:lang w:val="en-US" w:eastAsia="zh-CN"/>
              </w:rPr>
              <w:t>1-</w:t>
            </w:r>
            <w:r>
              <w:rPr>
                <w:rFonts w:hint="eastAsia" w:cs="宋体"/>
                <w:b/>
                <w:bCs/>
                <w:color w:val="auto"/>
                <w:sz w:val="24"/>
                <w:szCs w:val="24"/>
                <w:highlight w:val="none"/>
                <w:lang w:val="en-US" w:eastAsia="zh-CN"/>
              </w:rPr>
              <w:t>投标优惠率），杂粮投标报价=杂粮总预算*（</w:t>
            </w:r>
            <w:r>
              <w:rPr>
                <w:rFonts w:hint="eastAsia" w:cs="宋体"/>
                <w:b/>
                <w:bCs/>
                <w:i w:val="0"/>
                <w:iCs w:val="0"/>
                <w:color w:val="auto"/>
                <w:sz w:val="24"/>
                <w:szCs w:val="24"/>
                <w:shd w:val="clear" w:color="auto" w:fill="auto"/>
                <w:lang w:val="en-US" w:eastAsia="zh-CN"/>
              </w:rPr>
              <w:t>1-</w:t>
            </w:r>
            <w:r>
              <w:rPr>
                <w:rFonts w:hint="eastAsia" w:cs="宋体"/>
                <w:b/>
                <w:bCs/>
                <w:color w:val="auto"/>
                <w:sz w:val="24"/>
                <w:szCs w:val="24"/>
                <w:highlight w:val="none"/>
                <w:lang w:val="en-US" w:eastAsia="zh-CN"/>
              </w:rPr>
              <w:t>投标优惠率）</w:t>
            </w:r>
            <w:r>
              <w:rPr>
                <w:rFonts w:hint="eastAsia"/>
                <w:color w:val="auto"/>
                <w:lang w:val="en-US" w:eastAsia="zh-CN"/>
              </w:rPr>
              <w:t>。</w:t>
            </w:r>
          </w:p>
          <w:p w14:paraId="3A0254DC">
            <w:pPr>
              <w:keepNext w:val="0"/>
              <w:keepLines w:val="0"/>
              <w:pageBreakBefore w:val="0"/>
              <w:widowControl w:val="0"/>
              <w:numPr>
                <w:ilvl w:val="0"/>
                <w:numId w:val="0"/>
              </w:numPr>
              <w:kinsoku/>
              <w:wordWrap/>
              <w:overflowPunct/>
              <w:topLinePunct w:val="0"/>
              <w:autoSpaceDE w:val="0"/>
              <w:autoSpaceDN w:val="0"/>
              <w:bidi w:val="0"/>
              <w:adjustRightInd/>
              <w:snapToGrid/>
              <w:spacing w:line="216" w:lineRule="auto"/>
              <w:ind w:left="440" w:leftChars="0" w:right="0" w:rightChars="0"/>
              <w:textAlignment w:val="auto"/>
              <w:rPr>
                <w:rFonts w:hint="eastAsia"/>
                <w:b w:val="0"/>
                <w:bCs w:val="0"/>
                <w:color w:val="auto"/>
                <w:sz w:val="24"/>
                <w:szCs w:val="24"/>
                <w:lang w:val="en-US" w:eastAsia="zh-CN"/>
              </w:rPr>
            </w:pPr>
            <w:r>
              <w:rPr>
                <w:rFonts w:hint="eastAsia"/>
                <w:b w:val="0"/>
                <w:bCs w:val="0"/>
                <w:color w:val="auto"/>
                <w:sz w:val="24"/>
                <w:szCs w:val="24"/>
                <w:lang w:val="en-US" w:eastAsia="zh-CN"/>
              </w:rPr>
              <w:t>3.为便于评审，以投标总报价作为评审依据（投标总价为以上报价表中所有分项报价之和），结算时将以中标单价按实际采购数量据实结算。</w:t>
            </w:r>
          </w:p>
          <w:p w14:paraId="377380B3">
            <w:pPr>
              <w:keepNext w:val="0"/>
              <w:keepLines w:val="0"/>
              <w:pageBreakBefore w:val="0"/>
              <w:widowControl w:val="0"/>
              <w:kinsoku/>
              <w:wordWrap/>
              <w:overflowPunct/>
              <w:topLinePunct w:val="0"/>
              <w:autoSpaceDE w:val="0"/>
              <w:autoSpaceDN w:val="0"/>
              <w:bidi w:val="0"/>
              <w:adjustRightInd/>
              <w:snapToGrid/>
              <w:spacing w:line="216" w:lineRule="auto"/>
              <w:ind w:firstLine="482" w:firstLineChars="200"/>
              <w:textAlignment w:val="auto"/>
              <w:rPr>
                <w:rFonts w:hint="default"/>
                <w:color w:val="auto"/>
                <w:lang w:val="en-US" w:eastAsia="zh-CN"/>
              </w:rPr>
            </w:pPr>
            <w:r>
              <w:rPr>
                <w:rFonts w:hint="eastAsia" w:cs="宋体"/>
                <w:b/>
                <w:bCs/>
                <w:color w:val="auto"/>
                <w:kern w:val="0"/>
                <w:sz w:val="24"/>
                <w:szCs w:val="24"/>
                <w:lang w:val="en-US" w:eastAsia="zh-CN" w:bidi="ar"/>
              </w:rPr>
              <w:t>4.报价时数量等相关数据参考本招标文件《第三章 招标采购内容及服务要求》的数据。</w:t>
            </w:r>
          </w:p>
          <w:p w14:paraId="1CEF5934">
            <w:pPr>
              <w:keepNext w:val="0"/>
              <w:keepLines w:val="0"/>
              <w:pageBreakBefore w:val="0"/>
              <w:widowControl w:val="0"/>
              <w:kinsoku/>
              <w:wordWrap/>
              <w:overflowPunct/>
              <w:topLinePunct w:val="0"/>
              <w:autoSpaceDE w:val="0"/>
              <w:autoSpaceDN w:val="0"/>
              <w:bidi w:val="0"/>
              <w:adjustRightInd/>
              <w:snapToGrid/>
              <w:spacing w:line="216" w:lineRule="auto"/>
              <w:ind w:left="0" w:leftChars="0" w:right="0" w:rightChars="0" w:firstLine="480" w:firstLineChars="200"/>
              <w:textAlignment w:val="auto"/>
              <w:rPr>
                <w:rFonts w:hint="eastAsia"/>
                <w:color w:val="auto"/>
                <w:sz w:val="24"/>
                <w:szCs w:val="24"/>
              </w:rPr>
            </w:pPr>
            <w:r>
              <w:rPr>
                <w:rFonts w:hint="eastAsia"/>
                <w:color w:val="auto"/>
                <w:sz w:val="24"/>
                <w:szCs w:val="24"/>
                <w:lang w:val="en-US" w:eastAsia="zh-CN"/>
              </w:rPr>
              <w:t>5.报价应</w:t>
            </w:r>
            <w:r>
              <w:rPr>
                <w:rFonts w:hint="eastAsia"/>
                <w:color w:val="auto"/>
                <w:sz w:val="24"/>
                <w:szCs w:val="24"/>
              </w:rPr>
              <w:t>包括</w:t>
            </w:r>
            <w:r>
              <w:rPr>
                <w:rFonts w:hint="eastAsia"/>
                <w:color w:val="auto"/>
                <w:sz w:val="24"/>
                <w:szCs w:val="24"/>
                <w:lang w:eastAsia="zh-CN"/>
              </w:rPr>
              <w:t>涉及</w:t>
            </w:r>
            <w:r>
              <w:rPr>
                <w:rFonts w:hint="eastAsia"/>
                <w:color w:val="auto"/>
                <w:sz w:val="24"/>
                <w:szCs w:val="24"/>
              </w:rPr>
              <w:t>的食品采购、包装、运输、装卸、加工、供货服务期限、配送</w:t>
            </w:r>
            <w:r>
              <w:rPr>
                <w:rFonts w:hint="eastAsia"/>
                <w:color w:val="auto"/>
                <w:sz w:val="24"/>
                <w:szCs w:val="24"/>
                <w:lang w:eastAsia="zh-CN"/>
              </w:rPr>
              <w:t>（</w:t>
            </w:r>
            <w:r>
              <w:rPr>
                <w:rFonts w:hint="eastAsia"/>
                <w:color w:val="auto"/>
                <w:sz w:val="24"/>
                <w:szCs w:val="24"/>
              </w:rPr>
              <w:t>配送到指定学校地点</w:t>
            </w:r>
            <w:r>
              <w:rPr>
                <w:rFonts w:hint="eastAsia"/>
                <w:color w:val="auto"/>
                <w:sz w:val="24"/>
                <w:szCs w:val="24"/>
                <w:lang w:eastAsia="zh-CN"/>
              </w:rPr>
              <w:t>）</w:t>
            </w:r>
            <w:r>
              <w:rPr>
                <w:rFonts w:hint="eastAsia"/>
                <w:color w:val="auto"/>
                <w:sz w:val="24"/>
                <w:szCs w:val="24"/>
              </w:rPr>
              <w:t>、售后服务及国家按现行税收政策征收的一切税费等。</w:t>
            </w:r>
          </w:p>
          <w:p w14:paraId="2A3A1DDD">
            <w:pPr>
              <w:keepNext w:val="0"/>
              <w:keepLines w:val="0"/>
              <w:pageBreakBefore w:val="0"/>
              <w:widowControl w:val="0"/>
              <w:kinsoku/>
              <w:wordWrap/>
              <w:overflowPunct/>
              <w:topLinePunct w:val="0"/>
              <w:autoSpaceDE w:val="0"/>
              <w:autoSpaceDN w:val="0"/>
              <w:bidi w:val="0"/>
              <w:adjustRightInd/>
              <w:snapToGrid/>
              <w:spacing w:line="216" w:lineRule="auto"/>
              <w:ind w:left="0" w:leftChars="0" w:right="0" w:rightChars="0" w:firstLine="480" w:firstLineChars="200"/>
              <w:textAlignment w:val="auto"/>
              <w:rPr>
                <w:rFonts w:hint="eastAsia"/>
                <w:color w:val="auto"/>
                <w:sz w:val="24"/>
                <w:szCs w:val="24"/>
                <w:lang w:val="en-US" w:eastAsia="zh-CN"/>
              </w:rPr>
            </w:pPr>
            <w:r>
              <w:rPr>
                <w:rFonts w:hint="eastAsia"/>
                <w:color w:val="auto"/>
                <w:sz w:val="24"/>
                <w:szCs w:val="24"/>
                <w:lang w:val="en-US" w:eastAsia="zh-CN"/>
              </w:rPr>
              <w:t>6.</w:t>
            </w:r>
            <w:r>
              <w:rPr>
                <w:rFonts w:hint="eastAsia"/>
                <w:color w:val="auto"/>
                <w:sz w:val="24"/>
                <w:szCs w:val="24"/>
              </w:rPr>
              <w:t>表内报价内容以元为单位，可精确到分。</w:t>
            </w:r>
          </w:p>
        </w:tc>
      </w:tr>
    </w:tbl>
    <w:p w14:paraId="2A3AE641">
      <w:pPr>
        <w:pageBreakBefore w:val="0"/>
        <w:topLinePunct w:val="0"/>
        <w:bidi w:val="0"/>
        <w:spacing w:line="500" w:lineRule="exact"/>
        <w:ind w:left="0" w:leftChars="0" w:right="0" w:rightChars="0" w:firstLine="480" w:firstLineChars="200"/>
        <w:jc w:val="both"/>
        <w:rPr>
          <w:rFonts w:hint="eastAsia"/>
          <w:color w:val="auto"/>
          <w:sz w:val="24"/>
          <w:szCs w:val="24"/>
          <w:lang w:val="en-US"/>
        </w:rPr>
      </w:pPr>
      <w:r>
        <w:rPr>
          <w:rFonts w:hint="eastAsia"/>
          <w:color w:val="auto"/>
          <w:sz w:val="24"/>
          <w:szCs w:val="24"/>
          <w:lang w:eastAsia="zh-CN"/>
        </w:rPr>
        <w:t>供应商（</w:t>
      </w:r>
      <w:r>
        <w:rPr>
          <w:rFonts w:hint="eastAsia"/>
          <w:color w:val="auto"/>
          <w:sz w:val="24"/>
          <w:szCs w:val="24"/>
          <w:lang w:val="en-US" w:eastAsia="zh-CN"/>
        </w:rPr>
        <w:t>公章</w:t>
      </w:r>
      <w:r>
        <w:rPr>
          <w:rFonts w:hint="eastAsia"/>
          <w:color w:val="auto"/>
          <w:sz w:val="24"/>
          <w:szCs w:val="24"/>
          <w:lang w:eastAsia="zh-CN"/>
        </w:rPr>
        <w:t>）：</w:t>
      </w:r>
    </w:p>
    <w:p w14:paraId="2C8733F6">
      <w:pPr>
        <w:pageBreakBefore w:val="0"/>
        <w:topLinePunct w:val="0"/>
        <w:bidi w:val="0"/>
        <w:spacing w:line="500" w:lineRule="exact"/>
        <w:ind w:left="0" w:leftChars="0" w:right="0" w:rightChars="0" w:firstLine="480" w:firstLineChars="200"/>
        <w:jc w:val="both"/>
        <w:rPr>
          <w:rFonts w:hint="eastAsia"/>
          <w:color w:val="auto"/>
          <w:sz w:val="24"/>
          <w:szCs w:val="24"/>
          <w:lang w:val="en-US" w:eastAsia="zh-CN"/>
        </w:rPr>
      </w:pPr>
      <w:r>
        <w:rPr>
          <w:rFonts w:hint="eastAsia"/>
          <w:color w:val="auto"/>
          <w:sz w:val="24"/>
          <w:szCs w:val="24"/>
          <w:lang w:val="en-US" w:eastAsia="zh-CN"/>
        </w:rPr>
        <w:t>法定代表人或授权委托人（签字或盖章）：</w:t>
      </w:r>
    </w:p>
    <w:p w14:paraId="5B426E7E">
      <w:pPr>
        <w:pageBreakBefore w:val="0"/>
        <w:topLinePunct w:val="0"/>
        <w:bidi w:val="0"/>
        <w:spacing w:line="500" w:lineRule="exact"/>
        <w:ind w:left="0" w:leftChars="0" w:right="0" w:rightChars="0" w:firstLine="480" w:firstLineChars="200"/>
        <w:jc w:val="both"/>
        <w:rPr>
          <w:rFonts w:hint="eastAsia"/>
          <w:b/>
          <w:bCs/>
          <w:color w:val="auto"/>
          <w:sz w:val="32"/>
          <w:szCs w:val="32"/>
          <w:lang w:val="en-US" w:eastAsia="zh-CN"/>
        </w:rPr>
      </w:pPr>
      <w:r>
        <w:rPr>
          <w:rFonts w:hint="eastAsia"/>
          <w:color w:val="auto"/>
          <w:sz w:val="24"/>
          <w:szCs w:val="24"/>
          <w:lang w:val="en-US" w:eastAsia="zh-CN"/>
        </w:rPr>
        <w:t>日期：</w:t>
      </w:r>
      <w:r>
        <w:rPr>
          <w:rFonts w:hint="eastAsia"/>
          <w:color w:val="auto"/>
          <w:sz w:val="24"/>
          <w:szCs w:val="24"/>
        </w:rPr>
        <w:t xml:space="preserve">年 </w:t>
      </w:r>
      <w:r>
        <w:rPr>
          <w:rFonts w:hint="eastAsia"/>
          <w:color w:val="auto"/>
          <w:sz w:val="24"/>
          <w:szCs w:val="24"/>
          <w:lang w:val="en-US" w:eastAsia="zh-CN"/>
        </w:rPr>
        <w:t xml:space="preserve">  </w:t>
      </w:r>
      <w:r>
        <w:rPr>
          <w:rFonts w:hint="eastAsia"/>
          <w:color w:val="auto"/>
          <w:sz w:val="24"/>
          <w:szCs w:val="24"/>
        </w:rPr>
        <w:t xml:space="preserve">月 </w:t>
      </w:r>
      <w:r>
        <w:rPr>
          <w:rFonts w:hint="eastAsia"/>
          <w:color w:val="auto"/>
          <w:sz w:val="24"/>
          <w:szCs w:val="24"/>
          <w:lang w:val="en-US" w:eastAsia="zh-CN"/>
        </w:rPr>
        <w:t xml:space="preserve">  </w:t>
      </w:r>
      <w:r>
        <w:rPr>
          <w:rFonts w:hint="eastAsia"/>
          <w:color w:val="auto"/>
          <w:sz w:val="24"/>
          <w:szCs w:val="24"/>
        </w:rPr>
        <w:t>日</w:t>
      </w:r>
    </w:p>
    <w:p w14:paraId="34E9394F">
      <w:pPr>
        <w:pageBreakBefore w:val="0"/>
        <w:topLinePunct w:val="0"/>
        <w:bidi w:val="0"/>
        <w:spacing w:line="500" w:lineRule="exact"/>
        <w:ind w:left="0" w:leftChars="0" w:right="0" w:rightChars="0" w:firstLine="643" w:firstLineChars="200"/>
        <w:jc w:val="center"/>
        <w:rPr>
          <w:rFonts w:hint="eastAsia"/>
          <w:b/>
          <w:bCs/>
          <w:color w:val="auto"/>
          <w:sz w:val="32"/>
          <w:szCs w:val="32"/>
          <w:lang w:val="en-US" w:eastAsia="zh-CN"/>
        </w:rPr>
      </w:pPr>
    </w:p>
    <w:p w14:paraId="2FFB178F">
      <w:pPr>
        <w:pageBreakBefore w:val="0"/>
        <w:topLinePunct w:val="0"/>
        <w:bidi w:val="0"/>
        <w:spacing w:line="500" w:lineRule="exact"/>
        <w:ind w:left="0" w:leftChars="0" w:right="0" w:rightChars="0" w:firstLine="643" w:firstLineChars="200"/>
        <w:jc w:val="center"/>
        <w:rPr>
          <w:rFonts w:hint="default" w:eastAsia="宋体"/>
          <w:b/>
          <w:bCs/>
          <w:color w:val="auto"/>
          <w:lang w:val="en-US" w:eastAsia="zh-CN"/>
        </w:rPr>
      </w:pPr>
      <w:r>
        <w:rPr>
          <w:rFonts w:hint="eastAsia"/>
          <w:b/>
          <w:bCs/>
          <w:color w:val="auto"/>
          <w:sz w:val="32"/>
          <w:szCs w:val="32"/>
          <w:lang w:val="en-US" w:eastAsia="zh-CN"/>
        </w:rPr>
        <w:t>合同包二</w:t>
      </w:r>
    </w:p>
    <w:p w14:paraId="38962CA2">
      <w:pPr>
        <w:pStyle w:val="12"/>
        <w:pageBreakBefore w:val="0"/>
        <w:topLinePunct w:val="0"/>
        <w:bidi w:val="0"/>
        <w:spacing w:line="500" w:lineRule="exact"/>
        <w:ind w:left="0" w:leftChars="0" w:right="0" w:rightChars="0" w:firstLine="480" w:firstLineChars="200"/>
        <w:rPr>
          <w:color w:val="auto"/>
          <w:sz w:val="12"/>
        </w:rPr>
      </w:pPr>
      <w:r>
        <w:rPr>
          <w:color w:val="auto"/>
        </w:rPr>
        <w:t>项目名称：</w:t>
      </w:r>
    </w:p>
    <w:tbl>
      <w:tblPr>
        <w:tblStyle w:val="23"/>
        <w:tblpPr w:leftFromText="180" w:rightFromText="180" w:vertAnchor="text" w:horzAnchor="page" w:tblpX="868" w:tblpY="200"/>
        <w:tblOverlap w:val="never"/>
        <w:tblW w:w="10359"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714"/>
        <w:gridCol w:w="4106"/>
        <w:gridCol w:w="2361"/>
        <w:gridCol w:w="1208"/>
        <w:gridCol w:w="970"/>
      </w:tblGrid>
      <w:tr w14:paraId="12BCB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62" w:hRule="atLeast"/>
        </w:trPr>
        <w:tc>
          <w:tcPr>
            <w:tcW w:w="1714" w:type="dxa"/>
            <w:vAlign w:val="center"/>
          </w:tcPr>
          <w:p w14:paraId="0FD81D34">
            <w:pPr>
              <w:pageBreakBefore w:val="0"/>
              <w:topLinePunct w:val="0"/>
              <w:bidi w:val="0"/>
              <w:spacing w:line="240" w:lineRule="auto"/>
              <w:ind w:left="0" w:leftChars="0" w:right="0" w:rightChars="0" w:firstLine="480" w:firstLineChars="200"/>
              <w:jc w:val="center"/>
              <w:rPr>
                <w:color w:val="auto"/>
                <w:sz w:val="24"/>
                <w:szCs w:val="24"/>
              </w:rPr>
            </w:pPr>
            <w:r>
              <w:rPr>
                <w:color w:val="auto"/>
                <w:sz w:val="24"/>
                <w:szCs w:val="24"/>
                <w:lang w:val="en-US" w:bidi="ar-SA"/>
              </w:rPr>
              <mc:AlternateContent>
                <mc:Choice Requires="wps">
                  <w:drawing>
                    <wp:anchor distT="0" distB="0" distL="114300" distR="114300" simplePos="0" relativeHeight="251674624" behindDoc="0" locked="0" layoutInCell="1" allowOverlap="1">
                      <wp:simplePos x="0" y="0"/>
                      <wp:positionH relativeFrom="column">
                        <wp:posOffset>11430</wp:posOffset>
                      </wp:positionH>
                      <wp:positionV relativeFrom="paragraph">
                        <wp:posOffset>8890</wp:posOffset>
                      </wp:positionV>
                      <wp:extent cx="1061720" cy="605155"/>
                      <wp:effectExtent l="2540" t="4445" r="2540" b="19050"/>
                      <wp:wrapNone/>
                      <wp:docPr id="2" name="直线 23"/>
                      <wp:cNvGraphicFramePr/>
                      <a:graphic xmlns:a="http://schemas.openxmlformats.org/drawingml/2006/main">
                        <a:graphicData uri="http://schemas.microsoft.com/office/word/2010/wordprocessingShape">
                          <wps:wsp>
                            <wps:cNvCnPr/>
                            <wps:spPr>
                              <a:xfrm>
                                <a:off x="0" y="0"/>
                                <a:ext cx="1061720" cy="605155"/>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线 23" o:spid="_x0000_s1026" o:spt="20" style="position:absolute;left:0pt;margin-left:0.9pt;margin-top:0.7pt;height:47.65pt;width:83.6pt;z-index:251674624;mso-width-relative:page;mso-height-relative:page;" filled="f" stroked="t" coordsize="21600,21600" o:gfxdata="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mMdaDUAAAABgEAAA8A&#10;AAAAAAAAAQAgAAAAIgAAAGRycy9kb3ducmV2LnhtbFBLAQIUABQAAAAIAIdO4kBvhNaz4gEAANUD&#10;AAAOAAAAAAAAAAEAIAAAACMBAABkcnMvZTJvRG9jLnhtbFBLBQYAAAAABgAGAFkBAAB3BQAAAAA=&#10;">
                      <v:fill on="f" focussize="0,0"/>
                      <v:stroke color="#000000" joinstyle="round"/>
                      <v:imagedata o:title=""/>
                      <o:lock v:ext="edit" aspectratio="f"/>
                    </v:line>
                  </w:pict>
                </mc:Fallback>
              </mc:AlternateContent>
            </w:r>
            <w:r>
              <w:rPr>
                <w:rFonts w:hint="eastAsia"/>
                <w:color w:val="auto"/>
                <w:sz w:val="24"/>
                <w:szCs w:val="24"/>
                <w:lang w:val="en-US"/>
              </w:rPr>
              <w:t xml:space="preserve"> </w:t>
            </w:r>
            <w:r>
              <w:rPr>
                <w:rFonts w:hint="eastAsia"/>
                <w:color w:val="auto"/>
                <w:sz w:val="24"/>
                <w:szCs w:val="24"/>
              </w:rPr>
              <w:t>报价内容</w:t>
            </w:r>
          </w:p>
          <w:p w14:paraId="4843DF07">
            <w:pPr>
              <w:pageBreakBefore w:val="0"/>
              <w:topLinePunct w:val="0"/>
              <w:bidi w:val="0"/>
              <w:spacing w:line="240" w:lineRule="auto"/>
              <w:ind w:left="0" w:leftChars="0" w:right="0" w:rightChars="0" w:firstLine="480" w:firstLineChars="200"/>
              <w:jc w:val="center"/>
              <w:rPr>
                <w:color w:val="auto"/>
                <w:sz w:val="24"/>
                <w:szCs w:val="24"/>
              </w:rPr>
            </w:pPr>
          </w:p>
          <w:p w14:paraId="249E4B83">
            <w:pPr>
              <w:pageBreakBefore w:val="0"/>
              <w:topLinePunct w:val="0"/>
              <w:bidi w:val="0"/>
              <w:spacing w:line="240" w:lineRule="auto"/>
              <w:ind w:right="0" w:rightChars="0"/>
              <w:jc w:val="both"/>
              <w:rPr>
                <w:color w:val="auto"/>
                <w:sz w:val="24"/>
                <w:szCs w:val="24"/>
              </w:rPr>
            </w:pPr>
            <w:r>
              <w:rPr>
                <w:rFonts w:hint="eastAsia"/>
                <w:color w:val="auto"/>
                <w:sz w:val="24"/>
                <w:szCs w:val="24"/>
              </w:rPr>
              <w:t>投标内容</w:t>
            </w:r>
          </w:p>
        </w:tc>
        <w:tc>
          <w:tcPr>
            <w:tcW w:w="4106" w:type="dxa"/>
            <w:tcBorders>
              <w:right w:val="single" w:color="000000" w:sz="4" w:space="0"/>
            </w:tcBorders>
            <w:vAlign w:val="center"/>
          </w:tcPr>
          <w:p w14:paraId="5561EEB0">
            <w:pPr>
              <w:pageBreakBefore w:val="0"/>
              <w:topLinePunct w:val="0"/>
              <w:bidi w:val="0"/>
              <w:spacing w:line="240" w:lineRule="auto"/>
              <w:ind w:left="0" w:leftChars="0" w:right="0" w:rightChars="0" w:firstLine="1680" w:firstLineChars="700"/>
              <w:jc w:val="both"/>
              <w:rPr>
                <w:rFonts w:hint="default"/>
                <w:color w:val="auto"/>
                <w:sz w:val="24"/>
                <w:szCs w:val="24"/>
                <w:lang w:val="en-US" w:eastAsia="zh-CN"/>
              </w:rPr>
            </w:pPr>
            <w:r>
              <w:rPr>
                <w:rFonts w:hint="eastAsia"/>
                <w:color w:val="auto"/>
                <w:sz w:val="24"/>
                <w:szCs w:val="24"/>
                <w:lang w:val="en-US" w:eastAsia="zh-CN"/>
              </w:rPr>
              <w:t>所投产品</w:t>
            </w:r>
          </w:p>
        </w:tc>
        <w:tc>
          <w:tcPr>
            <w:tcW w:w="2361" w:type="dxa"/>
            <w:tcBorders>
              <w:left w:val="single" w:color="000000" w:sz="4" w:space="0"/>
              <w:right w:val="single" w:color="000000" w:sz="4" w:space="0"/>
            </w:tcBorders>
            <w:vAlign w:val="center"/>
          </w:tcPr>
          <w:p w14:paraId="6811B69E">
            <w:pPr>
              <w:pageBreakBefore w:val="0"/>
              <w:topLinePunct w:val="0"/>
              <w:bidi w:val="0"/>
              <w:spacing w:line="240" w:lineRule="auto"/>
              <w:ind w:right="0" w:rightChars="0"/>
              <w:jc w:val="both"/>
              <w:rPr>
                <w:rFonts w:hint="default" w:eastAsia="宋体"/>
                <w:color w:val="auto"/>
                <w:sz w:val="24"/>
                <w:szCs w:val="24"/>
                <w:lang w:val="en-US" w:eastAsia="zh-CN"/>
              </w:rPr>
            </w:pPr>
            <w:r>
              <w:rPr>
                <w:rFonts w:hint="eastAsia"/>
                <w:color w:val="auto"/>
                <w:sz w:val="24"/>
                <w:szCs w:val="24"/>
                <w:lang w:val="en-US" w:eastAsia="zh-CN"/>
              </w:rPr>
              <w:t>肉类食材、鸡蛋投标优惠率（%）</w:t>
            </w:r>
          </w:p>
        </w:tc>
        <w:tc>
          <w:tcPr>
            <w:tcW w:w="1208" w:type="dxa"/>
            <w:tcBorders>
              <w:left w:val="single" w:color="000000" w:sz="4" w:space="0"/>
            </w:tcBorders>
            <w:vAlign w:val="center"/>
          </w:tcPr>
          <w:p w14:paraId="3D4DBEA2">
            <w:pPr>
              <w:pageBreakBefore w:val="0"/>
              <w:topLinePunct w:val="0"/>
              <w:bidi w:val="0"/>
              <w:spacing w:line="240" w:lineRule="auto"/>
              <w:ind w:right="0" w:rightChars="0"/>
              <w:jc w:val="center"/>
              <w:rPr>
                <w:rFonts w:hint="eastAsia" w:eastAsia="宋体"/>
                <w:color w:val="auto"/>
                <w:sz w:val="24"/>
                <w:szCs w:val="24"/>
                <w:lang w:eastAsia="zh-CN"/>
              </w:rPr>
            </w:pPr>
            <w:r>
              <w:rPr>
                <w:rFonts w:hint="eastAsia" w:eastAsia="宋体"/>
                <w:color w:val="auto"/>
                <w:sz w:val="24"/>
                <w:szCs w:val="24"/>
                <w:lang w:eastAsia="zh-CN"/>
              </w:rPr>
              <w:t>投标报价（</w:t>
            </w:r>
            <w:r>
              <w:rPr>
                <w:rFonts w:hint="eastAsia" w:eastAsia="宋体"/>
                <w:color w:val="auto"/>
                <w:sz w:val="24"/>
                <w:szCs w:val="24"/>
                <w:lang w:val="en-US" w:eastAsia="zh-CN"/>
              </w:rPr>
              <w:t>元</w:t>
            </w:r>
            <w:r>
              <w:rPr>
                <w:rFonts w:hint="eastAsia" w:eastAsia="宋体"/>
                <w:color w:val="auto"/>
                <w:sz w:val="24"/>
                <w:szCs w:val="24"/>
                <w:lang w:eastAsia="zh-CN"/>
              </w:rPr>
              <w:t>）</w:t>
            </w:r>
          </w:p>
        </w:tc>
        <w:tc>
          <w:tcPr>
            <w:tcW w:w="970" w:type="dxa"/>
            <w:tcBorders>
              <w:left w:val="single" w:color="000000" w:sz="4" w:space="0"/>
            </w:tcBorders>
            <w:vAlign w:val="center"/>
          </w:tcPr>
          <w:p w14:paraId="18E82385">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供货期</w:t>
            </w:r>
          </w:p>
        </w:tc>
      </w:tr>
      <w:tr w14:paraId="1FB8D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3" w:hRule="atLeast"/>
        </w:trPr>
        <w:tc>
          <w:tcPr>
            <w:tcW w:w="1714" w:type="dxa"/>
            <w:vAlign w:val="center"/>
          </w:tcPr>
          <w:p w14:paraId="3F77C7FD">
            <w:pPr>
              <w:pageBreakBefore w:val="0"/>
              <w:topLinePunct w:val="0"/>
              <w:bidi w:val="0"/>
              <w:spacing w:line="240" w:lineRule="auto"/>
              <w:ind w:right="0" w:rightChars="0"/>
              <w:jc w:val="center"/>
              <w:rPr>
                <w:rFonts w:hint="eastAsia" w:eastAsia="宋体"/>
                <w:color w:val="auto"/>
                <w:sz w:val="24"/>
                <w:szCs w:val="24"/>
                <w:lang w:eastAsia="zh-CN"/>
              </w:rPr>
            </w:pPr>
            <w:r>
              <w:rPr>
                <w:rFonts w:hint="eastAsia"/>
                <w:color w:val="auto"/>
                <w:sz w:val="24"/>
                <w:szCs w:val="24"/>
                <w:lang w:val="en-US" w:eastAsia="zh-CN"/>
              </w:rPr>
              <w:t>猪肉</w:t>
            </w:r>
          </w:p>
        </w:tc>
        <w:tc>
          <w:tcPr>
            <w:tcW w:w="4106" w:type="dxa"/>
            <w:tcBorders>
              <w:right w:val="single" w:color="000000" w:sz="4" w:space="0"/>
            </w:tcBorders>
            <w:vAlign w:val="center"/>
          </w:tcPr>
          <w:p w14:paraId="5F915944">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品牌：</w:t>
            </w:r>
          </w:p>
          <w:p w14:paraId="2889F8FC">
            <w:pPr>
              <w:pageBreakBefore w:val="0"/>
              <w:topLinePunct w:val="0"/>
              <w:bidi w:val="0"/>
              <w:spacing w:line="240" w:lineRule="auto"/>
              <w:ind w:right="0" w:rightChars="0"/>
              <w:jc w:val="both"/>
            </w:pPr>
            <w:r>
              <w:rPr>
                <w:rFonts w:hint="eastAsia"/>
                <w:color w:val="auto"/>
                <w:sz w:val="24"/>
                <w:szCs w:val="24"/>
                <w:lang w:val="en-US" w:eastAsia="zh-CN"/>
              </w:rPr>
              <w:t>生产商：</w:t>
            </w:r>
          </w:p>
        </w:tc>
        <w:tc>
          <w:tcPr>
            <w:tcW w:w="2361" w:type="dxa"/>
            <w:vMerge w:val="restart"/>
            <w:tcBorders>
              <w:left w:val="single" w:color="000000" w:sz="4" w:space="0"/>
              <w:right w:val="single" w:color="000000" w:sz="4" w:space="0"/>
            </w:tcBorders>
            <w:vAlign w:val="center"/>
          </w:tcPr>
          <w:p w14:paraId="430674FF">
            <w:pPr>
              <w:pageBreakBefore w:val="0"/>
              <w:topLinePunct w:val="0"/>
              <w:bidi w:val="0"/>
              <w:spacing w:line="240" w:lineRule="auto"/>
              <w:ind w:left="0" w:leftChars="0" w:right="0" w:rightChars="0" w:firstLine="480" w:firstLineChars="200"/>
              <w:jc w:val="center"/>
              <w:rPr>
                <w:color w:val="auto"/>
                <w:sz w:val="24"/>
                <w:szCs w:val="24"/>
              </w:rPr>
            </w:pPr>
            <w:r>
              <w:rPr>
                <w:rFonts w:hint="eastAsia"/>
                <w:color w:val="auto"/>
                <w:sz w:val="24"/>
                <w:szCs w:val="24"/>
                <w:u w:val="single"/>
                <w:lang w:val="en-US" w:eastAsia="zh-CN"/>
              </w:rPr>
              <w:t xml:space="preserve">    </w:t>
            </w:r>
            <w:r>
              <w:rPr>
                <w:rFonts w:hint="eastAsia"/>
                <w:color w:val="auto"/>
                <w:sz w:val="24"/>
                <w:szCs w:val="24"/>
                <w:u w:val="none"/>
                <w:lang w:val="en-US" w:eastAsia="zh-CN"/>
              </w:rPr>
              <w:t>%</w:t>
            </w:r>
          </w:p>
        </w:tc>
        <w:tc>
          <w:tcPr>
            <w:tcW w:w="1208" w:type="dxa"/>
            <w:tcBorders>
              <w:left w:val="single" w:color="000000" w:sz="4" w:space="0"/>
            </w:tcBorders>
            <w:vAlign w:val="center"/>
          </w:tcPr>
          <w:p w14:paraId="636225F3">
            <w:pPr>
              <w:pageBreakBefore w:val="0"/>
              <w:topLinePunct w:val="0"/>
              <w:bidi w:val="0"/>
              <w:spacing w:line="240" w:lineRule="auto"/>
              <w:ind w:left="0" w:leftChars="0" w:right="0" w:rightChars="0" w:firstLine="480" w:firstLineChars="200"/>
              <w:jc w:val="center"/>
              <w:rPr>
                <w:color w:val="auto"/>
                <w:sz w:val="24"/>
                <w:szCs w:val="24"/>
              </w:rPr>
            </w:pPr>
          </w:p>
        </w:tc>
        <w:tc>
          <w:tcPr>
            <w:tcW w:w="970" w:type="dxa"/>
            <w:tcBorders>
              <w:left w:val="single" w:color="000000" w:sz="4" w:space="0"/>
            </w:tcBorders>
            <w:vAlign w:val="center"/>
          </w:tcPr>
          <w:p w14:paraId="750C8FC6">
            <w:pPr>
              <w:pageBreakBefore w:val="0"/>
              <w:topLinePunct w:val="0"/>
              <w:bidi w:val="0"/>
              <w:spacing w:line="240" w:lineRule="auto"/>
              <w:ind w:left="0" w:leftChars="0" w:right="0" w:rightChars="0" w:firstLine="480" w:firstLineChars="200"/>
              <w:jc w:val="center"/>
              <w:rPr>
                <w:color w:val="auto"/>
                <w:sz w:val="24"/>
                <w:szCs w:val="24"/>
              </w:rPr>
            </w:pPr>
          </w:p>
        </w:tc>
      </w:tr>
      <w:tr w14:paraId="3CC53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62" w:hRule="atLeast"/>
        </w:trPr>
        <w:tc>
          <w:tcPr>
            <w:tcW w:w="1714" w:type="dxa"/>
            <w:vAlign w:val="center"/>
          </w:tcPr>
          <w:p w14:paraId="34E5D12C">
            <w:pPr>
              <w:pageBreakBefore w:val="0"/>
              <w:topLinePunct w:val="0"/>
              <w:bidi w:val="0"/>
              <w:spacing w:line="240" w:lineRule="auto"/>
              <w:ind w:right="0" w:rightChars="0"/>
              <w:jc w:val="center"/>
              <w:rPr>
                <w:rFonts w:hint="eastAsia"/>
                <w:color w:val="auto"/>
                <w:sz w:val="24"/>
                <w:szCs w:val="24"/>
              </w:rPr>
            </w:pPr>
            <w:r>
              <w:rPr>
                <w:rFonts w:hint="eastAsia"/>
                <w:color w:val="auto"/>
                <w:sz w:val="24"/>
                <w:szCs w:val="24"/>
              </w:rPr>
              <w:t>鸡蛋</w:t>
            </w:r>
          </w:p>
        </w:tc>
        <w:tc>
          <w:tcPr>
            <w:tcW w:w="4106" w:type="dxa"/>
            <w:tcBorders>
              <w:right w:val="single" w:color="000000" w:sz="4" w:space="0"/>
            </w:tcBorders>
            <w:vAlign w:val="center"/>
          </w:tcPr>
          <w:p w14:paraId="2F604586">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品牌：</w:t>
            </w:r>
          </w:p>
          <w:p w14:paraId="6B5A8387">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生产商：</w:t>
            </w:r>
          </w:p>
        </w:tc>
        <w:tc>
          <w:tcPr>
            <w:tcW w:w="2361" w:type="dxa"/>
            <w:vMerge w:val="continue"/>
            <w:tcBorders>
              <w:left w:val="single" w:color="000000" w:sz="4" w:space="0"/>
              <w:right w:val="single" w:color="000000" w:sz="4" w:space="0"/>
            </w:tcBorders>
            <w:vAlign w:val="center"/>
          </w:tcPr>
          <w:p w14:paraId="44577F4A">
            <w:pPr>
              <w:pageBreakBefore w:val="0"/>
              <w:topLinePunct w:val="0"/>
              <w:bidi w:val="0"/>
              <w:spacing w:line="240" w:lineRule="auto"/>
              <w:ind w:left="0" w:leftChars="0" w:right="0" w:rightChars="0" w:firstLine="480" w:firstLineChars="200"/>
              <w:jc w:val="center"/>
              <w:rPr>
                <w:rFonts w:hint="eastAsia"/>
                <w:color w:val="auto"/>
                <w:sz w:val="24"/>
                <w:szCs w:val="24"/>
                <w:u w:val="single"/>
                <w:lang w:val="en-US" w:eastAsia="zh-CN"/>
              </w:rPr>
            </w:pPr>
          </w:p>
        </w:tc>
        <w:tc>
          <w:tcPr>
            <w:tcW w:w="1208" w:type="dxa"/>
            <w:tcBorders>
              <w:left w:val="single" w:color="000000" w:sz="4" w:space="0"/>
            </w:tcBorders>
            <w:vAlign w:val="center"/>
          </w:tcPr>
          <w:p w14:paraId="11ED2B16">
            <w:pPr>
              <w:pageBreakBefore w:val="0"/>
              <w:topLinePunct w:val="0"/>
              <w:bidi w:val="0"/>
              <w:spacing w:line="240" w:lineRule="auto"/>
              <w:ind w:left="0" w:leftChars="0" w:right="0" w:rightChars="0" w:firstLine="480" w:firstLineChars="200"/>
              <w:jc w:val="center"/>
              <w:rPr>
                <w:color w:val="auto"/>
                <w:sz w:val="24"/>
                <w:szCs w:val="24"/>
              </w:rPr>
            </w:pPr>
          </w:p>
        </w:tc>
        <w:tc>
          <w:tcPr>
            <w:tcW w:w="970" w:type="dxa"/>
            <w:tcBorders>
              <w:left w:val="single" w:color="000000" w:sz="4" w:space="0"/>
            </w:tcBorders>
            <w:vAlign w:val="center"/>
          </w:tcPr>
          <w:p w14:paraId="180B6F55">
            <w:pPr>
              <w:pageBreakBefore w:val="0"/>
              <w:topLinePunct w:val="0"/>
              <w:bidi w:val="0"/>
              <w:spacing w:line="240" w:lineRule="auto"/>
              <w:ind w:left="0" w:leftChars="0" w:right="0" w:rightChars="0" w:firstLine="480" w:firstLineChars="200"/>
              <w:jc w:val="center"/>
              <w:rPr>
                <w:color w:val="auto"/>
                <w:sz w:val="24"/>
                <w:szCs w:val="24"/>
              </w:rPr>
            </w:pPr>
          </w:p>
        </w:tc>
      </w:tr>
      <w:tr w14:paraId="0F3B5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1" w:hRule="atLeast"/>
        </w:trPr>
        <w:tc>
          <w:tcPr>
            <w:tcW w:w="1714" w:type="dxa"/>
            <w:vAlign w:val="center"/>
          </w:tcPr>
          <w:p w14:paraId="0DAB2805">
            <w:pPr>
              <w:pageBreakBefore w:val="0"/>
              <w:topLinePunct w:val="0"/>
              <w:bidi w:val="0"/>
              <w:spacing w:line="240" w:lineRule="auto"/>
              <w:ind w:right="0" w:rightChars="0"/>
              <w:jc w:val="center"/>
              <w:rPr>
                <w:rFonts w:hint="eastAsia" w:eastAsia="宋体"/>
                <w:color w:val="auto"/>
                <w:sz w:val="24"/>
                <w:szCs w:val="24"/>
                <w:lang w:val="en-US" w:eastAsia="zh-CN"/>
              </w:rPr>
            </w:pPr>
            <w:r>
              <w:rPr>
                <w:rFonts w:hint="eastAsia"/>
                <w:color w:val="auto"/>
                <w:sz w:val="24"/>
                <w:szCs w:val="24"/>
                <w:lang w:val="en-US" w:eastAsia="zh-CN"/>
              </w:rPr>
              <w:t>牛肉</w:t>
            </w:r>
          </w:p>
        </w:tc>
        <w:tc>
          <w:tcPr>
            <w:tcW w:w="4106" w:type="dxa"/>
            <w:tcBorders>
              <w:right w:val="single" w:color="000000" w:sz="4" w:space="0"/>
            </w:tcBorders>
            <w:vAlign w:val="center"/>
          </w:tcPr>
          <w:p w14:paraId="1ADB1FA9">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品牌：</w:t>
            </w:r>
          </w:p>
          <w:p w14:paraId="1AC1A725">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生产商：</w:t>
            </w:r>
          </w:p>
        </w:tc>
        <w:tc>
          <w:tcPr>
            <w:tcW w:w="2361" w:type="dxa"/>
            <w:vMerge w:val="continue"/>
            <w:tcBorders>
              <w:left w:val="single" w:color="000000" w:sz="4" w:space="0"/>
              <w:right w:val="single" w:color="000000" w:sz="4" w:space="0"/>
            </w:tcBorders>
            <w:vAlign w:val="center"/>
          </w:tcPr>
          <w:p w14:paraId="2F395AF1">
            <w:pPr>
              <w:pageBreakBefore w:val="0"/>
              <w:topLinePunct w:val="0"/>
              <w:bidi w:val="0"/>
              <w:spacing w:line="240" w:lineRule="auto"/>
              <w:ind w:left="0" w:leftChars="0" w:right="0" w:rightChars="0" w:firstLine="480" w:firstLineChars="200"/>
              <w:jc w:val="center"/>
              <w:rPr>
                <w:rFonts w:hint="eastAsia"/>
                <w:color w:val="auto"/>
                <w:sz w:val="24"/>
                <w:szCs w:val="24"/>
                <w:u w:val="single"/>
                <w:lang w:val="en-US" w:eastAsia="zh-CN"/>
              </w:rPr>
            </w:pPr>
          </w:p>
        </w:tc>
        <w:tc>
          <w:tcPr>
            <w:tcW w:w="1208" w:type="dxa"/>
            <w:tcBorders>
              <w:left w:val="single" w:color="000000" w:sz="4" w:space="0"/>
            </w:tcBorders>
            <w:vAlign w:val="center"/>
          </w:tcPr>
          <w:p w14:paraId="0C335A13">
            <w:pPr>
              <w:pageBreakBefore w:val="0"/>
              <w:topLinePunct w:val="0"/>
              <w:bidi w:val="0"/>
              <w:spacing w:line="240" w:lineRule="auto"/>
              <w:ind w:left="0" w:leftChars="0" w:right="0" w:rightChars="0" w:firstLine="480" w:firstLineChars="200"/>
              <w:jc w:val="center"/>
              <w:rPr>
                <w:color w:val="auto"/>
                <w:sz w:val="24"/>
                <w:szCs w:val="24"/>
              </w:rPr>
            </w:pPr>
          </w:p>
        </w:tc>
        <w:tc>
          <w:tcPr>
            <w:tcW w:w="970" w:type="dxa"/>
            <w:tcBorders>
              <w:left w:val="single" w:color="000000" w:sz="4" w:space="0"/>
            </w:tcBorders>
            <w:vAlign w:val="center"/>
          </w:tcPr>
          <w:p w14:paraId="08CB0B48">
            <w:pPr>
              <w:pageBreakBefore w:val="0"/>
              <w:topLinePunct w:val="0"/>
              <w:bidi w:val="0"/>
              <w:spacing w:line="240" w:lineRule="auto"/>
              <w:ind w:left="0" w:leftChars="0" w:right="0" w:rightChars="0" w:firstLine="480" w:firstLineChars="200"/>
              <w:jc w:val="center"/>
              <w:rPr>
                <w:color w:val="auto"/>
                <w:sz w:val="24"/>
                <w:szCs w:val="24"/>
              </w:rPr>
            </w:pPr>
          </w:p>
        </w:tc>
      </w:tr>
      <w:tr w14:paraId="5B697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0" w:hRule="atLeast"/>
        </w:trPr>
        <w:tc>
          <w:tcPr>
            <w:tcW w:w="1714" w:type="dxa"/>
            <w:vAlign w:val="center"/>
          </w:tcPr>
          <w:p w14:paraId="76184F09">
            <w:pPr>
              <w:pageBreakBefore w:val="0"/>
              <w:topLinePunct w:val="0"/>
              <w:bidi w:val="0"/>
              <w:spacing w:line="240" w:lineRule="auto"/>
              <w:ind w:right="0" w:rightChars="0"/>
              <w:jc w:val="center"/>
              <w:rPr>
                <w:rFonts w:hint="eastAsia" w:eastAsia="宋体"/>
                <w:color w:val="auto"/>
                <w:sz w:val="24"/>
                <w:szCs w:val="24"/>
                <w:lang w:val="en-US" w:eastAsia="zh-CN"/>
              </w:rPr>
            </w:pPr>
            <w:r>
              <w:rPr>
                <w:rFonts w:hint="eastAsia"/>
                <w:color w:val="auto"/>
                <w:sz w:val="24"/>
                <w:szCs w:val="24"/>
                <w:lang w:val="en-US" w:eastAsia="zh-CN"/>
              </w:rPr>
              <w:t>羊肉</w:t>
            </w:r>
          </w:p>
        </w:tc>
        <w:tc>
          <w:tcPr>
            <w:tcW w:w="4106" w:type="dxa"/>
            <w:tcBorders>
              <w:right w:val="single" w:color="000000" w:sz="4" w:space="0"/>
            </w:tcBorders>
            <w:vAlign w:val="center"/>
          </w:tcPr>
          <w:p w14:paraId="6A2B6C4B">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品牌：</w:t>
            </w:r>
          </w:p>
          <w:p w14:paraId="28DD632F">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生产商：</w:t>
            </w:r>
          </w:p>
        </w:tc>
        <w:tc>
          <w:tcPr>
            <w:tcW w:w="2361" w:type="dxa"/>
            <w:vMerge w:val="continue"/>
            <w:tcBorders>
              <w:left w:val="single" w:color="000000" w:sz="4" w:space="0"/>
              <w:right w:val="single" w:color="000000" w:sz="4" w:space="0"/>
            </w:tcBorders>
            <w:vAlign w:val="center"/>
          </w:tcPr>
          <w:p w14:paraId="33DCAC1E">
            <w:pPr>
              <w:pageBreakBefore w:val="0"/>
              <w:topLinePunct w:val="0"/>
              <w:bidi w:val="0"/>
              <w:spacing w:line="240" w:lineRule="auto"/>
              <w:ind w:left="0" w:leftChars="0" w:right="0" w:rightChars="0" w:firstLine="480" w:firstLineChars="200"/>
              <w:jc w:val="center"/>
              <w:rPr>
                <w:rFonts w:hint="eastAsia"/>
                <w:color w:val="auto"/>
                <w:sz w:val="24"/>
                <w:szCs w:val="24"/>
                <w:u w:val="single"/>
                <w:lang w:val="en-US" w:eastAsia="zh-CN"/>
              </w:rPr>
            </w:pPr>
          </w:p>
        </w:tc>
        <w:tc>
          <w:tcPr>
            <w:tcW w:w="1208" w:type="dxa"/>
            <w:tcBorders>
              <w:left w:val="single" w:color="000000" w:sz="4" w:space="0"/>
            </w:tcBorders>
            <w:vAlign w:val="center"/>
          </w:tcPr>
          <w:p w14:paraId="73332A21">
            <w:pPr>
              <w:pageBreakBefore w:val="0"/>
              <w:topLinePunct w:val="0"/>
              <w:bidi w:val="0"/>
              <w:spacing w:line="240" w:lineRule="auto"/>
              <w:ind w:left="0" w:leftChars="0" w:right="0" w:rightChars="0" w:firstLine="480" w:firstLineChars="200"/>
              <w:jc w:val="center"/>
              <w:rPr>
                <w:color w:val="auto"/>
                <w:sz w:val="24"/>
                <w:szCs w:val="24"/>
              </w:rPr>
            </w:pPr>
          </w:p>
        </w:tc>
        <w:tc>
          <w:tcPr>
            <w:tcW w:w="970" w:type="dxa"/>
            <w:tcBorders>
              <w:left w:val="single" w:color="000000" w:sz="4" w:space="0"/>
            </w:tcBorders>
            <w:vAlign w:val="center"/>
          </w:tcPr>
          <w:p w14:paraId="4B169909">
            <w:pPr>
              <w:pageBreakBefore w:val="0"/>
              <w:topLinePunct w:val="0"/>
              <w:bidi w:val="0"/>
              <w:spacing w:line="240" w:lineRule="auto"/>
              <w:ind w:left="0" w:leftChars="0" w:right="0" w:rightChars="0" w:firstLine="480" w:firstLineChars="200"/>
              <w:jc w:val="center"/>
              <w:rPr>
                <w:color w:val="auto"/>
                <w:sz w:val="24"/>
                <w:szCs w:val="24"/>
              </w:rPr>
            </w:pPr>
          </w:p>
        </w:tc>
      </w:tr>
      <w:tr w14:paraId="73D07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87" w:hRule="atLeast"/>
        </w:trPr>
        <w:tc>
          <w:tcPr>
            <w:tcW w:w="1714" w:type="dxa"/>
            <w:vAlign w:val="center"/>
          </w:tcPr>
          <w:p w14:paraId="33001A04">
            <w:pPr>
              <w:pageBreakBefore w:val="0"/>
              <w:topLinePunct w:val="0"/>
              <w:bidi w:val="0"/>
              <w:spacing w:line="240" w:lineRule="auto"/>
              <w:ind w:right="0" w:rightChars="0"/>
              <w:jc w:val="center"/>
              <w:rPr>
                <w:rFonts w:hint="default"/>
                <w:color w:val="auto"/>
                <w:sz w:val="24"/>
                <w:szCs w:val="24"/>
                <w:lang w:val="en-US" w:eastAsia="zh-CN"/>
              </w:rPr>
            </w:pPr>
            <w:r>
              <w:rPr>
                <w:rFonts w:hint="eastAsia"/>
                <w:color w:val="auto"/>
                <w:sz w:val="24"/>
                <w:szCs w:val="24"/>
                <w:lang w:val="en-US" w:eastAsia="zh-CN"/>
              </w:rPr>
              <w:t>鸡肉</w:t>
            </w:r>
          </w:p>
        </w:tc>
        <w:tc>
          <w:tcPr>
            <w:tcW w:w="4106" w:type="dxa"/>
            <w:tcBorders>
              <w:right w:val="single" w:color="000000" w:sz="4" w:space="0"/>
            </w:tcBorders>
            <w:vAlign w:val="center"/>
          </w:tcPr>
          <w:p w14:paraId="0197C2FB">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品牌：</w:t>
            </w:r>
          </w:p>
          <w:p w14:paraId="32CC84C2">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生产商：</w:t>
            </w:r>
          </w:p>
        </w:tc>
        <w:tc>
          <w:tcPr>
            <w:tcW w:w="2361" w:type="dxa"/>
            <w:vMerge w:val="continue"/>
            <w:tcBorders>
              <w:left w:val="single" w:color="000000" w:sz="4" w:space="0"/>
              <w:right w:val="single" w:color="000000" w:sz="4" w:space="0"/>
            </w:tcBorders>
            <w:vAlign w:val="center"/>
          </w:tcPr>
          <w:p w14:paraId="2540EF9F">
            <w:pPr>
              <w:pageBreakBefore w:val="0"/>
              <w:topLinePunct w:val="0"/>
              <w:bidi w:val="0"/>
              <w:spacing w:line="240" w:lineRule="auto"/>
              <w:ind w:left="0" w:leftChars="0" w:right="0" w:rightChars="0" w:firstLine="480" w:firstLineChars="200"/>
              <w:jc w:val="center"/>
              <w:rPr>
                <w:rFonts w:hint="eastAsia"/>
                <w:color w:val="auto"/>
                <w:sz w:val="24"/>
                <w:szCs w:val="24"/>
                <w:u w:val="single"/>
                <w:lang w:val="en-US" w:eastAsia="zh-CN"/>
              </w:rPr>
            </w:pPr>
          </w:p>
        </w:tc>
        <w:tc>
          <w:tcPr>
            <w:tcW w:w="1208" w:type="dxa"/>
            <w:tcBorders>
              <w:left w:val="single" w:color="000000" w:sz="4" w:space="0"/>
            </w:tcBorders>
            <w:vAlign w:val="center"/>
          </w:tcPr>
          <w:p w14:paraId="1BDAB6E7">
            <w:pPr>
              <w:pageBreakBefore w:val="0"/>
              <w:topLinePunct w:val="0"/>
              <w:bidi w:val="0"/>
              <w:spacing w:line="240" w:lineRule="auto"/>
              <w:ind w:left="0" w:leftChars="0" w:right="0" w:rightChars="0" w:firstLine="480" w:firstLineChars="200"/>
              <w:jc w:val="center"/>
              <w:rPr>
                <w:color w:val="auto"/>
                <w:sz w:val="24"/>
                <w:szCs w:val="24"/>
              </w:rPr>
            </w:pPr>
          </w:p>
        </w:tc>
        <w:tc>
          <w:tcPr>
            <w:tcW w:w="970" w:type="dxa"/>
            <w:tcBorders>
              <w:left w:val="single" w:color="000000" w:sz="4" w:space="0"/>
            </w:tcBorders>
            <w:vAlign w:val="center"/>
          </w:tcPr>
          <w:p w14:paraId="6F3FE79C">
            <w:pPr>
              <w:pageBreakBefore w:val="0"/>
              <w:topLinePunct w:val="0"/>
              <w:bidi w:val="0"/>
              <w:spacing w:line="240" w:lineRule="auto"/>
              <w:ind w:left="0" w:leftChars="0" w:right="0" w:rightChars="0" w:firstLine="480" w:firstLineChars="200"/>
              <w:jc w:val="center"/>
              <w:rPr>
                <w:color w:val="auto"/>
                <w:sz w:val="24"/>
                <w:szCs w:val="24"/>
              </w:rPr>
            </w:pPr>
          </w:p>
        </w:tc>
      </w:tr>
      <w:tr w14:paraId="52BF9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0" w:hRule="atLeast"/>
        </w:trPr>
        <w:tc>
          <w:tcPr>
            <w:tcW w:w="1714" w:type="dxa"/>
            <w:vAlign w:val="center"/>
          </w:tcPr>
          <w:p w14:paraId="75DBC7FF">
            <w:pPr>
              <w:pageBreakBefore w:val="0"/>
              <w:topLinePunct w:val="0"/>
              <w:bidi w:val="0"/>
              <w:spacing w:line="240" w:lineRule="auto"/>
              <w:ind w:right="0" w:rightChars="0"/>
              <w:jc w:val="center"/>
              <w:rPr>
                <w:rFonts w:hint="eastAsia"/>
                <w:color w:val="auto"/>
                <w:sz w:val="24"/>
                <w:szCs w:val="24"/>
              </w:rPr>
            </w:pPr>
            <w:r>
              <w:rPr>
                <w:rFonts w:hint="eastAsia"/>
                <w:color w:val="auto"/>
                <w:sz w:val="24"/>
                <w:szCs w:val="24"/>
                <w:lang w:val="en-US" w:eastAsia="zh-CN"/>
              </w:rPr>
              <w:t>投标总报价（元）</w:t>
            </w:r>
          </w:p>
        </w:tc>
        <w:tc>
          <w:tcPr>
            <w:tcW w:w="8645" w:type="dxa"/>
            <w:gridSpan w:val="4"/>
            <w:vAlign w:val="center"/>
          </w:tcPr>
          <w:p w14:paraId="7C744E5E">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大写：</w:t>
            </w:r>
          </w:p>
          <w:p w14:paraId="3D1C89C5">
            <w:pPr>
              <w:pageBreakBefore w:val="0"/>
              <w:topLinePunct w:val="0"/>
              <w:bidi w:val="0"/>
              <w:spacing w:line="240" w:lineRule="auto"/>
              <w:ind w:right="0" w:rightChars="0"/>
              <w:jc w:val="both"/>
              <w:rPr>
                <w:color w:val="auto"/>
                <w:sz w:val="24"/>
                <w:szCs w:val="24"/>
              </w:rPr>
            </w:pPr>
            <w:r>
              <w:rPr>
                <w:rFonts w:hint="eastAsia"/>
                <w:color w:val="auto"/>
                <w:sz w:val="24"/>
                <w:szCs w:val="24"/>
                <w:lang w:val="en-US" w:eastAsia="zh-CN"/>
              </w:rPr>
              <w:t>小写：</w:t>
            </w:r>
          </w:p>
        </w:tc>
      </w:tr>
      <w:tr w14:paraId="5F6CC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30" w:hRule="atLeast"/>
        </w:trPr>
        <w:tc>
          <w:tcPr>
            <w:tcW w:w="10359" w:type="dxa"/>
            <w:gridSpan w:val="5"/>
            <w:vAlign w:val="center"/>
          </w:tcPr>
          <w:p w14:paraId="709F4EFA">
            <w:pPr>
              <w:pageBreakBefore w:val="0"/>
              <w:topLinePunct w:val="0"/>
              <w:bidi w:val="0"/>
              <w:spacing w:line="500" w:lineRule="exact"/>
              <w:ind w:left="0" w:leftChars="0" w:right="0" w:rightChars="0" w:firstLine="482" w:firstLineChars="200"/>
              <w:rPr>
                <w:rFonts w:hint="eastAsia"/>
                <w:b/>
                <w:bCs/>
                <w:color w:val="auto"/>
                <w:sz w:val="24"/>
                <w:szCs w:val="24"/>
              </w:rPr>
            </w:pPr>
            <w:r>
              <w:rPr>
                <w:rFonts w:hint="eastAsia"/>
                <w:b/>
                <w:bCs/>
                <w:color w:val="auto"/>
                <w:sz w:val="24"/>
                <w:szCs w:val="24"/>
              </w:rPr>
              <w:t>备注：</w:t>
            </w:r>
          </w:p>
          <w:p w14:paraId="4E8B71A2">
            <w:pPr>
              <w:pageBreakBefore w:val="0"/>
              <w:numPr>
                <w:ilvl w:val="0"/>
                <w:numId w:val="0"/>
              </w:numPr>
              <w:topLinePunct w:val="0"/>
              <w:bidi w:val="0"/>
              <w:spacing w:line="240" w:lineRule="auto"/>
              <w:ind w:right="0" w:rightChars="0" w:firstLine="480" w:firstLineChars="200"/>
              <w:rPr>
                <w:rFonts w:hint="eastAsia"/>
                <w:b w:val="0"/>
                <w:bCs w:val="0"/>
                <w:color w:val="auto"/>
                <w:sz w:val="24"/>
                <w:szCs w:val="24"/>
              </w:rPr>
            </w:pPr>
            <w:r>
              <w:rPr>
                <w:rFonts w:hint="eastAsia" w:cs="宋体"/>
                <w:i w:val="0"/>
                <w:iCs w:val="0"/>
                <w:color w:val="auto"/>
                <w:sz w:val="24"/>
                <w:szCs w:val="24"/>
                <w:shd w:val="clear" w:color="auto" w:fill="auto"/>
                <w:lang w:val="en-US" w:eastAsia="zh-CN"/>
              </w:rPr>
              <w:t>1.</w:t>
            </w:r>
            <w:r>
              <w:rPr>
                <w:rFonts w:hint="eastAsia" w:ascii="宋体" w:hAnsi="宋体" w:eastAsia="宋体" w:cs="宋体"/>
                <w:i w:val="0"/>
                <w:iCs w:val="0"/>
                <w:color w:val="auto"/>
                <w:sz w:val="24"/>
                <w:szCs w:val="24"/>
                <w:shd w:val="clear" w:color="auto" w:fill="auto"/>
              </w:rPr>
              <w:t>投标报价表中</w:t>
            </w:r>
            <w:r>
              <w:rPr>
                <w:rFonts w:hint="eastAsia" w:ascii="宋体" w:hAnsi="宋体" w:eastAsia="宋体" w:cs="宋体"/>
                <w:i w:val="0"/>
                <w:iCs w:val="0"/>
                <w:color w:val="auto"/>
                <w:sz w:val="24"/>
                <w:szCs w:val="24"/>
                <w:shd w:val="clear" w:color="auto" w:fill="auto"/>
                <w:lang w:eastAsia="zh-CN"/>
              </w:rPr>
              <w:t>（</w:t>
            </w:r>
            <w:r>
              <w:rPr>
                <w:rFonts w:hint="eastAsia" w:cs="宋体"/>
                <w:i w:val="0"/>
                <w:iCs w:val="0"/>
                <w:color w:val="auto"/>
                <w:sz w:val="24"/>
                <w:szCs w:val="24"/>
                <w:shd w:val="clear" w:color="auto" w:fill="auto"/>
                <w:lang w:val="en-US" w:eastAsia="zh-CN"/>
              </w:rPr>
              <w:t>肉类食材、鸡蛋</w:t>
            </w:r>
            <w:r>
              <w:rPr>
                <w:rFonts w:hint="eastAsia" w:ascii="宋体" w:hAnsi="宋体" w:eastAsia="宋体" w:cs="宋体"/>
                <w:i w:val="0"/>
                <w:iCs w:val="0"/>
                <w:color w:val="auto"/>
                <w:sz w:val="24"/>
                <w:szCs w:val="24"/>
                <w:shd w:val="clear" w:color="auto" w:fill="auto"/>
                <w:lang w:eastAsia="zh-CN"/>
              </w:rPr>
              <w:t>）</w:t>
            </w:r>
            <w:r>
              <w:rPr>
                <w:rFonts w:hint="eastAsia" w:ascii="宋体" w:hAnsi="宋体" w:eastAsia="宋体" w:cs="宋体"/>
                <w:i w:val="0"/>
                <w:iCs w:val="0"/>
                <w:color w:val="auto"/>
                <w:sz w:val="24"/>
                <w:szCs w:val="24"/>
                <w:shd w:val="clear" w:color="auto" w:fill="auto"/>
              </w:rPr>
              <w:t>标明的价格为总价，最终结算价格单价</w:t>
            </w:r>
            <w:r>
              <w:rPr>
                <w:rFonts w:hint="eastAsia" w:ascii="宋体" w:hAnsi="宋体" w:eastAsia="宋体" w:cs="宋体"/>
                <w:i w:val="0"/>
                <w:iCs w:val="0"/>
                <w:color w:val="auto"/>
                <w:sz w:val="24"/>
                <w:szCs w:val="24"/>
                <w:shd w:val="clear" w:color="auto" w:fill="auto"/>
                <w:lang w:eastAsia="zh-CN"/>
              </w:rPr>
              <w:t>因</w:t>
            </w:r>
            <w:r>
              <w:rPr>
                <w:rFonts w:hint="eastAsia" w:ascii="宋体" w:hAnsi="宋体" w:eastAsia="宋体" w:cs="宋体"/>
                <w:i w:val="0"/>
                <w:iCs w:val="0"/>
                <w:color w:val="auto"/>
                <w:sz w:val="24"/>
                <w:szCs w:val="24"/>
                <w:shd w:val="clear" w:color="auto" w:fill="auto"/>
                <w:lang w:val="en-US" w:eastAsia="zh-CN"/>
              </w:rPr>
              <w:t>此类原辅料价格因市场行情波动较大，需采取市场采价确定。</w:t>
            </w:r>
            <w:r>
              <w:rPr>
                <w:rFonts w:hint="eastAsia" w:cs="宋体"/>
                <w:i w:val="0"/>
                <w:iCs w:val="0"/>
                <w:color w:val="auto"/>
                <w:sz w:val="24"/>
                <w:szCs w:val="24"/>
                <w:shd w:val="clear" w:color="auto" w:fill="auto"/>
                <w:lang w:val="en-US" w:eastAsia="zh-CN"/>
              </w:rPr>
              <w:t>具体为汉滨区教体局联合区发改部门及各学校成立询价小组，选择在汉滨城区3家及以上大型商超及农贸市场进行询价。每月开展两次市场采价询价工作，将每次所取的市场均价作为后半月的结算价。故每次结算单价的计算方式为：所取的市场均价为基准*（1-优惠率），依据实际供货量据实结算，</w:t>
            </w:r>
            <w:r>
              <w:rPr>
                <w:rFonts w:hint="eastAsia" w:cs="宋体"/>
                <w:b/>
                <w:bCs/>
                <w:color w:val="auto"/>
                <w:sz w:val="24"/>
                <w:szCs w:val="24"/>
                <w:highlight w:val="none"/>
                <w:lang w:val="en-US" w:eastAsia="zh-CN"/>
              </w:rPr>
              <w:t>投标报价=本标段</w:t>
            </w:r>
            <w:r>
              <w:rPr>
                <w:rFonts w:hint="eastAsia"/>
                <w:b/>
                <w:bCs/>
                <w:color w:val="auto"/>
                <w:sz w:val="24"/>
                <w:szCs w:val="24"/>
                <w:lang w:val="en-US" w:eastAsia="zh-CN"/>
              </w:rPr>
              <w:t>总预算</w:t>
            </w:r>
            <w:r>
              <w:rPr>
                <w:rFonts w:hint="eastAsia" w:cs="宋体"/>
                <w:b/>
                <w:bCs/>
                <w:color w:val="auto"/>
                <w:sz w:val="24"/>
                <w:szCs w:val="24"/>
                <w:highlight w:val="none"/>
                <w:lang w:val="en-US" w:eastAsia="zh-CN"/>
              </w:rPr>
              <w:t>*（1-投标优惠率）</w:t>
            </w:r>
            <w:r>
              <w:rPr>
                <w:rFonts w:hint="eastAsia"/>
                <w:color w:val="auto"/>
                <w:lang w:val="en-US" w:eastAsia="zh-CN"/>
              </w:rPr>
              <w:t>。</w:t>
            </w:r>
          </w:p>
          <w:p w14:paraId="081148FC">
            <w:pPr>
              <w:pageBreakBefore w:val="0"/>
              <w:numPr>
                <w:ilvl w:val="0"/>
                <w:numId w:val="0"/>
              </w:numPr>
              <w:topLinePunct w:val="0"/>
              <w:bidi w:val="0"/>
              <w:spacing w:line="240" w:lineRule="auto"/>
              <w:ind w:right="0" w:rightChars="0" w:firstLine="480" w:firstLineChars="200"/>
              <w:rPr>
                <w:rFonts w:hint="eastAsia"/>
                <w:b w:val="0"/>
                <w:bCs w:val="0"/>
                <w:color w:val="auto"/>
                <w:sz w:val="24"/>
                <w:szCs w:val="24"/>
                <w:lang w:val="en-US" w:eastAsia="zh-CN"/>
              </w:rPr>
            </w:pPr>
            <w:r>
              <w:rPr>
                <w:rFonts w:hint="eastAsia"/>
                <w:b w:val="0"/>
                <w:bCs w:val="0"/>
                <w:color w:val="auto"/>
                <w:sz w:val="24"/>
                <w:szCs w:val="24"/>
                <w:lang w:val="en-US" w:eastAsia="zh-CN"/>
              </w:rPr>
              <w:t>2.为便于评审，以投标总报价作为评审依据（投标总价为以上报价表中所有分项报价之和），结算时将以中标单价按实际采购数量据实结算。</w:t>
            </w:r>
          </w:p>
          <w:p w14:paraId="01CEB9E7">
            <w:pPr>
              <w:spacing w:line="240" w:lineRule="auto"/>
              <w:ind w:firstLine="482" w:firstLineChars="200"/>
              <w:rPr>
                <w:rFonts w:hint="eastAsia"/>
                <w:color w:val="auto"/>
                <w:lang w:val="en-US" w:eastAsia="zh-CN"/>
              </w:rPr>
            </w:pPr>
            <w:r>
              <w:rPr>
                <w:rFonts w:hint="eastAsia" w:cs="宋体"/>
                <w:b/>
                <w:bCs/>
                <w:color w:val="auto"/>
                <w:kern w:val="0"/>
                <w:sz w:val="24"/>
                <w:szCs w:val="24"/>
                <w:lang w:val="en-US" w:eastAsia="zh-CN" w:bidi="ar"/>
              </w:rPr>
              <w:t>3.报价时数量等相关数据参考本招标文件《第三章 招标采购内容及服务要求》的数据。</w:t>
            </w:r>
          </w:p>
          <w:p w14:paraId="53818006">
            <w:pPr>
              <w:pageBreakBefore w:val="0"/>
              <w:topLinePunct w:val="0"/>
              <w:bidi w:val="0"/>
              <w:spacing w:line="240" w:lineRule="auto"/>
              <w:ind w:left="0" w:leftChars="0" w:right="0" w:rightChars="0" w:firstLine="480" w:firstLineChars="200"/>
              <w:rPr>
                <w:rFonts w:hint="eastAsia"/>
                <w:color w:val="auto"/>
                <w:sz w:val="24"/>
                <w:szCs w:val="24"/>
              </w:rPr>
            </w:pPr>
            <w:r>
              <w:rPr>
                <w:rFonts w:hint="eastAsia"/>
                <w:color w:val="auto"/>
                <w:sz w:val="24"/>
                <w:szCs w:val="24"/>
                <w:lang w:val="en-US" w:eastAsia="zh-CN"/>
              </w:rPr>
              <w:t>4.报价应</w:t>
            </w:r>
            <w:r>
              <w:rPr>
                <w:rFonts w:hint="eastAsia"/>
                <w:color w:val="auto"/>
                <w:sz w:val="24"/>
                <w:szCs w:val="24"/>
              </w:rPr>
              <w:t>包括</w:t>
            </w:r>
            <w:r>
              <w:rPr>
                <w:rFonts w:hint="eastAsia"/>
                <w:color w:val="auto"/>
                <w:sz w:val="24"/>
                <w:szCs w:val="24"/>
                <w:lang w:eastAsia="zh-CN"/>
              </w:rPr>
              <w:t>涉及</w:t>
            </w:r>
            <w:r>
              <w:rPr>
                <w:rFonts w:hint="eastAsia"/>
                <w:color w:val="auto"/>
                <w:sz w:val="24"/>
                <w:szCs w:val="24"/>
              </w:rPr>
              <w:t>的食品采购、包装、运输、装卸、加工、供货服务期限、配送</w:t>
            </w:r>
            <w:r>
              <w:rPr>
                <w:rFonts w:hint="eastAsia"/>
                <w:color w:val="auto"/>
                <w:sz w:val="24"/>
                <w:szCs w:val="24"/>
                <w:lang w:eastAsia="zh-CN"/>
              </w:rPr>
              <w:t>（</w:t>
            </w:r>
            <w:r>
              <w:rPr>
                <w:rFonts w:hint="eastAsia"/>
                <w:color w:val="auto"/>
                <w:sz w:val="24"/>
                <w:szCs w:val="24"/>
              </w:rPr>
              <w:t>配送到指定学校地点</w:t>
            </w:r>
            <w:r>
              <w:rPr>
                <w:rFonts w:hint="eastAsia"/>
                <w:color w:val="auto"/>
                <w:sz w:val="24"/>
                <w:szCs w:val="24"/>
                <w:lang w:eastAsia="zh-CN"/>
              </w:rPr>
              <w:t>）</w:t>
            </w:r>
            <w:r>
              <w:rPr>
                <w:rFonts w:hint="eastAsia"/>
                <w:color w:val="auto"/>
                <w:sz w:val="24"/>
                <w:szCs w:val="24"/>
              </w:rPr>
              <w:t>、售后服务及国家按现行税收政策征收的一切税费等。</w:t>
            </w:r>
          </w:p>
          <w:p w14:paraId="5202E133">
            <w:pPr>
              <w:pStyle w:val="12"/>
              <w:pageBreakBefore w:val="0"/>
              <w:numPr>
                <w:ilvl w:val="0"/>
                <w:numId w:val="0"/>
              </w:numPr>
              <w:topLinePunct w:val="0"/>
              <w:bidi w:val="0"/>
              <w:spacing w:line="240" w:lineRule="auto"/>
              <w:ind w:left="0" w:leftChars="0" w:right="0" w:rightChars="0" w:firstLine="480" w:firstLineChars="200"/>
              <w:rPr>
                <w:rFonts w:hint="eastAsia"/>
                <w:color w:val="auto"/>
              </w:rPr>
            </w:pPr>
            <w:r>
              <w:rPr>
                <w:rFonts w:hint="eastAsia"/>
                <w:color w:val="auto"/>
                <w:sz w:val="24"/>
                <w:szCs w:val="24"/>
                <w:lang w:val="en-US" w:eastAsia="zh-CN"/>
              </w:rPr>
              <w:t>5.</w:t>
            </w:r>
            <w:r>
              <w:rPr>
                <w:rFonts w:hint="eastAsia"/>
                <w:color w:val="auto"/>
                <w:sz w:val="24"/>
                <w:szCs w:val="24"/>
              </w:rPr>
              <w:t>表内报价内容以元为单位，可精确到分。</w:t>
            </w:r>
          </w:p>
        </w:tc>
      </w:tr>
    </w:tbl>
    <w:p w14:paraId="08C6F812">
      <w:pPr>
        <w:pageBreakBefore w:val="0"/>
        <w:topLinePunct w:val="0"/>
        <w:bidi w:val="0"/>
        <w:spacing w:line="500" w:lineRule="exact"/>
        <w:ind w:left="0" w:leftChars="0" w:right="0" w:rightChars="0" w:firstLine="480" w:firstLineChars="200"/>
        <w:jc w:val="both"/>
        <w:rPr>
          <w:rFonts w:hint="eastAsia"/>
          <w:color w:val="auto"/>
          <w:sz w:val="24"/>
          <w:szCs w:val="24"/>
          <w:lang w:eastAsia="zh-CN"/>
        </w:rPr>
      </w:pPr>
    </w:p>
    <w:p w14:paraId="5A39F05D">
      <w:pPr>
        <w:pageBreakBefore w:val="0"/>
        <w:topLinePunct w:val="0"/>
        <w:bidi w:val="0"/>
        <w:spacing w:line="500" w:lineRule="exact"/>
        <w:ind w:left="0" w:leftChars="0" w:right="0" w:rightChars="0" w:firstLine="480" w:firstLineChars="200"/>
        <w:jc w:val="both"/>
        <w:rPr>
          <w:rFonts w:hint="eastAsia"/>
          <w:color w:val="auto"/>
          <w:sz w:val="24"/>
          <w:szCs w:val="24"/>
          <w:lang w:val="en-US"/>
        </w:rPr>
      </w:pPr>
      <w:r>
        <w:rPr>
          <w:rFonts w:hint="eastAsia"/>
          <w:color w:val="auto"/>
          <w:sz w:val="24"/>
          <w:szCs w:val="24"/>
          <w:lang w:eastAsia="zh-CN"/>
        </w:rPr>
        <w:t>供应商（</w:t>
      </w:r>
      <w:r>
        <w:rPr>
          <w:rFonts w:hint="eastAsia"/>
          <w:color w:val="auto"/>
          <w:sz w:val="24"/>
          <w:szCs w:val="24"/>
          <w:lang w:val="en-US" w:eastAsia="zh-CN"/>
        </w:rPr>
        <w:t>公章</w:t>
      </w:r>
      <w:r>
        <w:rPr>
          <w:rFonts w:hint="eastAsia"/>
          <w:color w:val="auto"/>
          <w:sz w:val="24"/>
          <w:szCs w:val="24"/>
          <w:lang w:eastAsia="zh-CN"/>
        </w:rPr>
        <w:t>）：</w:t>
      </w:r>
    </w:p>
    <w:p w14:paraId="305A03AB">
      <w:pPr>
        <w:pageBreakBefore w:val="0"/>
        <w:topLinePunct w:val="0"/>
        <w:bidi w:val="0"/>
        <w:spacing w:line="500" w:lineRule="exact"/>
        <w:ind w:left="0" w:leftChars="0" w:right="0" w:rightChars="0" w:firstLine="480" w:firstLineChars="200"/>
        <w:jc w:val="both"/>
        <w:rPr>
          <w:rFonts w:hint="eastAsia"/>
          <w:color w:val="auto"/>
          <w:sz w:val="24"/>
          <w:szCs w:val="24"/>
          <w:lang w:val="zh-CN" w:eastAsia="zh-CN"/>
        </w:rPr>
      </w:pPr>
      <w:r>
        <w:rPr>
          <w:rFonts w:hint="eastAsia"/>
          <w:color w:val="auto"/>
          <w:sz w:val="24"/>
          <w:szCs w:val="24"/>
          <w:lang w:val="en-US" w:eastAsia="zh-CN"/>
        </w:rPr>
        <w:t>法定代表人或授权委托人（签字或盖章）：</w:t>
      </w:r>
    </w:p>
    <w:p w14:paraId="2BCB6638">
      <w:pPr>
        <w:pStyle w:val="12"/>
        <w:pageBreakBefore w:val="0"/>
        <w:tabs>
          <w:tab w:val="left" w:pos="3998"/>
          <w:tab w:val="left" w:pos="6318"/>
        </w:tabs>
        <w:topLinePunct w:val="0"/>
        <w:bidi w:val="0"/>
        <w:spacing w:line="500" w:lineRule="exact"/>
        <w:ind w:left="0" w:leftChars="0" w:right="0" w:rightChars="0" w:firstLine="480" w:firstLineChars="200"/>
        <w:rPr>
          <w:color w:val="auto"/>
        </w:rPr>
        <w:sectPr>
          <w:pgSz w:w="11910" w:h="16840"/>
          <w:pgMar w:top="1060" w:right="1020" w:bottom="1200" w:left="1040" w:header="872" w:footer="1005" w:gutter="0"/>
          <w:pgNumType w:fmt="decimal"/>
          <w:cols w:space="720" w:num="1"/>
        </w:sectPr>
      </w:pPr>
      <w:r>
        <w:rPr>
          <w:rFonts w:hint="eastAsia"/>
          <w:color w:val="auto"/>
          <w:sz w:val="24"/>
          <w:szCs w:val="24"/>
          <w:lang w:val="en-US" w:eastAsia="zh-CN"/>
        </w:rPr>
        <w:t>日期：</w:t>
      </w:r>
      <w:r>
        <w:rPr>
          <w:rFonts w:hint="eastAsia"/>
          <w:color w:val="auto"/>
          <w:sz w:val="24"/>
          <w:szCs w:val="24"/>
        </w:rPr>
        <w:t xml:space="preserve">年 </w:t>
      </w:r>
      <w:r>
        <w:rPr>
          <w:rFonts w:hint="eastAsia"/>
          <w:color w:val="auto"/>
          <w:sz w:val="24"/>
          <w:szCs w:val="24"/>
          <w:lang w:val="en-US" w:eastAsia="zh-CN"/>
        </w:rPr>
        <w:t xml:space="preserve">  </w:t>
      </w:r>
      <w:r>
        <w:rPr>
          <w:rFonts w:hint="eastAsia"/>
          <w:color w:val="auto"/>
          <w:sz w:val="24"/>
          <w:szCs w:val="24"/>
        </w:rPr>
        <w:t xml:space="preserve">月 </w:t>
      </w:r>
      <w:r>
        <w:rPr>
          <w:rFonts w:hint="eastAsia"/>
          <w:color w:val="auto"/>
          <w:sz w:val="24"/>
          <w:szCs w:val="24"/>
          <w:lang w:val="en-US" w:eastAsia="zh-CN"/>
        </w:rPr>
        <w:t xml:space="preserve">  </w:t>
      </w:r>
      <w:r>
        <w:rPr>
          <w:rFonts w:hint="eastAsia"/>
          <w:color w:val="auto"/>
          <w:sz w:val="24"/>
          <w:szCs w:val="24"/>
        </w:rPr>
        <w:t>日</w:t>
      </w:r>
    </w:p>
    <w:p w14:paraId="4EBB16FF">
      <w:pPr>
        <w:pageBreakBefore w:val="0"/>
        <w:topLinePunct w:val="0"/>
        <w:bidi w:val="0"/>
        <w:spacing w:line="500" w:lineRule="exact"/>
        <w:ind w:right="0" w:rightChars="0"/>
        <w:jc w:val="center"/>
        <w:rPr>
          <w:rFonts w:hint="default" w:eastAsia="宋体"/>
          <w:b/>
          <w:bCs/>
          <w:color w:val="auto"/>
          <w:lang w:val="en-US" w:eastAsia="zh-CN"/>
        </w:rPr>
      </w:pPr>
      <w:r>
        <w:rPr>
          <w:rFonts w:hint="eastAsia"/>
          <w:b/>
          <w:bCs/>
          <w:color w:val="auto"/>
          <w:sz w:val="32"/>
          <w:szCs w:val="32"/>
          <w:lang w:val="en-US" w:eastAsia="zh-CN"/>
        </w:rPr>
        <w:t>合同包三</w:t>
      </w:r>
    </w:p>
    <w:p w14:paraId="17539329">
      <w:pPr>
        <w:pStyle w:val="12"/>
        <w:pageBreakBefore w:val="0"/>
        <w:topLinePunct w:val="0"/>
        <w:bidi w:val="0"/>
        <w:spacing w:line="500" w:lineRule="exact"/>
        <w:ind w:left="0" w:leftChars="0" w:right="0" w:rightChars="0" w:firstLine="480" w:firstLineChars="200"/>
        <w:rPr>
          <w:color w:val="auto"/>
          <w:sz w:val="12"/>
        </w:rPr>
      </w:pPr>
      <w:r>
        <w:rPr>
          <w:color w:val="auto"/>
        </w:rPr>
        <w:t>项目名称：</w:t>
      </w:r>
    </w:p>
    <w:tbl>
      <w:tblPr>
        <w:tblStyle w:val="23"/>
        <w:tblpPr w:leftFromText="180" w:rightFromText="180" w:vertAnchor="text" w:horzAnchor="page" w:tblpX="868" w:tblpY="200"/>
        <w:tblOverlap w:val="never"/>
        <w:tblW w:w="10359"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714"/>
        <w:gridCol w:w="4106"/>
        <w:gridCol w:w="2361"/>
        <w:gridCol w:w="1208"/>
        <w:gridCol w:w="970"/>
      </w:tblGrid>
      <w:tr w14:paraId="5B69C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962" w:hRule="atLeast"/>
        </w:trPr>
        <w:tc>
          <w:tcPr>
            <w:tcW w:w="1714" w:type="dxa"/>
            <w:vAlign w:val="center"/>
          </w:tcPr>
          <w:p w14:paraId="114B26D4">
            <w:pPr>
              <w:pageBreakBefore w:val="0"/>
              <w:topLinePunct w:val="0"/>
              <w:bidi w:val="0"/>
              <w:spacing w:line="240" w:lineRule="auto"/>
              <w:ind w:left="0" w:leftChars="0" w:right="0" w:rightChars="0" w:firstLine="480" w:firstLineChars="200"/>
              <w:jc w:val="center"/>
              <w:rPr>
                <w:color w:val="auto"/>
                <w:sz w:val="24"/>
                <w:szCs w:val="24"/>
              </w:rPr>
            </w:pPr>
            <w:r>
              <w:rPr>
                <w:color w:val="auto"/>
                <w:sz w:val="24"/>
                <w:szCs w:val="24"/>
                <w:lang w:val="en-US" w:bidi="ar-SA"/>
              </w:rPr>
              <mc:AlternateContent>
                <mc:Choice Requires="wps">
                  <w:drawing>
                    <wp:anchor distT="0" distB="0" distL="114300" distR="114300" simplePos="0" relativeHeight="251683840" behindDoc="0" locked="0" layoutInCell="1" allowOverlap="1">
                      <wp:simplePos x="0" y="0"/>
                      <wp:positionH relativeFrom="column">
                        <wp:posOffset>20320</wp:posOffset>
                      </wp:positionH>
                      <wp:positionV relativeFrom="paragraph">
                        <wp:posOffset>9525</wp:posOffset>
                      </wp:positionV>
                      <wp:extent cx="1065530" cy="584200"/>
                      <wp:effectExtent l="2540" t="4445" r="17780" b="20955"/>
                      <wp:wrapNone/>
                      <wp:docPr id="8" name="直线 23"/>
                      <wp:cNvGraphicFramePr/>
                      <a:graphic xmlns:a="http://schemas.openxmlformats.org/drawingml/2006/main">
                        <a:graphicData uri="http://schemas.microsoft.com/office/word/2010/wordprocessingShape">
                          <wps:wsp>
                            <wps:cNvCnPr/>
                            <wps:spPr>
                              <a:xfrm>
                                <a:off x="0" y="0"/>
                                <a:ext cx="1065530" cy="58420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线 23" o:spid="_x0000_s1026" o:spt="20" style="position:absolute;left:0pt;margin-left:1.6pt;margin-top:0.75pt;height:46pt;width:83.9pt;z-index:251683840;mso-width-relative:page;mso-height-relative:page;" filled="f" stroked="t" coordsize="21600,21600" o:gfxdata="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nn+iL1AAAAAYBAAAP&#10;AAAAAAAAAAEAIAAAACIAAABkcnMvZG93bnJldi54bWxQSwECFAAUAAAACACHTuJAiiTZnuMBAADV&#10;AwAADgAAAAAAAAABACAAAAAjAQAAZHJzL2Uyb0RvYy54bWxQSwUGAAAAAAYABgBZAQAAeAUAAAAA&#10;">
                      <v:fill on="f" focussize="0,0"/>
                      <v:stroke color="#000000" joinstyle="round"/>
                      <v:imagedata o:title=""/>
                      <o:lock v:ext="edit" aspectratio="f"/>
                    </v:line>
                  </w:pict>
                </mc:Fallback>
              </mc:AlternateContent>
            </w:r>
            <w:r>
              <w:rPr>
                <w:rFonts w:hint="eastAsia"/>
                <w:color w:val="auto"/>
                <w:sz w:val="24"/>
                <w:szCs w:val="24"/>
                <w:lang w:val="en-US"/>
              </w:rPr>
              <w:t xml:space="preserve"> </w:t>
            </w:r>
            <w:r>
              <w:rPr>
                <w:rFonts w:hint="eastAsia"/>
                <w:color w:val="auto"/>
                <w:sz w:val="24"/>
                <w:szCs w:val="24"/>
              </w:rPr>
              <w:t>报价内容</w:t>
            </w:r>
          </w:p>
          <w:p w14:paraId="0AE655E5">
            <w:pPr>
              <w:pageBreakBefore w:val="0"/>
              <w:topLinePunct w:val="0"/>
              <w:bidi w:val="0"/>
              <w:spacing w:line="240" w:lineRule="auto"/>
              <w:ind w:left="0" w:leftChars="0" w:right="0" w:rightChars="0" w:firstLine="480" w:firstLineChars="200"/>
              <w:jc w:val="center"/>
              <w:rPr>
                <w:color w:val="auto"/>
                <w:sz w:val="24"/>
                <w:szCs w:val="24"/>
              </w:rPr>
            </w:pPr>
          </w:p>
          <w:p w14:paraId="2D9FEC0B">
            <w:pPr>
              <w:pageBreakBefore w:val="0"/>
              <w:topLinePunct w:val="0"/>
              <w:bidi w:val="0"/>
              <w:spacing w:line="240" w:lineRule="auto"/>
              <w:ind w:right="0" w:rightChars="0"/>
              <w:jc w:val="both"/>
              <w:rPr>
                <w:color w:val="auto"/>
                <w:sz w:val="24"/>
                <w:szCs w:val="24"/>
              </w:rPr>
            </w:pPr>
            <w:r>
              <w:rPr>
                <w:rFonts w:hint="eastAsia"/>
                <w:color w:val="auto"/>
                <w:sz w:val="24"/>
                <w:szCs w:val="24"/>
              </w:rPr>
              <w:t>投标内容</w:t>
            </w:r>
          </w:p>
        </w:tc>
        <w:tc>
          <w:tcPr>
            <w:tcW w:w="4106" w:type="dxa"/>
            <w:tcBorders>
              <w:right w:val="single" w:color="000000" w:sz="4" w:space="0"/>
            </w:tcBorders>
            <w:vAlign w:val="center"/>
          </w:tcPr>
          <w:p w14:paraId="34DB7D99">
            <w:pPr>
              <w:pageBreakBefore w:val="0"/>
              <w:topLinePunct w:val="0"/>
              <w:bidi w:val="0"/>
              <w:spacing w:line="240" w:lineRule="auto"/>
              <w:ind w:left="0" w:leftChars="0" w:right="0" w:rightChars="0" w:firstLine="1680" w:firstLineChars="700"/>
              <w:jc w:val="both"/>
              <w:rPr>
                <w:rFonts w:hint="default"/>
                <w:color w:val="auto"/>
                <w:sz w:val="24"/>
                <w:szCs w:val="24"/>
                <w:lang w:val="en-US" w:eastAsia="zh-CN"/>
              </w:rPr>
            </w:pPr>
            <w:r>
              <w:rPr>
                <w:rFonts w:hint="eastAsia"/>
                <w:color w:val="auto"/>
                <w:sz w:val="24"/>
                <w:szCs w:val="24"/>
                <w:lang w:val="en-US" w:eastAsia="zh-CN"/>
              </w:rPr>
              <w:t>所投产品</w:t>
            </w:r>
          </w:p>
        </w:tc>
        <w:tc>
          <w:tcPr>
            <w:tcW w:w="2361" w:type="dxa"/>
            <w:tcBorders>
              <w:left w:val="single" w:color="000000" w:sz="4" w:space="0"/>
              <w:right w:val="single" w:color="000000" w:sz="4" w:space="0"/>
            </w:tcBorders>
            <w:vAlign w:val="center"/>
          </w:tcPr>
          <w:p w14:paraId="61047DB7">
            <w:pPr>
              <w:pageBreakBefore w:val="0"/>
              <w:topLinePunct w:val="0"/>
              <w:bidi w:val="0"/>
              <w:spacing w:line="240" w:lineRule="auto"/>
              <w:ind w:right="0" w:rightChars="0"/>
              <w:jc w:val="both"/>
              <w:rPr>
                <w:rFonts w:hint="default" w:eastAsia="宋体"/>
                <w:color w:val="auto"/>
                <w:sz w:val="24"/>
                <w:szCs w:val="24"/>
                <w:lang w:val="en-US" w:eastAsia="zh-CN"/>
              </w:rPr>
            </w:pPr>
            <w:r>
              <w:rPr>
                <w:rFonts w:hint="eastAsia"/>
                <w:color w:val="auto"/>
                <w:sz w:val="24"/>
                <w:szCs w:val="24"/>
                <w:lang w:val="en-US" w:eastAsia="zh-CN"/>
              </w:rPr>
              <w:t>肉类食材、鸡蛋投标优惠率（%）</w:t>
            </w:r>
          </w:p>
        </w:tc>
        <w:tc>
          <w:tcPr>
            <w:tcW w:w="1208" w:type="dxa"/>
            <w:tcBorders>
              <w:left w:val="single" w:color="000000" w:sz="4" w:space="0"/>
            </w:tcBorders>
            <w:vAlign w:val="center"/>
          </w:tcPr>
          <w:p w14:paraId="21E47DD5">
            <w:pPr>
              <w:pageBreakBefore w:val="0"/>
              <w:topLinePunct w:val="0"/>
              <w:bidi w:val="0"/>
              <w:spacing w:line="240" w:lineRule="auto"/>
              <w:ind w:right="0" w:rightChars="0"/>
              <w:jc w:val="center"/>
              <w:rPr>
                <w:rFonts w:hint="eastAsia" w:eastAsia="宋体"/>
                <w:color w:val="auto"/>
                <w:sz w:val="24"/>
                <w:szCs w:val="24"/>
                <w:lang w:eastAsia="zh-CN"/>
              </w:rPr>
            </w:pPr>
            <w:r>
              <w:rPr>
                <w:rFonts w:hint="eastAsia" w:eastAsia="宋体"/>
                <w:color w:val="auto"/>
                <w:sz w:val="24"/>
                <w:szCs w:val="24"/>
                <w:lang w:eastAsia="zh-CN"/>
              </w:rPr>
              <w:t>投标报价（</w:t>
            </w:r>
            <w:r>
              <w:rPr>
                <w:rFonts w:hint="eastAsia" w:eastAsia="宋体"/>
                <w:color w:val="auto"/>
                <w:sz w:val="24"/>
                <w:szCs w:val="24"/>
                <w:lang w:val="en-US" w:eastAsia="zh-CN"/>
              </w:rPr>
              <w:t>元</w:t>
            </w:r>
            <w:r>
              <w:rPr>
                <w:rFonts w:hint="eastAsia" w:eastAsia="宋体"/>
                <w:color w:val="auto"/>
                <w:sz w:val="24"/>
                <w:szCs w:val="24"/>
                <w:lang w:eastAsia="zh-CN"/>
              </w:rPr>
              <w:t>）</w:t>
            </w:r>
          </w:p>
        </w:tc>
        <w:tc>
          <w:tcPr>
            <w:tcW w:w="970" w:type="dxa"/>
            <w:tcBorders>
              <w:left w:val="single" w:color="000000" w:sz="4" w:space="0"/>
            </w:tcBorders>
            <w:vAlign w:val="center"/>
          </w:tcPr>
          <w:p w14:paraId="6445D4BA">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供货期</w:t>
            </w:r>
          </w:p>
        </w:tc>
      </w:tr>
      <w:tr w14:paraId="588E7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4" w:hRule="atLeast"/>
        </w:trPr>
        <w:tc>
          <w:tcPr>
            <w:tcW w:w="1714" w:type="dxa"/>
            <w:vAlign w:val="center"/>
          </w:tcPr>
          <w:p w14:paraId="464D3B01">
            <w:pPr>
              <w:pageBreakBefore w:val="0"/>
              <w:topLinePunct w:val="0"/>
              <w:bidi w:val="0"/>
              <w:spacing w:line="240" w:lineRule="auto"/>
              <w:ind w:right="0" w:rightChars="0"/>
              <w:jc w:val="center"/>
              <w:rPr>
                <w:rFonts w:hint="eastAsia" w:eastAsia="宋体"/>
                <w:color w:val="auto"/>
                <w:sz w:val="24"/>
                <w:szCs w:val="24"/>
                <w:lang w:eastAsia="zh-CN"/>
              </w:rPr>
            </w:pPr>
            <w:r>
              <w:rPr>
                <w:rFonts w:hint="eastAsia"/>
                <w:color w:val="auto"/>
                <w:sz w:val="24"/>
                <w:szCs w:val="24"/>
                <w:lang w:val="en-US" w:eastAsia="zh-CN"/>
              </w:rPr>
              <w:t>猪肉</w:t>
            </w:r>
          </w:p>
        </w:tc>
        <w:tc>
          <w:tcPr>
            <w:tcW w:w="4106" w:type="dxa"/>
            <w:tcBorders>
              <w:right w:val="single" w:color="000000" w:sz="4" w:space="0"/>
            </w:tcBorders>
            <w:vAlign w:val="center"/>
          </w:tcPr>
          <w:p w14:paraId="4CF61420">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品牌：</w:t>
            </w:r>
          </w:p>
          <w:p w14:paraId="38C1AE4B">
            <w:pPr>
              <w:pageBreakBefore w:val="0"/>
              <w:topLinePunct w:val="0"/>
              <w:bidi w:val="0"/>
              <w:spacing w:line="240" w:lineRule="auto"/>
              <w:ind w:right="0" w:rightChars="0"/>
              <w:jc w:val="both"/>
            </w:pPr>
            <w:r>
              <w:rPr>
                <w:rFonts w:hint="eastAsia"/>
                <w:color w:val="auto"/>
                <w:sz w:val="24"/>
                <w:szCs w:val="24"/>
                <w:lang w:val="en-US" w:eastAsia="zh-CN"/>
              </w:rPr>
              <w:t>生产商：</w:t>
            </w:r>
          </w:p>
        </w:tc>
        <w:tc>
          <w:tcPr>
            <w:tcW w:w="2361" w:type="dxa"/>
            <w:vMerge w:val="restart"/>
            <w:tcBorders>
              <w:left w:val="single" w:color="000000" w:sz="4" w:space="0"/>
              <w:right w:val="single" w:color="000000" w:sz="4" w:space="0"/>
            </w:tcBorders>
            <w:vAlign w:val="center"/>
          </w:tcPr>
          <w:p w14:paraId="3834D2FC">
            <w:pPr>
              <w:pageBreakBefore w:val="0"/>
              <w:topLinePunct w:val="0"/>
              <w:bidi w:val="0"/>
              <w:spacing w:line="240" w:lineRule="auto"/>
              <w:ind w:left="0" w:leftChars="0" w:right="0" w:rightChars="0" w:firstLine="480" w:firstLineChars="200"/>
              <w:jc w:val="center"/>
              <w:rPr>
                <w:color w:val="auto"/>
                <w:sz w:val="24"/>
                <w:szCs w:val="24"/>
              </w:rPr>
            </w:pPr>
            <w:r>
              <w:rPr>
                <w:rFonts w:hint="eastAsia"/>
                <w:color w:val="auto"/>
                <w:sz w:val="24"/>
                <w:szCs w:val="24"/>
                <w:u w:val="single"/>
                <w:lang w:val="en-US" w:eastAsia="zh-CN"/>
              </w:rPr>
              <w:t xml:space="preserve">    </w:t>
            </w:r>
            <w:r>
              <w:rPr>
                <w:rFonts w:hint="eastAsia"/>
                <w:color w:val="auto"/>
                <w:sz w:val="24"/>
                <w:szCs w:val="24"/>
                <w:u w:val="none"/>
                <w:lang w:val="en-US" w:eastAsia="zh-CN"/>
              </w:rPr>
              <w:t>%</w:t>
            </w:r>
          </w:p>
        </w:tc>
        <w:tc>
          <w:tcPr>
            <w:tcW w:w="1208" w:type="dxa"/>
            <w:tcBorders>
              <w:left w:val="single" w:color="000000" w:sz="4" w:space="0"/>
            </w:tcBorders>
            <w:vAlign w:val="center"/>
          </w:tcPr>
          <w:p w14:paraId="26B312ED">
            <w:pPr>
              <w:pageBreakBefore w:val="0"/>
              <w:topLinePunct w:val="0"/>
              <w:bidi w:val="0"/>
              <w:spacing w:line="240" w:lineRule="auto"/>
              <w:ind w:left="0" w:leftChars="0" w:right="0" w:rightChars="0" w:firstLine="480" w:firstLineChars="200"/>
              <w:jc w:val="center"/>
              <w:rPr>
                <w:color w:val="auto"/>
                <w:sz w:val="24"/>
                <w:szCs w:val="24"/>
              </w:rPr>
            </w:pPr>
          </w:p>
        </w:tc>
        <w:tc>
          <w:tcPr>
            <w:tcW w:w="970" w:type="dxa"/>
            <w:tcBorders>
              <w:left w:val="single" w:color="000000" w:sz="4" w:space="0"/>
            </w:tcBorders>
            <w:vAlign w:val="center"/>
          </w:tcPr>
          <w:p w14:paraId="0009AC74">
            <w:pPr>
              <w:pageBreakBefore w:val="0"/>
              <w:topLinePunct w:val="0"/>
              <w:bidi w:val="0"/>
              <w:spacing w:line="240" w:lineRule="auto"/>
              <w:ind w:left="0" w:leftChars="0" w:right="0" w:rightChars="0" w:firstLine="480" w:firstLineChars="200"/>
              <w:jc w:val="center"/>
              <w:rPr>
                <w:color w:val="auto"/>
                <w:sz w:val="24"/>
                <w:szCs w:val="24"/>
              </w:rPr>
            </w:pPr>
          </w:p>
        </w:tc>
      </w:tr>
      <w:tr w14:paraId="3264C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5" w:hRule="atLeast"/>
        </w:trPr>
        <w:tc>
          <w:tcPr>
            <w:tcW w:w="1714" w:type="dxa"/>
            <w:vAlign w:val="center"/>
          </w:tcPr>
          <w:p w14:paraId="6068D404">
            <w:pPr>
              <w:pageBreakBefore w:val="0"/>
              <w:topLinePunct w:val="0"/>
              <w:bidi w:val="0"/>
              <w:spacing w:line="240" w:lineRule="auto"/>
              <w:ind w:right="0" w:rightChars="0"/>
              <w:jc w:val="center"/>
              <w:rPr>
                <w:rFonts w:hint="eastAsia"/>
                <w:color w:val="auto"/>
                <w:sz w:val="24"/>
                <w:szCs w:val="24"/>
              </w:rPr>
            </w:pPr>
            <w:r>
              <w:rPr>
                <w:rFonts w:hint="eastAsia"/>
                <w:color w:val="auto"/>
                <w:sz w:val="24"/>
                <w:szCs w:val="24"/>
              </w:rPr>
              <w:t>鸡蛋</w:t>
            </w:r>
          </w:p>
        </w:tc>
        <w:tc>
          <w:tcPr>
            <w:tcW w:w="4106" w:type="dxa"/>
            <w:tcBorders>
              <w:right w:val="single" w:color="000000" w:sz="4" w:space="0"/>
            </w:tcBorders>
            <w:vAlign w:val="center"/>
          </w:tcPr>
          <w:p w14:paraId="52E2076F">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品牌：</w:t>
            </w:r>
          </w:p>
          <w:p w14:paraId="6CBF4361">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生产商：</w:t>
            </w:r>
          </w:p>
        </w:tc>
        <w:tc>
          <w:tcPr>
            <w:tcW w:w="2361" w:type="dxa"/>
            <w:vMerge w:val="continue"/>
            <w:tcBorders>
              <w:left w:val="single" w:color="000000" w:sz="4" w:space="0"/>
              <w:right w:val="single" w:color="000000" w:sz="4" w:space="0"/>
            </w:tcBorders>
            <w:vAlign w:val="center"/>
          </w:tcPr>
          <w:p w14:paraId="08BDB342">
            <w:pPr>
              <w:pageBreakBefore w:val="0"/>
              <w:topLinePunct w:val="0"/>
              <w:bidi w:val="0"/>
              <w:spacing w:line="240" w:lineRule="auto"/>
              <w:ind w:left="0" w:leftChars="0" w:right="0" w:rightChars="0" w:firstLine="480" w:firstLineChars="200"/>
              <w:jc w:val="center"/>
              <w:rPr>
                <w:rFonts w:hint="eastAsia"/>
                <w:color w:val="auto"/>
                <w:sz w:val="24"/>
                <w:szCs w:val="24"/>
                <w:u w:val="single"/>
                <w:lang w:val="en-US" w:eastAsia="zh-CN"/>
              </w:rPr>
            </w:pPr>
          </w:p>
        </w:tc>
        <w:tc>
          <w:tcPr>
            <w:tcW w:w="1208" w:type="dxa"/>
            <w:tcBorders>
              <w:left w:val="single" w:color="000000" w:sz="4" w:space="0"/>
            </w:tcBorders>
            <w:vAlign w:val="center"/>
          </w:tcPr>
          <w:p w14:paraId="080E885F">
            <w:pPr>
              <w:pageBreakBefore w:val="0"/>
              <w:topLinePunct w:val="0"/>
              <w:bidi w:val="0"/>
              <w:spacing w:line="240" w:lineRule="auto"/>
              <w:ind w:left="0" w:leftChars="0" w:right="0" w:rightChars="0" w:firstLine="480" w:firstLineChars="200"/>
              <w:jc w:val="center"/>
              <w:rPr>
                <w:color w:val="auto"/>
                <w:sz w:val="24"/>
                <w:szCs w:val="24"/>
              </w:rPr>
            </w:pPr>
          </w:p>
        </w:tc>
        <w:tc>
          <w:tcPr>
            <w:tcW w:w="970" w:type="dxa"/>
            <w:tcBorders>
              <w:left w:val="single" w:color="000000" w:sz="4" w:space="0"/>
            </w:tcBorders>
            <w:vAlign w:val="center"/>
          </w:tcPr>
          <w:p w14:paraId="5CD7B6D5">
            <w:pPr>
              <w:pageBreakBefore w:val="0"/>
              <w:topLinePunct w:val="0"/>
              <w:bidi w:val="0"/>
              <w:spacing w:line="240" w:lineRule="auto"/>
              <w:ind w:left="0" w:leftChars="0" w:right="0" w:rightChars="0" w:firstLine="480" w:firstLineChars="200"/>
              <w:jc w:val="center"/>
              <w:rPr>
                <w:color w:val="auto"/>
                <w:sz w:val="24"/>
                <w:szCs w:val="24"/>
              </w:rPr>
            </w:pPr>
          </w:p>
        </w:tc>
      </w:tr>
      <w:tr w14:paraId="6A812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0" w:hRule="atLeast"/>
        </w:trPr>
        <w:tc>
          <w:tcPr>
            <w:tcW w:w="1714" w:type="dxa"/>
            <w:vAlign w:val="center"/>
          </w:tcPr>
          <w:p w14:paraId="2C987070">
            <w:pPr>
              <w:pageBreakBefore w:val="0"/>
              <w:topLinePunct w:val="0"/>
              <w:bidi w:val="0"/>
              <w:spacing w:line="240" w:lineRule="auto"/>
              <w:ind w:right="0" w:rightChars="0"/>
              <w:jc w:val="center"/>
              <w:rPr>
                <w:rFonts w:hint="eastAsia" w:eastAsia="宋体"/>
                <w:color w:val="auto"/>
                <w:sz w:val="24"/>
                <w:szCs w:val="24"/>
                <w:lang w:val="en-US" w:eastAsia="zh-CN"/>
              </w:rPr>
            </w:pPr>
            <w:r>
              <w:rPr>
                <w:rFonts w:hint="eastAsia"/>
                <w:color w:val="auto"/>
                <w:sz w:val="24"/>
                <w:szCs w:val="24"/>
                <w:lang w:val="en-US" w:eastAsia="zh-CN"/>
              </w:rPr>
              <w:t>牛肉</w:t>
            </w:r>
          </w:p>
        </w:tc>
        <w:tc>
          <w:tcPr>
            <w:tcW w:w="4106" w:type="dxa"/>
            <w:tcBorders>
              <w:right w:val="single" w:color="000000" w:sz="4" w:space="0"/>
            </w:tcBorders>
            <w:vAlign w:val="center"/>
          </w:tcPr>
          <w:p w14:paraId="77C8F4F1">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品牌：</w:t>
            </w:r>
          </w:p>
          <w:p w14:paraId="18A638E5">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生产商：</w:t>
            </w:r>
          </w:p>
        </w:tc>
        <w:tc>
          <w:tcPr>
            <w:tcW w:w="2361" w:type="dxa"/>
            <w:vMerge w:val="continue"/>
            <w:tcBorders>
              <w:left w:val="single" w:color="000000" w:sz="4" w:space="0"/>
              <w:right w:val="single" w:color="000000" w:sz="4" w:space="0"/>
            </w:tcBorders>
            <w:vAlign w:val="center"/>
          </w:tcPr>
          <w:p w14:paraId="7F4E6B93">
            <w:pPr>
              <w:pageBreakBefore w:val="0"/>
              <w:topLinePunct w:val="0"/>
              <w:bidi w:val="0"/>
              <w:spacing w:line="240" w:lineRule="auto"/>
              <w:ind w:left="0" w:leftChars="0" w:right="0" w:rightChars="0" w:firstLine="480" w:firstLineChars="200"/>
              <w:jc w:val="center"/>
              <w:rPr>
                <w:rFonts w:hint="eastAsia"/>
                <w:color w:val="auto"/>
                <w:sz w:val="24"/>
                <w:szCs w:val="24"/>
                <w:u w:val="single"/>
                <w:lang w:val="en-US" w:eastAsia="zh-CN"/>
              </w:rPr>
            </w:pPr>
          </w:p>
        </w:tc>
        <w:tc>
          <w:tcPr>
            <w:tcW w:w="1208" w:type="dxa"/>
            <w:tcBorders>
              <w:left w:val="single" w:color="000000" w:sz="4" w:space="0"/>
            </w:tcBorders>
            <w:vAlign w:val="center"/>
          </w:tcPr>
          <w:p w14:paraId="69CFC62E">
            <w:pPr>
              <w:pageBreakBefore w:val="0"/>
              <w:topLinePunct w:val="0"/>
              <w:bidi w:val="0"/>
              <w:spacing w:line="240" w:lineRule="auto"/>
              <w:ind w:left="0" w:leftChars="0" w:right="0" w:rightChars="0" w:firstLine="480" w:firstLineChars="200"/>
              <w:jc w:val="center"/>
              <w:rPr>
                <w:color w:val="auto"/>
                <w:sz w:val="24"/>
                <w:szCs w:val="24"/>
              </w:rPr>
            </w:pPr>
          </w:p>
        </w:tc>
        <w:tc>
          <w:tcPr>
            <w:tcW w:w="970" w:type="dxa"/>
            <w:tcBorders>
              <w:left w:val="single" w:color="000000" w:sz="4" w:space="0"/>
            </w:tcBorders>
            <w:vAlign w:val="center"/>
          </w:tcPr>
          <w:p w14:paraId="4F2FED87">
            <w:pPr>
              <w:pageBreakBefore w:val="0"/>
              <w:topLinePunct w:val="0"/>
              <w:bidi w:val="0"/>
              <w:spacing w:line="240" w:lineRule="auto"/>
              <w:ind w:left="0" w:leftChars="0" w:right="0" w:rightChars="0" w:firstLine="480" w:firstLineChars="200"/>
              <w:jc w:val="center"/>
              <w:rPr>
                <w:color w:val="auto"/>
                <w:sz w:val="24"/>
                <w:szCs w:val="24"/>
              </w:rPr>
            </w:pPr>
          </w:p>
        </w:tc>
      </w:tr>
      <w:tr w14:paraId="36973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4" w:hRule="atLeast"/>
        </w:trPr>
        <w:tc>
          <w:tcPr>
            <w:tcW w:w="1714" w:type="dxa"/>
            <w:vAlign w:val="center"/>
          </w:tcPr>
          <w:p w14:paraId="5FAFBBA0">
            <w:pPr>
              <w:pageBreakBefore w:val="0"/>
              <w:topLinePunct w:val="0"/>
              <w:bidi w:val="0"/>
              <w:spacing w:line="240" w:lineRule="auto"/>
              <w:ind w:right="0" w:rightChars="0"/>
              <w:jc w:val="center"/>
              <w:rPr>
                <w:rFonts w:hint="eastAsia" w:eastAsia="宋体"/>
                <w:color w:val="auto"/>
                <w:sz w:val="24"/>
                <w:szCs w:val="24"/>
                <w:lang w:val="en-US" w:eastAsia="zh-CN"/>
              </w:rPr>
            </w:pPr>
            <w:r>
              <w:rPr>
                <w:rFonts w:hint="eastAsia"/>
                <w:color w:val="auto"/>
                <w:sz w:val="24"/>
                <w:szCs w:val="24"/>
                <w:lang w:val="en-US" w:eastAsia="zh-CN"/>
              </w:rPr>
              <w:t>羊肉</w:t>
            </w:r>
          </w:p>
        </w:tc>
        <w:tc>
          <w:tcPr>
            <w:tcW w:w="4106" w:type="dxa"/>
            <w:tcBorders>
              <w:right w:val="single" w:color="000000" w:sz="4" w:space="0"/>
            </w:tcBorders>
            <w:vAlign w:val="center"/>
          </w:tcPr>
          <w:p w14:paraId="367A917A">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品牌：</w:t>
            </w:r>
          </w:p>
          <w:p w14:paraId="562A2ADE">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生产商：</w:t>
            </w:r>
          </w:p>
        </w:tc>
        <w:tc>
          <w:tcPr>
            <w:tcW w:w="2361" w:type="dxa"/>
            <w:vMerge w:val="continue"/>
            <w:tcBorders>
              <w:left w:val="single" w:color="000000" w:sz="4" w:space="0"/>
              <w:right w:val="single" w:color="000000" w:sz="4" w:space="0"/>
            </w:tcBorders>
            <w:vAlign w:val="center"/>
          </w:tcPr>
          <w:p w14:paraId="3ED2EB5C">
            <w:pPr>
              <w:pageBreakBefore w:val="0"/>
              <w:topLinePunct w:val="0"/>
              <w:bidi w:val="0"/>
              <w:spacing w:line="240" w:lineRule="auto"/>
              <w:ind w:left="0" w:leftChars="0" w:right="0" w:rightChars="0" w:firstLine="480" w:firstLineChars="200"/>
              <w:jc w:val="center"/>
              <w:rPr>
                <w:rFonts w:hint="eastAsia"/>
                <w:color w:val="auto"/>
                <w:sz w:val="24"/>
                <w:szCs w:val="24"/>
                <w:u w:val="single"/>
                <w:lang w:val="en-US" w:eastAsia="zh-CN"/>
              </w:rPr>
            </w:pPr>
          </w:p>
        </w:tc>
        <w:tc>
          <w:tcPr>
            <w:tcW w:w="1208" w:type="dxa"/>
            <w:tcBorders>
              <w:left w:val="single" w:color="000000" w:sz="4" w:space="0"/>
            </w:tcBorders>
            <w:vAlign w:val="center"/>
          </w:tcPr>
          <w:p w14:paraId="1A70008E">
            <w:pPr>
              <w:pageBreakBefore w:val="0"/>
              <w:topLinePunct w:val="0"/>
              <w:bidi w:val="0"/>
              <w:spacing w:line="240" w:lineRule="auto"/>
              <w:ind w:left="0" w:leftChars="0" w:right="0" w:rightChars="0" w:firstLine="480" w:firstLineChars="200"/>
              <w:jc w:val="center"/>
              <w:rPr>
                <w:color w:val="auto"/>
                <w:sz w:val="24"/>
                <w:szCs w:val="24"/>
              </w:rPr>
            </w:pPr>
          </w:p>
        </w:tc>
        <w:tc>
          <w:tcPr>
            <w:tcW w:w="970" w:type="dxa"/>
            <w:tcBorders>
              <w:left w:val="single" w:color="000000" w:sz="4" w:space="0"/>
            </w:tcBorders>
            <w:vAlign w:val="center"/>
          </w:tcPr>
          <w:p w14:paraId="4CB54D80">
            <w:pPr>
              <w:pageBreakBefore w:val="0"/>
              <w:topLinePunct w:val="0"/>
              <w:bidi w:val="0"/>
              <w:spacing w:line="240" w:lineRule="auto"/>
              <w:ind w:left="0" w:leftChars="0" w:right="0" w:rightChars="0" w:firstLine="480" w:firstLineChars="200"/>
              <w:jc w:val="center"/>
              <w:rPr>
                <w:color w:val="auto"/>
                <w:sz w:val="24"/>
                <w:szCs w:val="24"/>
              </w:rPr>
            </w:pPr>
          </w:p>
        </w:tc>
      </w:tr>
      <w:tr w14:paraId="4D8D9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9" w:hRule="atLeast"/>
        </w:trPr>
        <w:tc>
          <w:tcPr>
            <w:tcW w:w="1714" w:type="dxa"/>
            <w:vAlign w:val="center"/>
          </w:tcPr>
          <w:p w14:paraId="2B4CD8A5">
            <w:pPr>
              <w:pageBreakBefore w:val="0"/>
              <w:topLinePunct w:val="0"/>
              <w:bidi w:val="0"/>
              <w:spacing w:line="240" w:lineRule="auto"/>
              <w:ind w:right="0" w:rightChars="0"/>
              <w:jc w:val="center"/>
              <w:rPr>
                <w:rFonts w:hint="default"/>
                <w:color w:val="auto"/>
                <w:sz w:val="24"/>
                <w:szCs w:val="24"/>
                <w:lang w:val="en-US" w:eastAsia="zh-CN"/>
              </w:rPr>
            </w:pPr>
            <w:r>
              <w:rPr>
                <w:rFonts w:hint="eastAsia"/>
                <w:color w:val="auto"/>
                <w:sz w:val="24"/>
                <w:szCs w:val="24"/>
                <w:lang w:val="en-US" w:eastAsia="zh-CN"/>
              </w:rPr>
              <w:t>鸡肉</w:t>
            </w:r>
          </w:p>
        </w:tc>
        <w:tc>
          <w:tcPr>
            <w:tcW w:w="4106" w:type="dxa"/>
            <w:tcBorders>
              <w:right w:val="single" w:color="000000" w:sz="4" w:space="0"/>
            </w:tcBorders>
            <w:vAlign w:val="center"/>
          </w:tcPr>
          <w:p w14:paraId="4ECFE701">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品牌：</w:t>
            </w:r>
          </w:p>
          <w:p w14:paraId="738D4735">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生产商：</w:t>
            </w:r>
          </w:p>
        </w:tc>
        <w:tc>
          <w:tcPr>
            <w:tcW w:w="2361" w:type="dxa"/>
            <w:vMerge w:val="continue"/>
            <w:tcBorders>
              <w:left w:val="single" w:color="000000" w:sz="4" w:space="0"/>
              <w:right w:val="single" w:color="000000" w:sz="4" w:space="0"/>
            </w:tcBorders>
            <w:vAlign w:val="center"/>
          </w:tcPr>
          <w:p w14:paraId="4E1A6171">
            <w:pPr>
              <w:pageBreakBefore w:val="0"/>
              <w:topLinePunct w:val="0"/>
              <w:bidi w:val="0"/>
              <w:spacing w:line="240" w:lineRule="auto"/>
              <w:ind w:left="0" w:leftChars="0" w:right="0" w:rightChars="0" w:firstLine="480" w:firstLineChars="200"/>
              <w:jc w:val="center"/>
              <w:rPr>
                <w:rFonts w:hint="eastAsia"/>
                <w:color w:val="auto"/>
                <w:sz w:val="24"/>
                <w:szCs w:val="24"/>
                <w:u w:val="single"/>
                <w:lang w:val="en-US" w:eastAsia="zh-CN"/>
              </w:rPr>
            </w:pPr>
          </w:p>
        </w:tc>
        <w:tc>
          <w:tcPr>
            <w:tcW w:w="1208" w:type="dxa"/>
            <w:tcBorders>
              <w:left w:val="single" w:color="000000" w:sz="4" w:space="0"/>
            </w:tcBorders>
            <w:vAlign w:val="center"/>
          </w:tcPr>
          <w:p w14:paraId="68C776AC">
            <w:pPr>
              <w:pageBreakBefore w:val="0"/>
              <w:topLinePunct w:val="0"/>
              <w:bidi w:val="0"/>
              <w:spacing w:line="240" w:lineRule="auto"/>
              <w:ind w:left="0" w:leftChars="0" w:right="0" w:rightChars="0" w:firstLine="480" w:firstLineChars="200"/>
              <w:jc w:val="center"/>
              <w:rPr>
                <w:color w:val="auto"/>
                <w:sz w:val="24"/>
                <w:szCs w:val="24"/>
              </w:rPr>
            </w:pPr>
          </w:p>
        </w:tc>
        <w:tc>
          <w:tcPr>
            <w:tcW w:w="970" w:type="dxa"/>
            <w:tcBorders>
              <w:left w:val="single" w:color="000000" w:sz="4" w:space="0"/>
            </w:tcBorders>
            <w:vAlign w:val="center"/>
          </w:tcPr>
          <w:p w14:paraId="1212481F">
            <w:pPr>
              <w:pageBreakBefore w:val="0"/>
              <w:topLinePunct w:val="0"/>
              <w:bidi w:val="0"/>
              <w:spacing w:line="240" w:lineRule="auto"/>
              <w:ind w:left="0" w:leftChars="0" w:right="0" w:rightChars="0" w:firstLine="480" w:firstLineChars="200"/>
              <w:jc w:val="center"/>
              <w:rPr>
                <w:color w:val="auto"/>
                <w:sz w:val="24"/>
                <w:szCs w:val="24"/>
              </w:rPr>
            </w:pPr>
          </w:p>
        </w:tc>
      </w:tr>
      <w:tr w14:paraId="2EB27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0" w:hRule="atLeast"/>
        </w:trPr>
        <w:tc>
          <w:tcPr>
            <w:tcW w:w="1714" w:type="dxa"/>
            <w:vAlign w:val="center"/>
          </w:tcPr>
          <w:p w14:paraId="463EDEF2">
            <w:pPr>
              <w:pageBreakBefore w:val="0"/>
              <w:topLinePunct w:val="0"/>
              <w:bidi w:val="0"/>
              <w:spacing w:line="240" w:lineRule="auto"/>
              <w:ind w:right="0" w:rightChars="0"/>
              <w:jc w:val="center"/>
              <w:rPr>
                <w:rFonts w:hint="eastAsia"/>
                <w:color w:val="auto"/>
                <w:sz w:val="24"/>
                <w:szCs w:val="24"/>
              </w:rPr>
            </w:pPr>
            <w:r>
              <w:rPr>
                <w:rFonts w:hint="eastAsia"/>
                <w:color w:val="auto"/>
                <w:sz w:val="24"/>
                <w:szCs w:val="24"/>
                <w:lang w:val="en-US" w:eastAsia="zh-CN"/>
              </w:rPr>
              <w:t>投标总报价（元）</w:t>
            </w:r>
          </w:p>
        </w:tc>
        <w:tc>
          <w:tcPr>
            <w:tcW w:w="8645" w:type="dxa"/>
            <w:gridSpan w:val="4"/>
            <w:vAlign w:val="center"/>
          </w:tcPr>
          <w:p w14:paraId="5C8EAC78">
            <w:pPr>
              <w:pageBreakBefore w:val="0"/>
              <w:topLinePunct w:val="0"/>
              <w:bidi w:val="0"/>
              <w:spacing w:line="240" w:lineRule="auto"/>
              <w:ind w:right="0" w:rightChars="0"/>
              <w:jc w:val="both"/>
              <w:rPr>
                <w:rFonts w:hint="eastAsia"/>
                <w:color w:val="auto"/>
                <w:sz w:val="24"/>
                <w:szCs w:val="24"/>
                <w:lang w:val="en-US" w:eastAsia="zh-CN"/>
              </w:rPr>
            </w:pPr>
            <w:r>
              <w:rPr>
                <w:rFonts w:hint="eastAsia"/>
                <w:color w:val="auto"/>
                <w:sz w:val="24"/>
                <w:szCs w:val="24"/>
                <w:lang w:val="en-US" w:eastAsia="zh-CN"/>
              </w:rPr>
              <w:t>大写：</w:t>
            </w:r>
          </w:p>
          <w:p w14:paraId="26EEAEED">
            <w:pPr>
              <w:pageBreakBefore w:val="0"/>
              <w:topLinePunct w:val="0"/>
              <w:bidi w:val="0"/>
              <w:spacing w:line="240" w:lineRule="auto"/>
              <w:ind w:right="0" w:rightChars="0"/>
              <w:jc w:val="both"/>
              <w:rPr>
                <w:color w:val="auto"/>
                <w:sz w:val="24"/>
                <w:szCs w:val="24"/>
              </w:rPr>
            </w:pPr>
            <w:r>
              <w:rPr>
                <w:rFonts w:hint="eastAsia"/>
                <w:color w:val="auto"/>
                <w:sz w:val="24"/>
                <w:szCs w:val="24"/>
                <w:lang w:val="en-US" w:eastAsia="zh-CN"/>
              </w:rPr>
              <w:t>小写：</w:t>
            </w:r>
          </w:p>
        </w:tc>
      </w:tr>
      <w:tr w14:paraId="4B378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30" w:hRule="atLeast"/>
        </w:trPr>
        <w:tc>
          <w:tcPr>
            <w:tcW w:w="10359" w:type="dxa"/>
            <w:gridSpan w:val="5"/>
            <w:vAlign w:val="center"/>
          </w:tcPr>
          <w:p w14:paraId="523ACEF9">
            <w:pPr>
              <w:pageBreakBefore w:val="0"/>
              <w:topLinePunct w:val="0"/>
              <w:bidi w:val="0"/>
              <w:spacing w:line="500" w:lineRule="exact"/>
              <w:ind w:left="0" w:leftChars="0" w:right="0" w:rightChars="0" w:firstLine="482" w:firstLineChars="200"/>
              <w:rPr>
                <w:rFonts w:hint="eastAsia"/>
                <w:b/>
                <w:bCs/>
                <w:color w:val="auto"/>
                <w:sz w:val="24"/>
                <w:szCs w:val="24"/>
              </w:rPr>
            </w:pPr>
            <w:r>
              <w:rPr>
                <w:rFonts w:hint="eastAsia"/>
                <w:b/>
                <w:bCs/>
                <w:color w:val="auto"/>
                <w:sz w:val="24"/>
                <w:szCs w:val="24"/>
              </w:rPr>
              <w:t>备注：</w:t>
            </w:r>
          </w:p>
          <w:p w14:paraId="169843FB">
            <w:pPr>
              <w:pageBreakBefore w:val="0"/>
              <w:numPr>
                <w:ilvl w:val="0"/>
                <w:numId w:val="0"/>
              </w:numPr>
              <w:topLinePunct w:val="0"/>
              <w:bidi w:val="0"/>
              <w:spacing w:line="240" w:lineRule="auto"/>
              <w:ind w:right="0" w:rightChars="0" w:firstLine="480" w:firstLineChars="200"/>
              <w:rPr>
                <w:rFonts w:hint="eastAsia"/>
                <w:b w:val="0"/>
                <w:bCs w:val="0"/>
                <w:color w:val="auto"/>
                <w:sz w:val="24"/>
                <w:szCs w:val="24"/>
              </w:rPr>
            </w:pPr>
            <w:r>
              <w:rPr>
                <w:rFonts w:hint="eastAsia" w:cs="宋体"/>
                <w:i w:val="0"/>
                <w:iCs w:val="0"/>
                <w:color w:val="auto"/>
                <w:sz w:val="24"/>
                <w:szCs w:val="24"/>
                <w:shd w:val="clear" w:color="auto" w:fill="auto"/>
                <w:lang w:val="en-US" w:eastAsia="zh-CN"/>
              </w:rPr>
              <w:t>1.</w:t>
            </w:r>
            <w:r>
              <w:rPr>
                <w:rFonts w:hint="eastAsia" w:ascii="宋体" w:hAnsi="宋体" w:eastAsia="宋体" w:cs="宋体"/>
                <w:i w:val="0"/>
                <w:iCs w:val="0"/>
                <w:color w:val="auto"/>
                <w:sz w:val="24"/>
                <w:szCs w:val="24"/>
                <w:shd w:val="clear" w:color="auto" w:fill="auto"/>
              </w:rPr>
              <w:t>投标报价表中</w:t>
            </w:r>
            <w:r>
              <w:rPr>
                <w:rFonts w:hint="eastAsia" w:ascii="宋体" w:hAnsi="宋体" w:eastAsia="宋体" w:cs="宋体"/>
                <w:i w:val="0"/>
                <w:iCs w:val="0"/>
                <w:color w:val="auto"/>
                <w:sz w:val="24"/>
                <w:szCs w:val="24"/>
                <w:shd w:val="clear" w:color="auto" w:fill="auto"/>
                <w:lang w:eastAsia="zh-CN"/>
              </w:rPr>
              <w:t>（</w:t>
            </w:r>
            <w:r>
              <w:rPr>
                <w:rFonts w:hint="eastAsia" w:cs="宋体"/>
                <w:i w:val="0"/>
                <w:iCs w:val="0"/>
                <w:color w:val="auto"/>
                <w:sz w:val="24"/>
                <w:szCs w:val="24"/>
                <w:shd w:val="clear" w:color="auto" w:fill="auto"/>
                <w:lang w:val="en-US" w:eastAsia="zh-CN"/>
              </w:rPr>
              <w:t>肉类食材、鸡蛋</w:t>
            </w:r>
            <w:r>
              <w:rPr>
                <w:rFonts w:hint="eastAsia" w:ascii="宋体" w:hAnsi="宋体" w:eastAsia="宋体" w:cs="宋体"/>
                <w:i w:val="0"/>
                <w:iCs w:val="0"/>
                <w:color w:val="auto"/>
                <w:sz w:val="24"/>
                <w:szCs w:val="24"/>
                <w:shd w:val="clear" w:color="auto" w:fill="auto"/>
                <w:lang w:eastAsia="zh-CN"/>
              </w:rPr>
              <w:t>）</w:t>
            </w:r>
            <w:r>
              <w:rPr>
                <w:rFonts w:hint="eastAsia" w:ascii="宋体" w:hAnsi="宋体" w:eastAsia="宋体" w:cs="宋体"/>
                <w:i w:val="0"/>
                <w:iCs w:val="0"/>
                <w:color w:val="auto"/>
                <w:sz w:val="24"/>
                <w:szCs w:val="24"/>
                <w:shd w:val="clear" w:color="auto" w:fill="auto"/>
              </w:rPr>
              <w:t>标明的价格为总价，最终结算价格单价</w:t>
            </w:r>
            <w:r>
              <w:rPr>
                <w:rFonts w:hint="eastAsia" w:ascii="宋体" w:hAnsi="宋体" w:eastAsia="宋体" w:cs="宋体"/>
                <w:i w:val="0"/>
                <w:iCs w:val="0"/>
                <w:color w:val="auto"/>
                <w:sz w:val="24"/>
                <w:szCs w:val="24"/>
                <w:shd w:val="clear" w:color="auto" w:fill="auto"/>
                <w:lang w:eastAsia="zh-CN"/>
              </w:rPr>
              <w:t>因</w:t>
            </w:r>
            <w:r>
              <w:rPr>
                <w:rFonts w:hint="eastAsia" w:ascii="宋体" w:hAnsi="宋体" w:eastAsia="宋体" w:cs="宋体"/>
                <w:i w:val="0"/>
                <w:iCs w:val="0"/>
                <w:color w:val="auto"/>
                <w:sz w:val="24"/>
                <w:szCs w:val="24"/>
                <w:shd w:val="clear" w:color="auto" w:fill="auto"/>
                <w:lang w:val="en-US" w:eastAsia="zh-CN"/>
              </w:rPr>
              <w:t>此类原辅料价格因市场行情波动较大，需采取市场采价确定。</w:t>
            </w:r>
            <w:r>
              <w:rPr>
                <w:rFonts w:hint="eastAsia" w:cs="宋体"/>
                <w:i w:val="0"/>
                <w:iCs w:val="0"/>
                <w:color w:val="auto"/>
                <w:sz w:val="24"/>
                <w:szCs w:val="24"/>
                <w:shd w:val="clear" w:color="auto" w:fill="auto"/>
                <w:lang w:val="en-US" w:eastAsia="zh-CN"/>
              </w:rPr>
              <w:t>具体为汉滨区教体局联合区发改部门及各学校成立询价小组，选择在汉滨城区3家及以上大型商超及农贸市场进行询价。每月开展两次市场采价询价工作，将每次所取的市场均价作为后半月的结算价。故每次结算单价的计算方式为：所取的市场均价为基准*（1-优惠率），依据实际供货量据实结算，</w:t>
            </w:r>
            <w:r>
              <w:rPr>
                <w:rFonts w:hint="eastAsia" w:cs="宋体"/>
                <w:b/>
                <w:bCs/>
                <w:color w:val="auto"/>
                <w:sz w:val="24"/>
                <w:szCs w:val="24"/>
                <w:highlight w:val="none"/>
                <w:lang w:val="en-US" w:eastAsia="zh-CN"/>
              </w:rPr>
              <w:t>投标报价=本标段</w:t>
            </w:r>
            <w:r>
              <w:rPr>
                <w:rFonts w:hint="eastAsia"/>
                <w:b/>
                <w:bCs/>
                <w:color w:val="auto"/>
                <w:sz w:val="24"/>
                <w:szCs w:val="24"/>
                <w:lang w:val="en-US" w:eastAsia="zh-CN"/>
              </w:rPr>
              <w:t>总预算</w:t>
            </w:r>
            <w:r>
              <w:rPr>
                <w:rFonts w:hint="eastAsia" w:cs="宋体"/>
                <w:b/>
                <w:bCs/>
                <w:color w:val="auto"/>
                <w:sz w:val="24"/>
                <w:szCs w:val="24"/>
                <w:highlight w:val="none"/>
                <w:lang w:val="en-US" w:eastAsia="zh-CN"/>
              </w:rPr>
              <w:t>*（1-投标优惠率）</w:t>
            </w:r>
            <w:r>
              <w:rPr>
                <w:rFonts w:hint="eastAsia"/>
                <w:color w:val="auto"/>
                <w:lang w:val="en-US" w:eastAsia="zh-CN"/>
              </w:rPr>
              <w:t>。</w:t>
            </w:r>
          </w:p>
          <w:p w14:paraId="5D409C10">
            <w:pPr>
              <w:pageBreakBefore w:val="0"/>
              <w:numPr>
                <w:ilvl w:val="0"/>
                <w:numId w:val="0"/>
              </w:numPr>
              <w:topLinePunct w:val="0"/>
              <w:bidi w:val="0"/>
              <w:spacing w:line="240" w:lineRule="auto"/>
              <w:ind w:right="0" w:rightChars="0" w:firstLine="480" w:firstLineChars="200"/>
              <w:rPr>
                <w:rFonts w:hint="eastAsia"/>
                <w:b w:val="0"/>
                <w:bCs w:val="0"/>
                <w:color w:val="auto"/>
                <w:sz w:val="24"/>
                <w:szCs w:val="24"/>
                <w:lang w:val="en-US" w:eastAsia="zh-CN"/>
              </w:rPr>
            </w:pPr>
            <w:r>
              <w:rPr>
                <w:rFonts w:hint="eastAsia"/>
                <w:b w:val="0"/>
                <w:bCs w:val="0"/>
                <w:color w:val="auto"/>
                <w:sz w:val="24"/>
                <w:szCs w:val="24"/>
                <w:lang w:val="en-US" w:eastAsia="zh-CN"/>
              </w:rPr>
              <w:t>2.为便于评审，以投标总报价作为评审依据（投标总价为以上报价表中所有分项报价之和），结算时将以中标单价按实际采购数量据实结算。</w:t>
            </w:r>
          </w:p>
          <w:p w14:paraId="47A30F83">
            <w:pPr>
              <w:spacing w:line="240" w:lineRule="auto"/>
              <w:ind w:firstLine="482" w:firstLineChars="200"/>
              <w:rPr>
                <w:rFonts w:hint="eastAsia"/>
                <w:color w:val="auto"/>
                <w:lang w:val="en-US" w:eastAsia="zh-CN"/>
              </w:rPr>
            </w:pPr>
            <w:r>
              <w:rPr>
                <w:rFonts w:hint="eastAsia" w:cs="宋体"/>
                <w:b/>
                <w:bCs/>
                <w:color w:val="auto"/>
                <w:kern w:val="0"/>
                <w:sz w:val="24"/>
                <w:szCs w:val="24"/>
                <w:lang w:val="en-US" w:eastAsia="zh-CN" w:bidi="ar"/>
              </w:rPr>
              <w:t>3.报价时数量等相关数据参考本招标文件《第三章 招标采购内容及服务要求》的数据。</w:t>
            </w:r>
          </w:p>
          <w:p w14:paraId="1FB62D68">
            <w:pPr>
              <w:pageBreakBefore w:val="0"/>
              <w:topLinePunct w:val="0"/>
              <w:bidi w:val="0"/>
              <w:spacing w:line="240" w:lineRule="auto"/>
              <w:ind w:left="0" w:leftChars="0" w:right="0" w:rightChars="0" w:firstLine="480" w:firstLineChars="200"/>
              <w:rPr>
                <w:rFonts w:hint="eastAsia"/>
                <w:color w:val="auto"/>
                <w:sz w:val="24"/>
                <w:szCs w:val="24"/>
              </w:rPr>
            </w:pPr>
            <w:r>
              <w:rPr>
                <w:rFonts w:hint="eastAsia"/>
                <w:color w:val="auto"/>
                <w:sz w:val="24"/>
                <w:szCs w:val="24"/>
                <w:lang w:val="en-US" w:eastAsia="zh-CN"/>
              </w:rPr>
              <w:t>4.报价应</w:t>
            </w:r>
            <w:r>
              <w:rPr>
                <w:rFonts w:hint="eastAsia"/>
                <w:color w:val="auto"/>
                <w:sz w:val="24"/>
                <w:szCs w:val="24"/>
              </w:rPr>
              <w:t>包括</w:t>
            </w:r>
            <w:r>
              <w:rPr>
                <w:rFonts w:hint="eastAsia"/>
                <w:color w:val="auto"/>
                <w:sz w:val="24"/>
                <w:szCs w:val="24"/>
                <w:lang w:eastAsia="zh-CN"/>
              </w:rPr>
              <w:t>涉及</w:t>
            </w:r>
            <w:r>
              <w:rPr>
                <w:rFonts w:hint="eastAsia"/>
                <w:color w:val="auto"/>
                <w:sz w:val="24"/>
                <w:szCs w:val="24"/>
              </w:rPr>
              <w:t>的食品采购、包装、运输、装卸、加工、供货服务期限、配送</w:t>
            </w:r>
            <w:r>
              <w:rPr>
                <w:rFonts w:hint="eastAsia"/>
                <w:color w:val="auto"/>
                <w:sz w:val="24"/>
                <w:szCs w:val="24"/>
                <w:lang w:eastAsia="zh-CN"/>
              </w:rPr>
              <w:t>（</w:t>
            </w:r>
            <w:r>
              <w:rPr>
                <w:rFonts w:hint="eastAsia"/>
                <w:color w:val="auto"/>
                <w:sz w:val="24"/>
                <w:szCs w:val="24"/>
              </w:rPr>
              <w:t>配送到指定学校地点</w:t>
            </w:r>
            <w:r>
              <w:rPr>
                <w:rFonts w:hint="eastAsia"/>
                <w:color w:val="auto"/>
                <w:sz w:val="24"/>
                <w:szCs w:val="24"/>
                <w:lang w:eastAsia="zh-CN"/>
              </w:rPr>
              <w:t>）</w:t>
            </w:r>
            <w:r>
              <w:rPr>
                <w:rFonts w:hint="eastAsia"/>
                <w:color w:val="auto"/>
                <w:sz w:val="24"/>
                <w:szCs w:val="24"/>
              </w:rPr>
              <w:t>、售后服务及国家按现行税收政策征收的一切税费等。</w:t>
            </w:r>
          </w:p>
          <w:p w14:paraId="10C4BCCB">
            <w:pPr>
              <w:pStyle w:val="12"/>
              <w:pageBreakBefore w:val="0"/>
              <w:numPr>
                <w:ilvl w:val="0"/>
                <w:numId w:val="0"/>
              </w:numPr>
              <w:topLinePunct w:val="0"/>
              <w:bidi w:val="0"/>
              <w:spacing w:line="240" w:lineRule="auto"/>
              <w:ind w:left="0" w:leftChars="0" w:right="0" w:rightChars="0" w:firstLine="480" w:firstLineChars="200"/>
              <w:rPr>
                <w:rFonts w:hint="eastAsia"/>
                <w:color w:val="auto"/>
              </w:rPr>
            </w:pPr>
            <w:r>
              <w:rPr>
                <w:rFonts w:hint="eastAsia"/>
                <w:color w:val="auto"/>
                <w:sz w:val="24"/>
                <w:szCs w:val="24"/>
                <w:lang w:val="en-US" w:eastAsia="zh-CN"/>
              </w:rPr>
              <w:t>5.</w:t>
            </w:r>
            <w:r>
              <w:rPr>
                <w:rFonts w:hint="eastAsia"/>
                <w:color w:val="auto"/>
                <w:sz w:val="24"/>
                <w:szCs w:val="24"/>
              </w:rPr>
              <w:t>表内报价内容以元为单位，可精确到分。</w:t>
            </w:r>
          </w:p>
        </w:tc>
      </w:tr>
    </w:tbl>
    <w:p w14:paraId="62B127DA">
      <w:pPr>
        <w:pageBreakBefore w:val="0"/>
        <w:topLinePunct w:val="0"/>
        <w:bidi w:val="0"/>
        <w:spacing w:line="500" w:lineRule="exact"/>
        <w:ind w:left="0" w:leftChars="0" w:right="0" w:rightChars="0" w:firstLine="480" w:firstLineChars="200"/>
        <w:jc w:val="both"/>
        <w:rPr>
          <w:rFonts w:hint="eastAsia"/>
          <w:color w:val="auto"/>
          <w:sz w:val="24"/>
          <w:szCs w:val="24"/>
          <w:lang w:eastAsia="zh-CN"/>
        </w:rPr>
      </w:pPr>
    </w:p>
    <w:p w14:paraId="002B005F">
      <w:pPr>
        <w:pageBreakBefore w:val="0"/>
        <w:topLinePunct w:val="0"/>
        <w:bidi w:val="0"/>
        <w:spacing w:line="500" w:lineRule="exact"/>
        <w:ind w:left="0" w:leftChars="0" w:right="0" w:rightChars="0" w:firstLine="480" w:firstLineChars="200"/>
        <w:jc w:val="both"/>
        <w:rPr>
          <w:rFonts w:hint="eastAsia"/>
          <w:color w:val="auto"/>
          <w:sz w:val="24"/>
          <w:szCs w:val="24"/>
          <w:lang w:val="en-US"/>
        </w:rPr>
      </w:pPr>
      <w:r>
        <w:rPr>
          <w:rFonts w:hint="eastAsia"/>
          <w:color w:val="auto"/>
          <w:sz w:val="24"/>
          <w:szCs w:val="24"/>
          <w:lang w:eastAsia="zh-CN"/>
        </w:rPr>
        <w:t>供应商（</w:t>
      </w:r>
      <w:r>
        <w:rPr>
          <w:rFonts w:hint="eastAsia"/>
          <w:color w:val="auto"/>
          <w:sz w:val="24"/>
          <w:szCs w:val="24"/>
          <w:lang w:val="en-US" w:eastAsia="zh-CN"/>
        </w:rPr>
        <w:t>公章</w:t>
      </w:r>
      <w:r>
        <w:rPr>
          <w:rFonts w:hint="eastAsia"/>
          <w:color w:val="auto"/>
          <w:sz w:val="24"/>
          <w:szCs w:val="24"/>
          <w:lang w:eastAsia="zh-CN"/>
        </w:rPr>
        <w:t>）：</w:t>
      </w:r>
    </w:p>
    <w:p w14:paraId="4A239494">
      <w:pPr>
        <w:pageBreakBefore w:val="0"/>
        <w:topLinePunct w:val="0"/>
        <w:bidi w:val="0"/>
        <w:spacing w:line="500" w:lineRule="exact"/>
        <w:ind w:left="0" w:leftChars="0" w:right="0" w:rightChars="0" w:firstLine="480" w:firstLineChars="200"/>
        <w:jc w:val="both"/>
        <w:rPr>
          <w:rFonts w:hint="eastAsia"/>
          <w:color w:val="auto"/>
          <w:sz w:val="24"/>
          <w:szCs w:val="24"/>
          <w:lang w:val="zh-CN" w:eastAsia="zh-CN"/>
        </w:rPr>
      </w:pPr>
      <w:r>
        <w:rPr>
          <w:rFonts w:hint="eastAsia"/>
          <w:color w:val="auto"/>
          <w:sz w:val="24"/>
          <w:szCs w:val="24"/>
          <w:lang w:val="en-US" w:eastAsia="zh-CN"/>
        </w:rPr>
        <w:t>法定代表人或授权委托人（签字或盖章）：</w:t>
      </w:r>
    </w:p>
    <w:p w14:paraId="74917DFE">
      <w:pPr>
        <w:pStyle w:val="12"/>
        <w:pageBreakBefore w:val="0"/>
        <w:tabs>
          <w:tab w:val="left" w:pos="3998"/>
          <w:tab w:val="left" w:pos="6318"/>
        </w:tabs>
        <w:topLinePunct w:val="0"/>
        <w:bidi w:val="0"/>
        <w:spacing w:line="500" w:lineRule="exact"/>
        <w:ind w:left="0" w:leftChars="0" w:right="0" w:rightChars="0" w:firstLine="480" w:firstLineChars="200"/>
        <w:rPr>
          <w:rFonts w:hint="eastAsia"/>
          <w:color w:val="auto"/>
          <w:sz w:val="24"/>
          <w:szCs w:val="24"/>
        </w:rPr>
      </w:pPr>
      <w:r>
        <w:rPr>
          <w:rFonts w:hint="eastAsia"/>
          <w:color w:val="auto"/>
          <w:sz w:val="24"/>
          <w:szCs w:val="24"/>
          <w:lang w:val="en-US" w:eastAsia="zh-CN"/>
        </w:rPr>
        <w:t>日期：</w:t>
      </w:r>
      <w:r>
        <w:rPr>
          <w:rFonts w:hint="eastAsia"/>
          <w:color w:val="auto"/>
          <w:sz w:val="24"/>
          <w:szCs w:val="24"/>
        </w:rPr>
        <w:t xml:space="preserve">年 </w:t>
      </w:r>
      <w:r>
        <w:rPr>
          <w:rFonts w:hint="eastAsia"/>
          <w:color w:val="auto"/>
          <w:sz w:val="24"/>
          <w:szCs w:val="24"/>
          <w:lang w:val="en-US" w:eastAsia="zh-CN"/>
        </w:rPr>
        <w:t xml:space="preserve">  </w:t>
      </w:r>
      <w:r>
        <w:rPr>
          <w:rFonts w:hint="eastAsia"/>
          <w:color w:val="auto"/>
          <w:sz w:val="24"/>
          <w:szCs w:val="24"/>
        </w:rPr>
        <w:t xml:space="preserve">月 </w:t>
      </w:r>
      <w:r>
        <w:rPr>
          <w:rFonts w:hint="eastAsia"/>
          <w:color w:val="auto"/>
          <w:sz w:val="24"/>
          <w:szCs w:val="24"/>
          <w:lang w:val="en-US" w:eastAsia="zh-CN"/>
        </w:rPr>
        <w:t xml:space="preserve">  </w:t>
      </w:r>
      <w:r>
        <w:rPr>
          <w:rFonts w:hint="eastAsia"/>
          <w:color w:val="auto"/>
          <w:sz w:val="24"/>
          <w:szCs w:val="24"/>
        </w:rPr>
        <w:t>日</w:t>
      </w:r>
    </w:p>
    <w:p w14:paraId="1303B63D">
      <w:pPr>
        <w:pageBreakBefore w:val="0"/>
        <w:topLinePunct w:val="0"/>
        <w:bidi w:val="0"/>
        <w:spacing w:line="500" w:lineRule="exact"/>
        <w:ind w:right="0" w:rightChars="0"/>
        <w:rPr>
          <w:color w:val="auto"/>
        </w:rPr>
        <w:sectPr>
          <w:pgSz w:w="11910" w:h="16840"/>
          <w:pgMar w:top="1060" w:right="1020" w:bottom="1200" w:left="1040" w:header="872" w:footer="1005" w:gutter="0"/>
          <w:pgNumType w:fmt="decimal"/>
          <w:cols w:space="720" w:num="1"/>
        </w:sectPr>
      </w:pPr>
    </w:p>
    <w:p w14:paraId="57F643E4">
      <w:pPr>
        <w:bidi w:val="0"/>
        <w:rPr>
          <w:rFonts w:hint="eastAsia"/>
          <w:lang w:val="zh-CN" w:eastAsia="zh-CN"/>
        </w:rPr>
      </w:pPr>
    </w:p>
    <w:p w14:paraId="71CC07DA">
      <w:pPr>
        <w:bidi w:val="0"/>
        <w:rPr>
          <w:rFonts w:hint="eastAsia"/>
          <w:lang w:val="zh-CN" w:eastAsia="zh-CN"/>
        </w:rPr>
      </w:pPr>
    </w:p>
    <w:p w14:paraId="2296C672">
      <w:pPr>
        <w:pageBreakBefore w:val="0"/>
        <w:tabs>
          <w:tab w:val="left" w:pos="7647"/>
        </w:tabs>
        <w:topLinePunct w:val="0"/>
        <w:bidi w:val="0"/>
        <w:spacing w:line="500" w:lineRule="exact"/>
        <w:ind w:left="0" w:leftChars="0" w:right="0" w:rightChars="0" w:firstLine="723" w:firstLineChars="200"/>
        <w:jc w:val="center"/>
        <w:rPr>
          <w:b/>
          <w:color w:val="auto"/>
          <w:sz w:val="36"/>
        </w:rPr>
      </w:pPr>
      <w:r>
        <w:rPr>
          <w:rFonts w:hint="eastAsia" w:ascii="宋体" w:hAnsi="宋体" w:eastAsia="宋体" w:cs="宋体"/>
          <w:b/>
          <w:color w:val="auto"/>
          <w:sz w:val="36"/>
          <w:szCs w:val="22"/>
          <w:lang w:val="en-US" w:eastAsia="zh-CN" w:bidi="zh-CN"/>
        </w:rPr>
        <w:t>合同包一/二/三</w:t>
      </w:r>
      <w:r>
        <w:rPr>
          <w:b/>
          <w:color w:val="auto"/>
          <w:sz w:val="36"/>
        </w:rPr>
        <w:t>货物（产品）说明一览表</w:t>
      </w:r>
    </w:p>
    <w:p w14:paraId="6666BC9F">
      <w:pPr>
        <w:pageBreakBefore w:val="0"/>
        <w:topLinePunct w:val="0"/>
        <w:bidi w:val="0"/>
        <w:spacing w:line="500" w:lineRule="exact"/>
        <w:ind w:left="0" w:leftChars="0" w:right="0" w:rightChars="0" w:firstLine="480" w:firstLineChars="200"/>
        <w:rPr>
          <w:rFonts w:hint="eastAsia" w:eastAsia="宋体"/>
          <w:color w:val="auto"/>
          <w:sz w:val="24"/>
          <w:szCs w:val="24"/>
          <w:lang w:eastAsia="zh-CN"/>
        </w:rPr>
      </w:pPr>
      <w:r>
        <w:rPr>
          <w:rFonts w:hint="eastAsia"/>
          <w:color w:val="auto"/>
          <w:sz w:val="24"/>
          <w:szCs w:val="24"/>
          <w:lang w:eastAsia="zh-CN"/>
        </w:rPr>
        <w:t>供应商</w:t>
      </w:r>
      <w:r>
        <w:rPr>
          <w:rFonts w:hint="eastAsia"/>
          <w:color w:val="auto"/>
          <w:sz w:val="24"/>
          <w:szCs w:val="24"/>
        </w:rPr>
        <w:t>名称：</w:t>
      </w:r>
      <w:r>
        <w:rPr>
          <w:rFonts w:hint="eastAsia"/>
          <w:color w:val="auto"/>
          <w:sz w:val="24"/>
          <w:szCs w:val="24"/>
          <w:lang w:val="en-US"/>
        </w:rPr>
        <w:t xml:space="preserve">   </w:t>
      </w:r>
      <w:r>
        <w:rPr>
          <w:rFonts w:hint="eastAsia"/>
          <w:color w:val="auto"/>
          <w:sz w:val="24"/>
          <w:szCs w:val="24"/>
        </w:rPr>
        <w:tab/>
      </w:r>
      <w:r>
        <w:rPr>
          <w:rFonts w:hint="eastAsia"/>
          <w:color w:val="auto"/>
          <w:sz w:val="24"/>
          <w:szCs w:val="24"/>
          <w:lang w:val="en-US" w:eastAsia="zh-CN"/>
        </w:rPr>
        <w:t xml:space="preserve"> </w:t>
      </w:r>
    </w:p>
    <w:tbl>
      <w:tblPr>
        <w:tblStyle w:val="23"/>
        <w:tblW w:w="14695" w:type="dxa"/>
        <w:tblInd w:w="-354"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257"/>
        <w:gridCol w:w="2045"/>
        <w:gridCol w:w="1611"/>
        <w:gridCol w:w="1454"/>
        <w:gridCol w:w="1533"/>
        <w:gridCol w:w="1237"/>
        <w:gridCol w:w="1695"/>
        <w:gridCol w:w="1395"/>
        <w:gridCol w:w="1258"/>
        <w:gridCol w:w="1210"/>
      </w:tblGrid>
      <w:tr w14:paraId="465BA17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71" w:hRule="atLeast"/>
        </w:trPr>
        <w:tc>
          <w:tcPr>
            <w:tcW w:w="1257" w:type="dxa"/>
            <w:tcBorders>
              <w:bottom w:val="single" w:color="000000" w:sz="4" w:space="0"/>
              <w:right w:val="single" w:color="000000" w:sz="4" w:space="0"/>
            </w:tcBorders>
            <w:vAlign w:val="center"/>
          </w:tcPr>
          <w:p w14:paraId="442844D7">
            <w:pPr>
              <w:pageBreakBefore w:val="0"/>
              <w:topLinePunct w:val="0"/>
              <w:bidi w:val="0"/>
              <w:spacing w:line="500" w:lineRule="exact"/>
              <w:ind w:right="0" w:rightChars="0"/>
              <w:jc w:val="center"/>
              <w:rPr>
                <w:b/>
                <w:bCs/>
                <w:color w:val="auto"/>
                <w:sz w:val="24"/>
                <w:szCs w:val="24"/>
              </w:rPr>
            </w:pPr>
            <w:r>
              <w:rPr>
                <w:rFonts w:hint="eastAsia"/>
                <w:b/>
                <w:bCs/>
                <w:color w:val="auto"/>
                <w:sz w:val="24"/>
                <w:szCs w:val="24"/>
              </w:rPr>
              <w:t>序号</w:t>
            </w:r>
          </w:p>
        </w:tc>
        <w:tc>
          <w:tcPr>
            <w:tcW w:w="2045" w:type="dxa"/>
            <w:tcBorders>
              <w:left w:val="single" w:color="000000" w:sz="4" w:space="0"/>
              <w:bottom w:val="single" w:color="000000" w:sz="4" w:space="0"/>
              <w:right w:val="single" w:color="000000" w:sz="4" w:space="0"/>
            </w:tcBorders>
            <w:vAlign w:val="center"/>
          </w:tcPr>
          <w:p w14:paraId="79840E3D">
            <w:pPr>
              <w:pageBreakBefore w:val="0"/>
              <w:topLinePunct w:val="0"/>
              <w:bidi w:val="0"/>
              <w:spacing w:line="500" w:lineRule="exact"/>
              <w:ind w:right="0" w:rightChars="0"/>
              <w:jc w:val="center"/>
              <w:rPr>
                <w:b/>
                <w:bCs/>
                <w:color w:val="auto"/>
                <w:sz w:val="24"/>
                <w:szCs w:val="24"/>
              </w:rPr>
            </w:pPr>
            <w:r>
              <w:rPr>
                <w:rFonts w:hint="eastAsia"/>
                <w:b/>
                <w:bCs/>
                <w:color w:val="auto"/>
                <w:sz w:val="24"/>
                <w:szCs w:val="24"/>
              </w:rPr>
              <w:t>货物名称</w:t>
            </w:r>
          </w:p>
        </w:tc>
        <w:tc>
          <w:tcPr>
            <w:tcW w:w="1611" w:type="dxa"/>
            <w:tcBorders>
              <w:left w:val="single" w:color="000000" w:sz="4" w:space="0"/>
              <w:bottom w:val="single" w:color="000000" w:sz="4" w:space="0"/>
              <w:right w:val="single" w:color="000000" w:sz="4" w:space="0"/>
            </w:tcBorders>
            <w:vAlign w:val="center"/>
          </w:tcPr>
          <w:p w14:paraId="219DF00B">
            <w:pPr>
              <w:pageBreakBefore w:val="0"/>
              <w:tabs>
                <w:tab w:val="left" w:pos="550"/>
              </w:tabs>
              <w:topLinePunct w:val="0"/>
              <w:bidi w:val="0"/>
              <w:spacing w:line="500" w:lineRule="exact"/>
              <w:ind w:right="0" w:rightChars="0"/>
              <w:jc w:val="center"/>
              <w:rPr>
                <w:b/>
                <w:bCs/>
                <w:color w:val="auto"/>
                <w:sz w:val="24"/>
                <w:szCs w:val="24"/>
              </w:rPr>
            </w:pPr>
            <w:r>
              <w:rPr>
                <w:rFonts w:hint="eastAsia"/>
                <w:b/>
                <w:bCs/>
                <w:color w:val="auto"/>
                <w:sz w:val="24"/>
                <w:szCs w:val="24"/>
              </w:rPr>
              <w:t>品牌</w:t>
            </w:r>
          </w:p>
        </w:tc>
        <w:tc>
          <w:tcPr>
            <w:tcW w:w="1454" w:type="dxa"/>
            <w:tcBorders>
              <w:left w:val="single" w:color="000000" w:sz="4" w:space="0"/>
              <w:bottom w:val="single" w:color="000000" w:sz="4" w:space="0"/>
              <w:right w:val="single" w:color="000000" w:sz="4" w:space="0"/>
            </w:tcBorders>
            <w:vAlign w:val="center"/>
          </w:tcPr>
          <w:p w14:paraId="529642A4">
            <w:pPr>
              <w:pageBreakBefore w:val="0"/>
              <w:topLinePunct w:val="0"/>
              <w:bidi w:val="0"/>
              <w:spacing w:line="500" w:lineRule="exact"/>
              <w:ind w:right="0" w:rightChars="0"/>
              <w:jc w:val="center"/>
              <w:rPr>
                <w:b/>
                <w:bCs/>
                <w:color w:val="auto"/>
                <w:sz w:val="24"/>
                <w:szCs w:val="24"/>
              </w:rPr>
            </w:pPr>
            <w:r>
              <w:rPr>
                <w:rFonts w:hint="eastAsia"/>
                <w:b/>
                <w:bCs/>
                <w:color w:val="auto"/>
                <w:sz w:val="24"/>
                <w:szCs w:val="24"/>
              </w:rPr>
              <w:t>规格</w:t>
            </w:r>
          </w:p>
        </w:tc>
        <w:tc>
          <w:tcPr>
            <w:tcW w:w="1533" w:type="dxa"/>
            <w:tcBorders>
              <w:left w:val="single" w:color="000000" w:sz="4" w:space="0"/>
              <w:bottom w:val="single" w:color="000000" w:sz="4" w:space="0"/>
              <w:right w:val="single" w:color="000000" w:sz="4" w:space="0"/>
            </w:tcBorders>
            <w:vAlign w:val="center"/>
          </w:tcPr>
          <w:p w14:paraId="4AB56568">
            <w:pPr>
              <w:pageBreakBefore w:val="0"/>
              <w:topLinePunct w:val="0"/>
              <w:bidi w:val="0"/>
              <w:spacing w:line="500" w:lineRule="exact"/>
              <w:ind w:right="0" w:rightChars="0"/>
              <w:jc w:val="center"/>
              <w:rPr>
                <w:b/>
                <w:bCs/>
                <w:color w:val="auto"/>
                <w:sz w:val="24"/>
                <w:szCs w:val="24"/>
              </w:rPr>
            </w:pPr>
            <w:r>
              <w:rPr>
                <w:rFonts w:hint="eastAsia"/>
                <w:b/>
                <w:bCs/>
                <w:color w:val="auto"/>
                <w:sz w:val="24"/>
                <w:szCs w:val="24"/>
              </w:rPr>
              <w:t>制造厂商</w:t>
            </w:r>
          </w:p>
        </w:tc>
        <w:tc>
          <w:tcPr>
            <w:tcW w:w="1237" w:type="dxa"/>
            <w:tcBorders>
              <w:left w:val="single" w:color="000000" w:sz="4" w:space="0"/>
              <w:bottom w:val="single" w:color="000000" w:sz="4" w:space="0"/>
              <w:right w:val="single" w:color="000000" w:sz="4" w:space="0"/>
            </w:tcBorders>
            <w:vAlign w:val="center"/>
          </w:tcPr>
          <w:p w14:paraId="74145CC6">
            <w:pPr>
              <w:pageBreakBefore w:val="0"/>
              <w:topLinePunct w:val="0"/>
              <w:bidi w:val="0"/>
              <w:spacing w:line="500" w:lineRule="exact"/>
              <w:ind w:right="0" w:rightChars="0"/>
              <w:jc w:val="center"/>
              <w:rPr>
                <w:b/>
                <w:bCs/>
                <w:color w:val="auto"/>
                <w:sz w:val="24"/>
                <w:szCs w:val="24"/>
              </w:rPr>
            </w:pPr>
            <w:r>
              <w:rPr>
                <w:rFonts w:hint="eastAsia"/>
                <w:b/>
                <w:bCs/>
                <w:color w:val="auto"/>
                <w:sz w:val="24"/>
                <w:szCs w:val="24"/>
              </w:rPr>
              <w:t>数量/</w:t>
            </w:r>
          </w:p>
          <w:p w14:paraId="16AC5052">
            <w:pPr>
              <w:pageBreakBefore w:val="0"/>
              <w:topLinePunct w:val="0"/>
              <w:bidi w:val="0"/>
              <w:spacing w:line="500" w:lineRule="exact"/>
              <w:ind w:left="0" w:leftChars="0" w:right="0" w:rightChars="0" w:firstLine="482" w:firstLineChars="200"/>
              <w:jc w:val="center"/>
              <w:rPr>
                <w:b/>
                <w:bCs/>
                <w:color w:val="auto"/>
                <w:sz w:val="24"/>
                <w:szCs w:val="24"/>
              </w:rPr>
            </w:pPr>
            <w:r>
              <w:rPr>
                <w:rFonts w:hint="eastAsia"/>
                <w:b/>
                <w:bCs/>
                <w:color w:val="auto"/>
                <w:sz w:val="24"/>
                <w:szCs w:val="24"/>
              </w:rPr>
              <w:t>单位</w:t>
            </w:r>
          </w:p>
        </w:tc>
        <w:tc>
          <w:tcPr>
            <w:tcW w:w="1695" w:type="dxa"/>
            <w:tcBorders>
              <w:left w:val="single" w:color="000000" w:sz="4" w:space="0"/>
              <w:bottom w:val="single" w:color="000000" w:sz="4" w:space="0"/>
              <w:right w:val="single" w:color="000000" w:sz="4" w:space="0"/>
            </w:tcBorders>
            <w:vAlign w:val="center"/>
          </w:tcPr>
          <w:p w14:paraId="3A045B17">
            <w:pPr>
              <w:pageBreakBefore w:val="0"/>
              <w:topLinePunct w:val="0"/>
              <w:bidi w:val="0"/>
              <w:spacing w:line="500" w:lineRule="exact"/>
              <w:ind w:right="0" w:rightChars="0"/>
              <w:jc w:val="center"/>
              <w:rPr>
                <w:b/>
                <w:bCs/>
                <w:color w:val="auto"/>
                <w:sz w:val="24"/>
                <w:szCs w:val="24"/>
              </w:rPr>
            </w:pPr>
            <w:r>
              <w:rPr>
                <w:rFonts w:hint="eastAsia"/>
                <w:b/>
                <w:bCs/>
                <w:color w:val="auto"/>
                <w:sz w:val="24"/>
                <w:szCs w:val="24"/>
              </w:rPr>
              <w:t>执行标准</w:t>
            </w:r>
          </w:p>
        </w:tc>
        <w:tc>
          <w:tcPr>
            <w:tcW w:w="1395" w:type="dxa"/>
            <w:tcBorders>
              <w:left w:val="single" w:color="000000" w:sz="4" w:space="0"/>
              <w:bottom w:val="single" w:color="000000" w:sz="4" w:space="0"/>
              <w:right w:val="single" w:color="000000" w:sz="4" w:space="0"/>
            </w:tcBorders>
            <w:vAlign w:val="center"/>
          </w:tcPr>
          <w:p w14:paraId="5B2D7BDF">
            <w:pPr>
              <w:pageBreakBefore w:val="0"/>
              <w:topLinePunct w:val="0"/>
              <w:bidi w:val="0"/>
              <w:spacing w:line="500" w:lineRule="exact"/>
              <w:ind w:right="0" w:rightChars="0"/>
              <w:jc w:val="center"/>
              <w:rPr>
                <w:b/>
                <w:bCs/>
                <w:color w:val="auto"/>
                <w:sz w:val="24"/>
                <w:szCs w:val="24"/>
              </w:rPr>
            </w:pPr>
            <w:r>
              <w:rPr>
                <w:rFonts w:hint="eastAsia"/>
                <w:b/>
                <w:bCs/>
                <w:color w:val="auto"/>
                <w:sz w:val="24"/>
                <w:szCs w:val="24"/>
              </w:rPr>
              <w:t>供货期限</w:t>
            </w:r>
          </w:p>
        </w:tc>
        <w:tc>
          <w:tcPr>
            <w:tcW w:w="1258" w:type="dxa"/>
            <w:tcBorders>
              <w:left w:val="single" w:color="000000" w:sz="4" w:space="0"/>
              <w:bottom w:val="single" w:color="000000" w:sz="4" w:space="0"/>
              <w:right w:val="single" w:color="000000" w:sz="4" w:space="0"/>
            </w:tcBorders>
            <w:vAlign w:val="center"/>
          </w:tcPr>
          <w:p w14:paraId="715410D1">
            <w:pPr>
              <w:pageBreakBefore w:val="0"/>
              <w:topLinePunct w:val="0"/>
              <w:bidi w:val="0"/>
              <w:spacing w:line="500" w:lineRule="exact"/>
              <w:ind w:right="0" w:rightChars="0"/>
              <w:jc w:val="center"/>
              <w:rPr>
                <w:b/>
                <w:bCs/>
                <w:color w:val="auto"/>
                <w:sz w:val="24"/>
                <w:szCs w:val="24"/>
              </w:rPr>
            </w:pPr>
            <w:r>
              <w:rPr>
                <w:rFonts w:hint="eastAsia"/>
                <w:b/>
                <w:bCs/>
                <w:color w:val="auto"/>
                <w:sz w:val="24"/>
                <w:szCs w:val="24"/>
              </w:rPr>
              <w:t>保质期</w:t>
            </w:r>
          </w:p>
        </w:tc>
        <w:tc>
          <w:tcPr>
            <w:tcW w:w="1210" w:type="dxa"/>
            <w:tcBorders>
              <w:left w:val="single" w:color="000000" w:sz="4" w:space="0"/>
              <w:bottom w:val="single" w:color="000000" w:sz="4" w:space="0"/>
            </w:tcBorders>
            <w:vAlign w:val="center"/>
          </w:tcPr>
          <w:p w14:paraId="461D4D7F">
            <w:pPr>
              <w:pageBreakBefore w:val="0"/>
              <w:topLinePunct w:val="0"/>
              <w:bidi w:val="0"/>
              <w:spacing w:line="500" w:lineRule="exact"/>
              <w:ind w:right="0" w:rightChars="0"/>
              <w:jc w:val="center"/>
              <w:rPr>
                <w:b/>
                <w:bCs/>
                <w:color w:val="auto"/>
                <w:sz w:val="24"/>
                <w:szCs w:val="24"/>
              </w:rPr>
            </w:pPr>
            <w:r>
              <w:rPr>
                <w:rFonts w:hint="eastAsia"/>
                <w:b/>
                <w:bCs/>
                <w:color w:val="auto"/>
                <w:sz w:val="24"/>
                <w:szCs w:val="24"/>
              </w:rPr>
              <w:t>备注</w:t>
            </w:r>
          </w:p>
        </w:tc>
      </w:tr>
      <w:tr w14:paraId="1EDB525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44" w:hRule="atLeast"/>
        </w:trPr>
        <w:tc>
          <w:tcPr>
            <w:tcW w:w="1257" w:type="dxa"/>
            <w:tcBorders>
              <w:top w:val="single" w:color="000000" w:sz="4" w:space="0"/>
              <w:bottom w:val="single" w:color="000000" w:sz="4" w:space="0"/>
              <w:right w:val="single" w:color="000000" w:sz="4" w:space="0"/>
            </w:tcBorders>
          </w:tcPr>
          <w:p w14:paraId="66B0B4F3">
            <w:pPr>
              <w:pageBreakBefore w:val="0"/>
              <w:topLinePunct w:val="0"/>
              <w:bidi w:val="0"/>
              <w:spacing w:line="500" w:lineRule="exact"/>
              <w:ind w:left="0" w:leftChars="0" w:right="0" w:rightChars="0" w:firstLine="480" w:firstLineChars="200"/>
              <w:jc w:val="center"/>
              <w:rPr>
                <w:color w:val="auto"/>
                <w:sz w:val="24"/>
                <w:szCs w:val="24"/>
              </w:rPr>
            </w:pPr>
          </w:p>
        </w:tc>
        <w:tc>
          <w:tcPr>
            <w:tcW w:w="2045" w:type="dxa"/>
            <w:tcBorders>
              <w:top w:val="single" w:color="000000" w:sz="4" w:space="0"/>
              <w:left w:val="single" w:color="000000" w:sz="4" w:space="0"/>
              <w:bottom w:val="single" w:color="000000" w:sz="4" w:space="0"/>
              <w:right w:val="single" w:color="000000" w:sz="4" w:space="0"/>
            </w:tcBorders>
          </w:tcPr>
          <w:p w14:paraId="1CEBFA68">
            <w:pPr>
              <w:pageBreakBefore w:val="0"/>
              <w:topLinePunct w:val="0"/>
              <w:bidi w:val="0"/>
              <w:spacing w:line="500" w:lineRule="exact"/>
              <w:ind w:left="0" w:leftChars="0" w:right="0" w:rightChars="0" w:firstLine="480" w:firstLineChars="200"/>
              <w:jc w:val="center"/>
              <w:rPr>
                <w:color w:val="auto"/>
                <w:sz w:val="24"/>
                <w:szCs w:val="24"/>
              </w:rPr>
            </w:pPr>
          </w:p>
        </w:tc>
        <w:tc>
          <w:tcPr>
            <w:tcW w:w="1611" w:type="dxa"/>
            <w:tcBorders>
              <w:top w:val="single" w:color="000000" w:sz="4" w:space="0"/>
              <w:left w:val="single" w:color="000000" w:sz="4" w:space="0"/>
              <w:bottom w:val="single" w:color="000000" w:sz="4" w:space="0"/>
              <w:right w:val="single" w:color="000000" w:sz="4" w:space="0"/>
            </w:tcBorders>
          </w:tcPr>
          <w:p w14:paraId="6D44763B">
            <w:pPr>
              <w:pageBreakBefore w:val="0"/>
              <w:topLinePunct w:val="0"/>
              <w:bidi w:val="0"/>
              <w:spacing w:line="500" w:lineRule="exact"/>
              <w:ind w:left="0" w:leftChars="0" w:right="0" w:rightChars="0" w:firstLine="480" w:firstLineChars="200"/>
              <w:jc w:val="center"/>
              <w:rPr>
                <w:color w:val="auto"/>
                <w:sz w:val="24"/>
                <w:szCs w:val="24"/>
              </w:rPr>
            </w:pPr>
          </w:p>
        </w:tc>
        <w:tc>
          <w:tcPr>
            <w:tcW w:w="1454" w:type="dxa"/>
            <w:tcBorders>
              <w:top w:val="single" w:color="000000" w:sz="4" w:space="0"/>
              <w:left w:val="single" w:color="000000" w:sz="4" w:space="0"/>
              <w:bottom w:val="single" w:color="000000" w:sz="4" w:space="0"/>
              <w:right w:val="single" w:color="000000" w:sz="4" w:space="0"/>
            </w:tcBorders>
          </w:tcPr>
          <w:p w14:paraId="34CE0DC2">
            <w:pPr>
              <w:pageBreakBefore w:val="0"/>
              <w:topLinePunct w:val="0"/>
              <w:bidi w:val="0"/>
              <w:spacing w:line="500" w:lineRule="exact"/>
              <w:ind w:left="0" w:leftChars="0" w:right="0" w:rightChars="0" w:firstLine="480" w:firstLineChars="200"/>
              <w:jc w:val="center"/>
              <w:rPr>
                <w:color w:val="auto"/>
                <w:sz w:val="24"/>
                <w:szCs w:val="24"/>
              </w:rPr>
            </w:pPr>
          </w:p>
        </w:tc>
        <w:tc>
          <w:tcPr>
            <w:tcW w:w="1533" w:type="dxa"/>
            <w:tcBorders>
              <w:top w:val="single" w:color="000000" w:sz="4" w:space="0"/>
              <w:left w:val="single" w:color="000000" w:sz="4" w:space="0"/>
              <w:bottom w:val="single" w:color="000000" w:sz="4" w:space="0"/>
              <w:right w:val="single" w:color="000000" w:sz="4" w:space="0"/>
            </w:tcBorders>
          </w:tcPr>
          <w:p w14:paraId="59CC0C9C">
            <w:pPr>
              <w:pageBreakBefore w:val="0"/>
              <w:topLinePunct w:val="0"/>
              <w:bidi w:val="0"/>
              <w:spacing w:line="500" w:lineRule="exact"/>
              <w:ind w:left="0" w:leftChars="0" w:right="0" w:rightChars="0" w:firstLine="480" w:firstLineChars="200"/>
              <w:jc w:val="center"/>
              <w:rPr>
                <w:color w:val="auto"/>
                <w:sz w:val="24"/>
                <w:szCs w:val="24"/>
              </w:rPr>
            </w:pPr>
          </w:p>
        </w:tc>
        <w:tc>
          <w:tcPr>
            <w:tcW w:w="1237" w:type="dxa"/>
            <w:tcBorders>
              <w:top w:val="single" w:color="000000" w:sz="4" w:space="0"/>
              <w:left w:val="single" w:color="000000" w:sz="4" w:space="0"/>
              <w:bottom w:val="single" w:color="000000" w:sz="4" w:space="0"/>
              <w:right w:val="single" w:color="000000" w:sz="4" w:space="0"/>
            </w:tcBorders>
          </w:tcPr>
          <w:p w14:paraId="508809CB">
            <w:pPr>
              <w:pageBreakBefore w:val="0"/>
              <w:topLinePunct w:val="0"/>
              <w:bidi w:val="0"/>
              <w:spacing w:line="500" w:lineRule="exact"/>
              <w:ind w:left="0" w:leftChars="0" w:right="0" w:rightChars="0" w:firstLine="480" w:firstLineChars="200"/>
              <w:jc w:val="center"/>
              <w:rPr>
                <w:color w:val="auto"/>
                <w:sz w:val="24"/>
                <w:szCs w:val="24"/>
              </w:rPr>
            </w:pPr>
          </w:p>
        </w:tc>
        <w:tc>
          <w:tcPr>
            <w:tcW w:w="1695" w:type="dxa"/>
            <w:tcBorders>
              <w:top w:val="single" w:color="000000" w:sz="4" w:space="0"/>
              <w:left w:val="single" w:color="000000" w:sz="4" w:space="0"/>
              <w:bottom w:val="single" w:color="000000" w:sz="4" w:space="0"/>
              <w:right w:val="single" w:color="000000" w:sz="4" w:space="0"/>
            </w:tcBorders>
          </w:tcPr>
          <w:p w14:paraId="6EC311EE">
            <w:pPr>
              <w:pageBreakBefore w:val="0"/>
              <w:topLinePunct w:val="0"/>
              <w:bidi w:val="0"/>
              <w:spacing w:line="500" w:lineRule="exact"/>
              <w:ind w:left="0" w:leftChars="0" w:right="0" w:rightChars="0" w:firstLine="480" w:firstLineChars="200"/>
              <w:jc w:val="center"/>
              <w:rPr>
                <w:color w:val="auto"/>
                <w:sz w:val="24"/>
                <w:szCs w:val="24"/>
              </w:rPr>
            </w:pPr>
          </w:p>
        </w:tc>
        <w:tc>
          <w:tcPr>
            <w:tcW w:w="1395" w:type="dxa"/>
            <w:tcBorders>
              <w:top w:val="single" w:color="000000" w:sz="4" w:space="0"/>
              <w:left w:val="single" w:color="000000" w:sz="4" w:space="0"/>
              <w:bottom w:val="single" w:color="000000" w:sz="4" w:space="0"/>
              <w:right w:val="single" w:color="000000" w:sz="4" w:space="0"/>
            </w:tcBorders>
          </w:tcPr>
          <w:p w14:paraId="124AF1D5">
            <w:pPr>
              <w:pageBreakBefore w:val="0"/>
              <w:topLinePunct w:val="0"/>
              <w:bidi w:val="0"/>
              <w:spacing w:line="500" w:lineRule="exact"/>
              <w:ind w:left="0" w:leftChars="0" w:right="0" w:rightChars="0" w:firstLine="480" w:firstLineChars="200"/>
              <w:jc w:val="center"/>
              <w:rPr>
                <w:color w:val="auto"/>
                <w:sz w:val="24"/>
                <w:szCs w:val="24"/>
              </w:rPr>
            </w:pPr>
          </w:p>
        </w:tc>
        <w:tc>
          <w:tcPr>
            <w:tcW w:w="1258" w:type="dxa"/>
            <w:tcBorders>
              <w:top w:val="single" w:color="000000" w:sz="4" w:space="0"/>
              <w:left w:val="single" w:color="000000" w:sz="4" w:space="0"/>
              <w:bottom w:val="single" w:color="000000" w:sz="4" w:space="0"/>
              <w:right w:val="single" w:color="000000" w:sz="4" w:space="0"/>
            </w:tcBorders>
          </w:tcPr>
          <w:p w14:paraId="242C6A0E">
            <w:pPr>
              <w:pageBreakBefore w:val="0"/>
              <w:topLinePunct w:val="0"/>
              <w:bidi w:val="0"/>
              <w:spacing w:line="500" w:lineRule="exact"/>
              <w:ind w:left="0" w:leftChars="0" w:right="0" w:rightChars="0" w:firstLine="480" w:firstLineChars="200"/>
              <w:jc w:val="center"/>
              <w:rPr>
                <w:color w:val="auto"/>
                <w:sz w:val="24"/>
                <w:szCs w:val="24"/>
              </w:rPr>
            </w:pPr>
          </w:p>
        </w:tc>
        <w:tc>
          <w:tcPr>
            <w:tcW w:w="1210" w:type="dxa"/>
            <w:tcBorders>
              <w:top w:val="single" w:color="000000" w:sz="4" w:space="0"/>
              <w:left w:val="single" w:color="000000" w:sz="4" w:space="0"/>
              <w:bottom w:val="single" w:color="000000" w:sz="4" w:space="0"/>
            </w:tcBorders>
          </w:tcPr>
          <w:p w14:paraId="257FC77E">
            <w:pPr>
              <w:pageBreakBefore w:val="0"/>
              <w:topLinePunct w:val="0"/>
              <w:bidi w:val="0"/>
              <w:spacing w:line="500" w:lineRule="exact"/>
              <w:ind w:left="0" w:leftChars="0" w:right="0" w:rightChars="0" w:firstLine="480" w:firstLineChars="200"/>
              <w:jc w:val="center"/>
              <w:rPr>
                <w:color w:val="auto"/>
                <w:sz w:val="24"/>
                <w:szCs w:val="24"/>
              </w:rPr>
            </w:pPr>
          </w:p>
        </w:tc>
      </w:tr>
      <w:tr w14:paraId="3EBA53B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51" w:hRule="atLeast"/>
        </w:trPr>
        <w:tc>
          <w:tcPr>
            <w:tcW w:w="1257" w:type="dxa"/>
            <w:tcBorders>
              <w:top w:val="single" w:color="000000" w:sz="4" w:space="0"/>
              <w:bottom w:val="single" w:color="000000" w:sz="4" w:space="0"/>
              <w:right w:val="single" w:color="000000" w:sz="4" w:space="0"/>
            </w:tcBorders>
          </w:tcPr>
          <w:p w14:paraId="4039E617">
            <w:pPr>
              <w:pageBreakBefore w:val="0"/>
              <w:topLinePunct w:val="0"/>
              <w:bidi w:val="0"/>
              <w:spacing w:line="500" w:lineRule="exact"/>
              <w:ind w:left="0" w:leftChars="0" w:right="0" w:rightChars="0" w:firstLine="480" w:firstLineChars="200"/>
              <w:jc w:val="center"/>
              <w:rPr>
                <w:color w:val="auto"/>
                <w:sz w:val="24"/>
                <w:szCs w:val="24"/>
              </w:rPr>
            </w:pPr>
          </w:p>
        </w:tc>
        <w:tc>
          <w:tcPr>
            <w:tcW w:w="2045" w:type="dxa"/>
            <w:tcBorders>
              <w:top w:val="single" w:color="000000" w:sz="4" w:space="0"/>
              <w:left w:val="single" w:color="000000" w:sz="4" w:space="0"/>
              <w:bottom w:val="single" w:color="000000" w:sz="4" w:space="0"/>
              <w:right w:val="single" w:color="000000" w:sz="4" w:space="0"/>
            </w:tcBorders>
          </w:tcPr>
          <w:p w14:paraId="26CDC7BF">
            <w:pPr>
              <w:pageBreakBefore w:val="0"/>
              <w:topLinePunct w:val="0"/>
              <w:bidi w:val="0"/>
              <w:spacing w:line="500" w:lineRule="exact"/>
              <w:ind w:left="0" w:leftChars="0" w:right="0" w:rightChars="0" w:firstLine="480" w:firstLineChars="200"/>
              <w:jc w:val="center"/>
              <w:rPr>
                <w:color w:val="auto"/>
                <w:sz w:val="24"/>
                <w:szCs w:val="24"/>
              </w:rPr>
            </w:pPr>
          </w:p>
        </w:tc>
        <w:tc>
          <w:tcPr>
            <w:tcW w:w="1611" w:type="dxa"/>
            <w:tcBorders>
              <w:top w:val="single" w:color="000000" w:sz="4" w:space="0"/>
              <w:left w:val="single" w:color="000000" w:sz="4" w:space="0"/>
              <w:bottom w:val="single" w:color="000000" w:sz="4" w:space="0"/>
              <w:right w:val="single" w:color="000000" w:sz="4" w:space="0"/>
            </w:tcBorders>
          </w:tcPr>
          <w:p w14:paraId="192AFCA9">
            <w:pPr>
              <w:pageBreakBefore w:val="0"/>
              <w:topLinePunct w:val="0"/>
              <w:bidi w:val="0"/>
              <w:spacing w:line="500" w:lineRule="exact"/>
              <w:ind w:left="0" w:leftChars="0" w:right="0" w:rightChars="0" w:firstLine="480" w:firstLineChars="200"/>
              <w:jc w:val="center"/>
              <w:rPr>
                <w:color w:val="auto"/>
                <w:sz w:val="24"/>
                <w:szCs w:val="24"/>
              </w:rPr>
            </w:pPr>
          </w:p>
        </w:tc>
        <w:tc>
          <w:tcPr>
            <w:tcW w:w="1454" w:type="dxa"/>
            <w:tcBorders>
              <w:top w:val="single" w:color="000000" w:sz="4" w:space="0"/>
              <w:left w:val="single" w:color="000000" w:sz="4" w:space="0"/>
              <w:bottom w:val="single" w:color="000000" w:sz="4" w:space="0"/>
              <w:right w:val="single" w:color="000000" w:sz="4" w:space="0"/>
            </w:tcBorders>
          </w:tcPr>
          <w:p w14:paraId="24449A9F">
            <w:pPr>
              <w:pageBreakBefore w:val="0"/>
              <w:topLinePunct w:val="0"/>
              <w:bidi w:val="0"/>
              <w:spacing w:line="500" w:lineRule="exact"/>
              <w:ind w:left="0" w:leftChars="0" w:right="0" w:rightChars="0" w:firstLine="480" w:firstLineChars="200"/>
              <w:jc w:val="center"/>
              <w:rPr>
                <w:color w:val="auto"/>
                <w:sz w:val="24"/>
                <w:szCs w:val="24"/>
              </w:rPr>
            </w:pPr>
          </w:p>
        </w:tc>
        <w:tc>
          <w:tcPr>
            <w:tcW w:w="1533" w:type="dxa"/>
            <w:tcBorders>
              <w:top w:val="single" w:color="000000" w:sz="4" w:space="0"/>
              <w:left w:val="single" w:color="000000" w:sz="4" w:space="0"/>
              <w:bottom w:val="single" w:color="000000" w:sz="4" w:space="0"/>
              <w:right w:val="single" w:color="000000" w:sz="4" w:space="0"/>
            </w:tcBorders>
          </w:tcPr>
          <w:p w14:paraId="590FCB09">
            <w:pPr>
              <w:pageBreakBefore w:val="0"/>
              <w:topLinePunct w:val="0"/>
              <w:bidi w:val="0"/>
              <w:spacing w:line="500" w:lineRule="exact"/>
              <w:ind w:left="0" w:leftChars="0" w:right="0" w:rightChars="0" w:firstLine="480" w:firstLineChars="200"/>
              <w:jc w:val="center"/>
              <w:rPr>
                <w:color w:val="auto"/>
                <w:sz w:val="24"/>
                <w:szCs w:val="24"/>
              </w:rPr>
            </w:pPr>
          </w:p>
        </w:tc>
        <w:tc>
          <w:tcPr>
            <w:tcW w:w="1237" w:type="dxa"/>
            <w:tcBorders>
              <w:top w:val="single" w:color="000000" w:sz="4" w:space="0"/>
              <w:left w:val="single" w:color="000000" w:sz="4" w:space="0"/>
              <w:bottom w:val="single" w:color="000000" w:sz="4" w:space="0"/>
              <w:right w:val="single" w:color="000000" w:sz="4" w:space="0"/>
            </w:tcBorders>
          </w:tcPr>
          <w:p w14:paraId="417A8DE1">
            <w:pPr>
              <w:pageBreakBefore w:val="0"/>
              <w:topLinePunct w:val="0"/>
              <w:bidi w:val="0"/>
              <w:spacing w:line="500" w:lineRule="exact"/>
              <w:ind w:left="0" w:leftChars="0" w:right="0" w:rightChars="0" w:firstLine="480" w:firstLineChars="200"/>
              <w:jc w:val="center"/>
              <w:rPr>
                <w:color w:val="auto"/>
                <w:sz w:val="24"/>
                <w:szCs w:val="24"/>
              </w:rPr>
            </w:pPr>
          </w:p>
        </w:tc>
        <w:tc>
          <w:tcPr>
            <w:tcW w:w="1695" w:type="dxa"/>
            <w:tcBorders>
              <w:top w:val="single" w:color="000000" w:sz="4" w:space="0"/>
              <w:left w:val="single" w:color="000000" w:sz="4" w:space="0"/>
              <w:bottom w:val="single" w:color="000000" w:sz="4" w:space="0"/>
              <w:right w:val="single" w:color="000000" w:sz="4" w:space="0"/>
            </w:tcBorders>
          </w:tcPr>
          <w:p w14:paraId="7913FDD1">
            <w:pPr>
              <w:pageBreakBefore w:val="0"/>
              <w:topLinePunct w:val="0"/>
              <w:bidi w:val="0"/>
              <w:spacing w:line="500" w:lineRule="exact"/>
              <w:ind w:left="0" w:leftChars="0" w:right="0" w:rightChars="0" w:firstLine="480" w:firstLineChars="200"/>
              <w:jc w:val="center"/>
              <w:rPr>
                <w:color w:val="auto"/>
                <w:sz w:val="24"/>
                <w:szCs w:val="24"/>
              </w:rPr>
            </w:pPr>
          </w:p>
        </w:tc>
        <w:tc>
          <w:tcPr>
            <w:tcW w:w="1395" w:type="dxa"/>
            <w:tcBorders>
              <w:top w:val="single" w:color="000000" w:sz="4" w:space="0"/>
              <w:left w:val="single" w:color="000000" w:sz="4" w:space="0"/>
              <w:bottom w:val="single" w:color="000000" w:sz="4" w:space="0"/>
              <w:right w:val="single" w:color="000000" w:sz="4" w:space="0"/>
            </w:tcBorders>
          </w:tcPr>
          <w:p w14:paraId="2DC7535B">
            <w:pPr>
              <w:pageBreakBefore w:val="0"/>
              <w:topLinePunct w:val="0"/>
              <w:bidi w:val="0"/>
              <w:spacing w:line="500" w:lineRule="exact"/>
              <w:ind w:left="0" w:leftChars="0" w:right="0" w:rightChars="0" w:firstLine="480" w:firstLineChars="200"/>
              <w:jc w:val="center"/>
              <w:rPr>
                <w:color w:val="auto"/>
                <w:sz w:val="24"/>
                <w:szCs w:val="24"/>
              </w:rPr>
            </w:pPr>
          </w:p>
        </w:tc>
        <w:tc>
          <w:tcPr>
            <w:tcW w:w="1258" w:type="dxa"/>
            <w:tcBorders>
              <w:top w:val="single" w:color="000000" w:sz="4" w:space="0"/>
              <w:left w:val="single" w:color="000000" w:sz="4" w:space="0"/>
              <w:bottom w:val="single" w:color="000000" w:sz="4" w:space="0"/>
              <w:right w:val="single" w:color="000000" w:sz="4" w:space="0"/>
            </w:tcBorders>
          </w:tcPr>
          <w:p w14:paraId="3262A926">
            <w:pPr>
              <w:pageBreakBefore w:val="0"/>
              <w:topLinePunct w:val="0"/>
              <w:bidi w:val="0"/>
              <w:spacing w:line="500" w:lineRule="exact"/>
              <w:ind w:left="0" w:leftChars="0" w:right="0" w:rightChars="0" w:firstLine="480" w:firstLineChars="200"/>
              <w:jc w:val="center"/>
              <w:rPr>
                <w:color w:val="auto"/>
                <w:sz w:val="24"/>
                <w:szCs w:val="24"/>
              </w:rPr>
            </w:pPr>
          </w:p>
        </w:tc>
        <w:tc>
          <w:tcPr>
            <w:tcW w:w="1210" w:type="dxa"/>
            <w:tcBorders>
              <w:top w:val="single" w:color="000000" w:sz="4" w:space="0"/>
              <w:left w:val="single" w:color="000000" w:sz="4" w:space="0"/>
              <w:bottom w:val="single" w:color="000000" w:sz="4" w:space="0"/>
            </w:tcBorders>
          </w:tcPr>
          <w:p w14:paraId="7FB434A7">
            <w:pPr>
              <w:pageBreakBefore w:val="0"/>
              <w:topLinePunct w:val="0"/>
              <w:bidi w:val="0"/>
              <w:spacing w:line="500" w:lineRule="exact"/>
              <w:ind w:left="0" w:leftChars="0" w:right="0" w:rightChars="0" w:firstLine="480" w:firstLineChars="200"/>
              <w:jc w:val="center"/>
              <w:rPr>
                <w:color w:val="auto"/>
                <w:sz w:val="24"/>
                <w:szCs w:val="24"/>
              </w:rPr>
            </w:pPr>
          </w:p>
        </w:tc>
      </w:tr>
      <w:tr w14:paraId="6777BAE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37" w:hRule="atLeast"/>
        </w:trPr>
        <w:tc>
          <w:tcPr>
            <w:tcW w:w="1257" w:type="dxa"/>
            <w:tcBorders>
              <w:top w:val="single" w:color="000000" w:sz="4" w:space="0"/>
              <w:bottom w:val="single" w:color="000000" w:sz="4" w:space="0"/>
              <w:right w:val="single" w:color="000000" w:sz="4" w:space="0"/>
            </w:tcBorders>
          </w:tcPr>
          <w:p w14:paraId="63C63194">
            <w:pPr>
              <w:pageBreakBefore w:val="0"/>
              <w:topLinePunct w:val="0"/>
              <w:bidi w:val="0"/>
              <w:spacing w:line="500" w:lineRule="exact"/>
              <w:ind w:left="0" w:leftChars="0" w:right="0" w:rightChars="0" w:firstLine="480" w:firstLineChars="200"/>
              <w:jc w:val="center"/>
              <w:rPr>
                <w:color w:val="auto"/>
                <w:sz w:val="24"/>
                <w:szCs w:val="24"/>
              </w:rPr>
            </w:pPr>
          </w:p>
        </w:tc>
        <w:tc>
          <w:tcPr>
            <w:tcW w:w="2045" w:type="dxa"/>
            <w:tcBorders>
              <w:top w:val="single" w:color="000000" w:sz="4" w:space="0"/>
              <w:left w:val="single" w:color="000000" w:sz="4" w:space="0"/>
              <w:bottom w:val="single" w:color="000000" w:sz="4" w:space="0"/>
              <w:right w:val="single" w:color="000000" w:sz="4" w:space="0"/>
            </w:tcBorders>
          </w:tcPr>
          <w:p w14:paraId="6A4F1B90">
            <w:pPr>
              <w:pageBreakBefore w:val="0"/>
              <w:topLinePunct w:val="0"/>
              <w:bidi w:val="0"/>
              <w:spacing w:line="500" w:lineRule="exact"/>
              <w:ind w:left="0" w:leftChars="0" w:right="0" w:rightChars="0" w:firstLine="480" w:firstLineChars="200"/>
              <w:jc w:val="center"/>
              <w:rPr>
                <w:color w:val="auto"/>
                <w:sz w:val="24"/>
                <w:szCs w:val="24"/>
              </w:rPr>
            </w:pPr>
          </w:p>
        </w:tc>
        <w:tc>
          <w:tcPr>
            <w:tcW w:w="1611" w:type="dxa"/>
            <w:tcBorders>
              <w:top w:val="single" w:color="000000" w:sz="4" w:space="0"/>
              <w:left w:val="single" w:color="000000" w:sz="4" w:space="0"/>
              <w:bottom w:val="single" w:color="000000" w:sz="4" w:space="0"/>
              <w:right w:val="single" w:color="000000" w:sz="4" w:space="0"/>
            </w:tcBorders>
          </w:tcPr>
          <w:p w14:paraId="34781AC4">
            <w:pPr>
              <w:pageBreakBefore w:val="0"/>
              <w:topLinePunct w:val="0"/>
              <w:bidi w:val="0"/>
              <w:spacing w:line="500" w:lineRule="exact"/>
              <w:ind w:left="0" w:leftChars="0" w:right="0" w:rightChars="0" w:firstLine="480" w:firstLineChars="200"/>
              <w:jc w:val="center"/>
              <w:rPr>
                <w:color w:val="auto"/>
                <w:sz w:val="24"/>
                <w:szCs w:val="24"/>
              </w:rPr>
            </w:pPr>
          </w:p>
        </w:tc>
        <w:tc>
          <w:tcPr>
            <w:tcW w:w="1454" w:type="dxa"/>
            <w:tcBorders>
              <w:top w:val="single" w:color="000000" w:sz="4" w:space="0"/>
              <w:left w:val="single" w:color="000000" w:sz="4" w:space="0"/>
              <w:bottom w:val="single" w:color="000000" w:sz="4" w:space="0"/>
              <w:right w:val="single" w:color="000000" w:sz="4" w:space="0"/>
            </w:tcBorders>
          </w:tcPr>
          <w:p w14:paraId="080D204E">
            <w:pPr>
              <w:pageBreakBefore w:val="0"/>
              <w:topLinePunct w:val="0"/>
              <w:bidi w:val="0"/>
              <w:spacing w:line="500" w:lineRule="exact"/>
              <w:ind w:left="0" w:leftChars="0" w:right="0" w:rightChars="0" w:firstLine="480" w:firstLineChars="200"/>
              <w:jc w:val="center"/>
              <w:rPr>
                <w:color w:val="auto"/>
                <w:sz w:val="24"/>
                <w:szCs w:val="24"/>
              </w:rPr>
            </w:pPr>
          </w:p>
        </w:tc>
        <w:tc>
          <w:tcPr>
            <w:tcW w:w="1533" w:type="dxa"/>
            <w:tcBorders>
              <w:top w:val="single" w:color="000000" w:sz="4" w:space="0"/>
              <w:left w:val="single" w:color="000000" w:sz="4" w:space="0"/>
              <w:bottom w:val="single" w:color="000000" w:sz="4" w:space="0"/>
              <w:right w:val="single" w:color="000000" w:sz="4" w:space="0"/>
            </w:tcBorders>
          </w:tcPr>
          <w:p w14:paraId="775214AC">
            <w:pPr>
              <w:pageBreakBefore w:val="0"/>
              <w:topLinePunct w:val="0"/>
              <w:bidi w:val="0"/>
              <w:spacing w:line="500" w:lineRule="exact"/>
              <w:ind w:left="0" w:leftChars="0" w:right="0" w:rightChars="0" w:firstLine="480" w:firstLineChars="200"/>
              <w:jc w:val="center"/>
              <w:rPr>
                <w:color w:val="auto"/>
                <w:sz w:val="24"/>
                <w:szCs w:val="24"/>
              </w:rPr>
            </w:pPr>
          </w:p>
        </w:tc>
        <w:tc>
          <w:tcPr>
            <w:tcW w:w="1237" w:type="dxa"/>
            <w:tcBorders>
              <w:top w:val="single" w:color="000000" w:sz="4" w:space="0"/>
              <w:left w:val="single" w:color="000000" w:sz="4" w:space="0"/>
              <w:bottom w:val="single" w:color="000000" w:sz="4" w:space="0"/>
              <w:right w:val="single" w:color="000000" w:sz="4" w:space="0"/>
            </w:tcBorders>
          </w:tcPr>
          <w:p w14:paraId="7FB92542">
            <w:pPr>
              <w:pageBreakBefore w:val="0"/>
              <w:topLinePunct w:val="0"/>
              <w:bidi w:val="0"/>
              <w:spacing w:line="500" w:lineRule="exact"/>
              <w:ind w:left="0" w:leftChars="0" w:right="0" w:rightChars="0" w:firstLine="480" w:firstLineChars="200"/>
              <w:jc w:val="center"/>
              <w:rPr>
                <w:color w:val="auto"/>
                <w:sz w:val="24"/>
                <w:szCs w:val="24"/>
              </w:rPr>
            </w:pPr>
          </w:p>
        </w:tc>
        <w:tc>
          <w:tcPr>
            <w:tcW w:w="1695" w:type="dxa"/>
            <w:tcBorders>
              <w:top w:val="single" w:color="000000" w:sz="4" w:space="0"/>
              <w:left w:val="single" w:color="000000" w:sz="4" w:space="0"/>
              <w:bottom w:val="single" w:color="000000" w:sz="4" w:space="0"/>
              <w:right w:val="single" w:color="000000" w:sz="4" w:space="0"/>
            </w:tcBorders>
          </w:tcPr>
          <w:p w14:paraId="0521BDC6">
            <w:pPr>
              <w:pageBreakBefore w:val="0"/>
              <w:topLinePunct w:val="0"/>
              <w:bidi w:val="0"/>
              <w:spacing w:line="500" w:lineRule="exact"/>
              <w:ind w:left="0" w:leftChars="0" w:right="0" w:rightChars="0" w:firstLine="480" w:firstLineChars="200"/>
              <w:jc w:val="center"/>
              <w:rPr>
                <w:color w:val="auto"/>
                <w:sz w:val="24"/>
                <w:szCs w:val="24"/>
              </w:rPr>
            </w:pPr>
          </w:p>
        </w:tc>
        <w:tc>
          <w:tcPr>
            <w:tcW w:w="1395" w:type="dxa"/>
            <w:tcBorders>
              <w:top w:val="single" w:color="000000" w:sz="4" w:space="0"/>
              <w:left w:val="single" w:color="000000" w:sz="4" w:space="0"/>
              <w:bottom w:val="single" w:color="000000" w:sz="4" w:space="0"/>
              <w:right w:val="single" w:color="000000" w:sz="4" w:space="0"/>
            </w:tcBorders>
          </w:tcPr>
          <w:p w14:paraId="7F12AA35">
            <w:pPr>
              <w:pageBreakBefore w:val="0"/>
              <w:topLinePunct w:val="0"/>
              <w:bidi w:val="0"/>
              <w:spacing w:line="500" w:lineRule="exact"/>
              <w:ind w:left="0" w:leftChars="0" w:right="0" w:rightChars="0" w:firstLine="480" w:firstLineChars="200"/>
              <w:jc w:val="center"/>
              <w:rPr>
                <w:color w:val="auto"/>
                <w:sz w:val="24"/>
                <w:szCs w:val="24"/>
              </w:rPr>
            </w:pPr>
          </w:p>
        </w:tc>
        <w:tc>
          <w:tcPr>
            <w:tcW w:w="1258" w:type="dxa"/>
            <w:tcBorders>
              <w:top w:val="single" w:color="000000" w:sz="4" w:space="0"/>
              <w:left w:val="single" w:color="000000" w:sz="4" w:space="0"/>
              <w:bottom w:val="single" w:color="000000" w:sz="4" w:space="0"/>
              <w:right w:val="single" w:color="000000" w:sz="4" w:space="0"/>
            </w:tcBorders>
          </w:tcPr>
          <w:p w14:paraId="050942C0">
            <w:pPr>
              <w:pageBreakBefore w:val="0"/>
              <w:topLinePunct w:val="0"/>
              <w:bidi w:val="0"/>
              <w:spacing w:line="500" w:lineRule="exact"/>
              <w:ind w:left="0" w:leftChars="0" w:right="0" w:rightChars="0" w:firstLine="480" w:firstLineChars="200"/>
              <w:jc w:val="center"/>
              <w:rPr>
                <w:color w:val="auto"/>
                <w:sz w:val="24"/>
                <w:szCs w:val="24"/>
              </w:rPr>
            </w:pPr>
          </w:p>
        </w:tc>
        <w:tc>
          <w:tcPr>
            <w:tcW w:w="1210" w:type="dxa"/>
            <w:tcBorders>
              <w:top w:val="single" w:color="000000" w:sz="4" w:space="0"/>
              <w:left w:val="single" w:color="000000" w:sz="4" w:space="0"/>
              <w:bottom w:val="single" w:color="000000" w:sz="4" w:space="0"/>
            </w:tcBorders>
          </w:tcPr>
          <w:p w14:paraId="1783AE5E">
            <w:pPr>
              <w:pageBreakBefore w:val="0"/>
              <w:topLinePunct w:val="0"/>
              <w:bidi w:val="0"/>
              <w:spacing w:line="500" w:lineRule="exact"/>
              <w:ind w:left="0" w:leftChars="0" w:right="0" w:rightChars="0" w:firstLine="480" w:firstLineChars="200"/>
              <w:jc w:val="center"/>
              <w:rPr>
                <w:color w:val="auto"/>
                <w:sz w:val="24"/>
                <w:szCs w:val="24"/>
              </w:rPr>
            </w:pPr>
          </w:p>
        </w:tc>
      </w:tr>
      <w:tr w14:paraId="7F283FC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08" w:hRule="atLeast"/>
        </w:trPr>
        <w:tc>
          <w:tcPr>
            <w:tcW w:w="1257" w:type="dxa"/>
            <w:tcBorders>
              <w:top w:val="single" w:color="000000" w:sz="4" w:space="0"/>
              <w:bottom w:val="single" w:color="000000" w:sz="4" w:space="0"/>
              <w:right w:val="single" w:color="000000" w:sz="4" w:space="0"/>
            </w:tcBorders>
          </w:tcPr>
          <w:p w14:paraId="5DF31D5E">
            <w:pPr>
              <w:pageBreakBefore w:val="0"/>
              <w:topLinePunct w:val="0"/>
              <w:bidi w:val="0"/>
              <w:spacing w:line="500" w:lineRule="exact"/>
              <w:ind w:left="0" w:leftChars="0" w:right="0" w:rightChars="0" w:firstLine="480" w:firstLineChars="200"/>
              <w:jc w:val="center"/>
              <w:rPr>
                <w:color w:val="auto"/>
                <w:sz w:val="24"/>
                <w:szCs w:val="24"/>
              </w:rPr>
            </w:pPr>
          </w:p>
        </w:tc>
        <w:tc>
          <w:tcPr>
            <w:tcW w:w="2045" w:type="dxa"/>
            <w:tcBorders>
              <w:top w:val="single" w:color="000000" w:sz="4" w:space="0"/>
              <w:left w:val="single" w:color="000000" w:sz="4" w:space="0"/>
              <w:bottom w:val="single" w:color="000000" w:sz="4" w:space="0"/>
              <w:right w:val="single" w:color="000000" w:sz="4" w:space="0"/>
            </w:tcBorders>
          </w:tcPr>
          <w:p w14:paraId="6CB7A362">
            <w:pPr>
              <w:pageBreakBefore w:val="0"/>
              <w:topLinePunct w:val="0"/>
              <w:bidi w:val="0"/>
              <w:spacing w:line="500" w:lineRule="exact"/>
              <w:ind w:left="0" w:leftChars="0" w:right="0" w:rightChars="0" w:firstLine="480" w:firstLineChars="200"/>
              <w:jc w:val="center"/>
              <w:rPr>
                <w:color w:val="auto"/>
                <w:sz w:val="24"/>
                <w:szCs w:val="24"/>
              </w:rPr>
            </w:pPr>
          </w:p>
        </w:tc>
        <w:tc>
          <w:tcPr>
            <w:tcW w:w="1611" w:type="dxa"/>
            <w:tcBorders>
              <w:top w:val="single" w:color="000000" w:sz="4" w:space="0"/>
              <w:left w:val="single" w:color="000000" w:sz="4" w:space="0"/>
              <w:bottom w:val="single" w:color="000000" w:sz="4" w:space="0"/>
              <w:right w:val="single" w:color="000000" w:sz="4" w:space="0"/>
            </w:tcBorders>
          </w:tcPr>
          <w:p w14:paraId="7A11EE9D">
            <w:pPr>
              <w:pageBreakBefore w:val="0"/>
              <w:topLinePunct w:val="0"/>
              <w:bidi w:val="0"/>
              <w:spacing w:line="500" w:lineRule="exact"/>
              <w:ind w:left="0" w:leftChars="0" w:right="0" w:rightChars="0" w:firstLine="480" w:firstLineChars="200"/>
              <w:jc w:val="center"/>
              <w:rPr>
                <w:color w:val="auto"/>
                <w:sz w:val="24"/>
                <w:szCs w:val="24"/>
              </w:rPr>
            </w:pPr>
          </w:p>
        </w:tc>
        <w:tc>
          <w:tcPr>
            <w:tcW w:w="1454" w:type="dxa"/>
            <w:tcBorders>
              <w:top w:val="single" w:color="000000" w:sz="4" w:space="0"/>
              <w:left w:val="single" w:color="000000" w:sz="4" w:space="0"/>
              <w:bottom w:val="single" w:color="000000" w:sz="4" w:space="0"/>
              <w:right w:val="single" w:color="000000" w:sz="4" w:space="0"/>
            </w:tcBorders>
          </w:tcPr>
          <w:p w14:paraId="01F961F6">
            <w:pPr>
              <w:pageBreakBefore w:val="0"/>
              <w:topLinePunct w:val="0"/>
              <w:bidi w:val="0"/>
              <w:spacing w:line="500" w:lineRule="exact"/>
              <w:ind w:left="0" w:leftChars="0" w:right="0" w:rightChars="0" w:firstLine="480" w:firstLineChars="200"/>
              <w:jc w:val="center"/>
              <w:rPr>
                <w:color w:val="auto"/>
                <w:sz w:val="24"/>
                <w:szCs w:val="24"/>
              </w:rPr>
            </w:pPr>
          </w:p>
        </w:tc>
        <w:tc>
          <w:tcPr>
            <w:tcW w:w="1533" w:type="dxa"/>
            <w:tcBorders>
              <w:top w:val="single" w:color="000000" w:sz="4" w:space="0"/>
              <w:left w:val="single" w:color="000000" w:sz="4" w:space="0"/>
              <w:bottom w:val="single" w:color="000000" w:sz="4" w:space="0"/>
              <w:right w:val="single" w:color="000000" w:sz="4" w:space="0"/>
            </w:tcBorders>
          </w:tcPr>
          <w:p w14:paraId="6B4645F7">
            <w:pPr>
              <w:pageBreakBefore w:val="0"/>
              <w:topLinePunct w:val="0"/>
              <w:bidi w:val="0"/>
              <w:spacing w:line="500" w:lineRule="exact"/>
              <w:ind w:left="0" w:leftChars="0" w:right="0" w:rightChars="0" w:firstLine="480" w:firstLineChars="200"/>
              <w:jc w:val="center"/>
              <w:rPr>
                <w:color w:val="auto"/>
                <w:sz w:val="24"/>
                <w:szCs w:val="24"/>
              </w:rPr>
            </w:pPr>
          </w:p>
        </w:tc>
        <w:tc>
          <w:tcPr>
            <w:tcW w:w="1237" w:type="dxa"/>
            <w:tcBorders>
              <w:top w:val="single" w:color="000000" w:sz="4" w:space="0"/>
              <w:left w:val="single" w:color="000000" w:sz="4" w:space="0"/>
              <w:bottom w:val="single" w:color="000000" w:sz="4" w:space="0"/>
              <w:right w:val="single" w:color="000000" w:sz="4" w:space="0"/>
            </w:tcBorders>
          </w:tcPr>
          <w:p w14:paraId="59C621C6">
            <w:pPr>
              <w:pageBreakBefore w:val="0"/>
              <w:topLinePunct w:val="0"/>
              <w:bidi w:val="0"/>
              <w:spacing w:line="500" w:lineRule="exact"/>
              <w:ind w:left="0" w:leftChars="0" w:right="0" w:rightChars="0" w:firstLine="480" w:firstLineChars="200"/>
              <w:jc w:val="center"/>
              <w:rPr>
                <w:color w:val="auto"/>
                <w:sz w:val="24"/>
                <w:szCs w:val="24"/>
              </w:rPr>
            </w:pPr>
          </w:p>
        </w:tc>
        <w:tc>
          <w:tcPr>
            <w:tcW w:w="1695" w:type="dxa"/>
            <w:tcBorders>
              <w:top w:val="single" w:color="000000" w:sz="4" w:space="0"/>
              <w:left w:val="single" w:color="000000" w:sz="4" w:space="0"/>
              <w:bottom w:val="single" w:color="000000" w:sz="4" w:space="0"/>
              <w:right w:val="single" w:color="000000" w:sz="4" w:space="0"/>
            </w:tcBorders>
          </w:tcPr>
          <w:p w14:paraId="04418A1F">
            <w:pPr>
              <w:pageBreakBefore w:val="0"/>
              <w:topLinePunct w:val="0"/>
              <w:bidi w:val="0"/>
              <w:spacing w:line="500" w:lineRule="exact"/>
              <w:ind w:left="0" w:leftChars="0" w:right="0" w:rightChars="0" w:firstLine="480" w:firstLineChars="200"/>
              <w:jc w:val="center"/>
              <w:rPr>
                <w:color w:val="auto"/>
                <w:sz w:val="24"/>
                <w:szCs w:val="24"/>
              </w:rPr>
            </w:pPr>
          </w:p>
        </w:tc>
        <w:tc>
          <w:tcPr>
            <w:tcW w:w="1395" w:type="dxa"/>
            <w:tcBorders>
              <w:top w:val="single" w:color="000000" w:sz="4" w:space="0"/>
              <w:left w:val="single" w:color="000000" w:sz="4" w:space="0"/>
              <w:bottom w:val="single" w:color="000000" w:sz="4" w:space="0"/>
              <w:right w:val="single" w:color="000000" w:sz="4" w:space="0"/>
            </w:tcBorders>
          </w:tcPr>
          <w:p w14:paraId="357EEDE9">
            <w:pPr>
              <w:pageBreakBefore w:val="0"/>
              <w:topLinePunct w:val="0"/>
              <w:bidi w:val="0"/>
              <w:spacing w:line="500" w:lineRule="exact"/>
              <w:ind w:left="0" w:leftChars="0" w:right="0" w:rightChars="0" w:firstLine="480" w:firstLineChars="200"/>
              <w:jc w:val="center"/>
              <w:rPr>
                <w:color w:val="auto"/>
                <w:sz w:val="24"/>
                <w:szCs w:val="24"/>
              </w:rPr>
            </w:pPr>
          </w:p>
        </w:tc>
        <w:tc>
          <w:tcPr>
            <w:tcW w:w="1258" w:type="dxa"/>
            <w:tcBorders>
              <w:top w:val="single" w:color="000000" w:sz="4" w:space="0"/>
              <w:left w:val="single" w:color="000000" w:sz="4" w:space="0"/>
              <w:bottom w:val="single" w:color="000000" w:sz="4" w:space="0"/>
              <w:right w:val="single" w:color="000000" w:sz="4" w:space="0"/>
            </w:tcBorders>
          </w:tcPr>
          <w:p w14:paraId="27CED85F">
            <w:pPr>
              <w:pageBreakBefore w:val="0"/>
              <w:topLinePunct w:val="0"/>
              <w:bidi w:val="0"/>
              <w:spacing w:line="500" w:lineRule="exact"/>
              <w:ind w:left="0" w:leftChars="0" w:right="0" w:rightChars="0" w:firstLine="480" w:firstLineChars="200"/>
              <w:jc w:val="center"/>
              <w:rPr>
                <w:color w:val="auto"/>
                <w:sz w:val="24"/>
                <w:szCs w:val="24"/>
              </w:rPr>
            </w:pPr>
          </w:p>
        </w:tc>
        <w:tc>
          <w:tcPr>
            <w:tcW w:w="1210" w:type="dxa"/>
            <w:tcBorders>
              <w:top w:val="single" w:color="000000" w:sz="4" w:space="0"/>
              <w:left w:val="single" w:color="000000" w:sz="4" w:space="0"/>
              <w:bottom w:val="single" w:color="000000" w:sz="4" w:space="0"/>
            </w:tcBorders>
          </w:tcPr>
          <w:p w14:paraId="33D902D5">
            <w:pPr>
              <w:pageBreakBefore w:val="0"/>
              <w:topLinePunct w:val="0"/>
              <w:bidi w:val="0"/>
              <w:spacing w:line="500" w:lineRule="exact"/>
              <w:ind w:left="0" w:leftChars="0" w:right="0" w:rightChars="0" w:firstLine="480" w:firstLineChars="200"/>
              <w:jc w:val="center"/>
              <w:rPr>
                <w:color w:val="auto"/>
                <w:sz w:val="24"/>
                <w:szCs w:val="24"/>
              </w:rPr>
            </w:pPr>
          </w:p>
        </w:tc>
      </w:tr>
      <w:tr w14:paraId="7373235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04" w:hRule="atLeast"/>
        </w:trPr>
        <w:tc>
          <w:tcPr>
            <w:tcW w:w="1257" w:type="dxa"/>
            <w:tcBorders>
              <w:top w:val="single" w:color="000000" w:sz="4" w:space="0"/>
              <w:right w:val="single" w:color="000000" w:sz="4" w:space="0"/>
            </w:tcBorders>
          </w:tcPr>
          <w:p w14:paraId="3550EE2C">
            <w:pPr>
              <w:pageBreakBefore w:val="0"/>
              <w:topLinePunct w:val="0"/>
              <w:bidi w:val="0"/>
              <w:spacing w:line="500" w:lineRule="exact"/>
              <w:ind w:left="0" w:leftChars="0" w:right="0" w:rightChars="0" w:firstLine="480" w:firstLineChars="200"/>
              <w:jc w:val="center"/>
              <w:rPr>
                <w:color w:val="auto"/>
                <w:sz w:val="24"/>
                <w:szCs w:val="24"/>
              </w:rPr>
            </w:pPr>
          </w:p>
        </w:tc>
        <w:tc>
          <w:tcPr>
            <w:tcW w:w="2045" w:type="dxa"/>
            <w:tcBorders>
              <w:top w:val="single" w:color="000000" w:sz="4" w:space="0"/>
              <w:left w:val="single" w:color="000000" w:sz="4" w:space="0"/>
              <w:right w:val="single" w:color="000000" w:sz="4" w:space="0"/>
            </w:tcBorders>
          </w:tcPr>
          <w:p w14:paraId="70E9C1C9">
            <w:pPr>
              <w:pageBreakBefore w:val="0"/>
              <w:topLinePunct w:val="0"/>
              <w:bidi w:val="0"/>
              <w:spacing w:line="500" w:lineRule="exact"/>
              <w:ind w:left="0" w:leftChars="0" w:right="0" w:rightChars="0" w:firstLine="480" w:firstLineChars="200"/>
              <w:jc w:val="center"/>
              <w:rPr>
                <w:color w:val="auto"/>
                <w:sz w:val="24"/>
                <w:szCs w:val="24"/>
              </w:rPr>
            </w:pPr>
          </w:p>
        </w:tc>
        <w:tc>
          <w:tcPr>
            <w:tcW w:w="1611" w:type="dxa"/>
            <w:tcBorders>
              <w:top w:val="single" w:color="000000" w:sz="4" w:space="0"/>
              <w:left w:val="single" w:color="000000" w:sz="4" w:space="0"/>
              <w:right w:val="single" w:color="000000" w:sz="4" w:space="0"/>
            </w:tcBorders>
          </w:tcPr>
          <w:p w14:paraId="77AFA232">
            <w:pPr>
              <w:pageBreakBefore w:val="0"/>
              <w:topLinePunct w:val="0"/>
              <w:bidi w:val="0"/>
              <w:spacing w:line="500" w:lineRule="exact"/>
              <w:ind w:left="0" w:leftChars="0" w:right="0" w:rightChars="0" w:firstLine="480" w:firstLineChars="200"/>
              <w:jc w:val="center"/>
              <w:rPr>
                <w:color w:val="auto"/>
                <w:sz w:val="24"/>
                <w:szCs w:val="24"/>
              </w:rPr>
            </w:pPr>
          </w:p>
        </w:tc>
        <w:tc>
          <w:tcPr>
            <w:tcW w:w="1454" w:type="dxa"/>
            <w:tcBorders>
              <w:top w:val="single" w:color="000000" w:sz="4" w:space="0"/>
              <w:left w:val="single" w:color="000000" w:sz="4" w:space="0"/>
              <w:right w:val="single" w:color="000000" w:sz="4" w:space="0"/>
            </w:tcBorders>
          </w:tcPr>
          <w:p w14:paraId="48E13A01">
            <w:pPr>
              <w:pageBreakBefore w:val="0"/>
              <w:topLinePunct w:val="0"/>
              <w:bidi w:val="0"/>
              <w:spacing w:line="500" w:lineRule="exact"/>
              <w:ind w:left="0" w:leftChars="0" w:right="0" w:rightChars="0" w:firstLine="480" w:firstLineChars="200"/>
              <w:jc w:val="center"/>
              <w:rPr>
                <w:color w:val="auto"/>
                <w:sz w:val="24"/>
                <w:szCs w:val="24"/>
              </w:rPr>
            </w:pPr>
          </w:p>
        </w:tc>
        <w:tc>
          <w:tcPr>
            <w:tcW w:w="1533" w:type="dxa"/>
            <w:tcBorders>
              <w:top w:val="single" w:color="000000" w:sz="4" w:space="0"/>
              <w:left w:val="single" w:color="000000" w:sz="4" w:space="0"/>
              <w:right w:val="single" w:color="000000" w:sz="4" w:space="0"/>
            </w:tcBorders>
          </w:tcPr>
          <w:p w14:paraId="4D27DDBE">
            <w:pPr>
              <w:pageBreakBefore w:val="0"/>
              <w:topLinePunct w:val="0"/>
              <w:bidi w:val="0"/>
              <w:spacing w:line="500" w:lineRule="exact"/>
              <w:ind w:left="0" w:leftChars="0" w:right="0" w:rightChars="0" w:firstLine="480" w:firstLineChars="200"/>
              <w:jc w:val="center"/>
              <w:rPr>
                <w:color w:val="auto"/>
                <w:sz w:val="24"/>
                <w:szCs w:val="24"/>
              </w:rPr>
            </w:pPr>
          </w:p>
        </w:tc>
        <w:tc>
          <w:tcPr>
            <w:tcW w:w="1237" w:type="dxa"/>
            <w:tcBorders>
              <w:top w:val="single" w:color="000000" w:sz="4" w:space="0"/>
              <w:left w:val="single" w:color="000000" w:sz="4" w:space="0"/>
              <w:right w:val="single" w:color="000000" w:sz="4" w:space="0"/>
            </w:tcBorders>
          </w:tcPr>
          <w:p w14:paraId="1488A761">
            <w:pPr>
              <w:pageBreakBefore w:val="0"/>
              <w:topLinePunct w:val="0"/>
              <w:bidi w:val="0"/>
              <w:spacing w:line="500" w:lineRule="exact"/>
              <w:ind w:left="0" w:leftChars="0" w:right="0" w:rightChars="0" w:firstLine="480" w:firstLineChars="200"/>
              <w:jc w:val="center"/>
              <w:rPr>
                <w:color w:val="auto"/>
                <w:sz w:val="24"/>
                <w:szCs w:val="24"/>
              </w:rPr>
            </w:pPr>
          </w:p>
        </w:tc>
        <w:tc>
          <w:tcPr>
            <w:tcW w:w="1695" w:type="dxa"/>
            <w:tcBorders>
              <w:top w:val="single" w:color="000000" w:sz="4" w:space="0"/>
              <w:left w:val="single" w:color="000000" w:sz="4" w:space="0"/>
              <w:right w:val="single" w:color="000000" w:sz="4" w:space="0"/>
            </w:tcBorders>
          </w:tcPr>
          <w:p w14:paraId="7C93C7FF">
            <w:pPr>
              <w:pageBreakBefore w:val="0"/>
              <w:topLinePunct w:val="0"/>
              <w:bidi w:val="0"/>
              <w:spacing w:line="500" w:lineRule="exact"/>
              <w:ind w:left="0" w:leftChars="0" w:right="0" w:rightChars="0" w:firstLine="480" w:firstLineChars="200"/>
              <w:jc w:val="center"/>
              <w:rPr>
                <w:color w:val="auto"/>
                <w:sz w:val="24"/>
                <w:szCs w:val="24"/>
              </w:rPr>
            </w:pPr>
          </w:p>
        </w:tc>
        <w:tc>
          <w:tcPr>
            <w:tcW w:w="1395" w:type="dxa"/>
            <w:tcBorders>
              <w:top w:val="single" w:color="000000" w:sz="4" w:space="0"/>
              <w:left w:val="single" w:color="000000" w:sz="4" w:space="0"/>
              <w:right w:val="single" w:color="000000" w:sz="4" w:space="0"/>
            </w:tcBorders>
          </w:tcPr>
          <w:p w14:paraId="3759AF95">
            <w:pPr>
              <w:pageBreakBefore w:val="0"/>
              <w:topLinePunct w:val="0"/>
              <w:bidi w:val="0"/>
              <w:spacing w:line="500" w:lineRule="exact"/>
              <w:ind w:left="0" w:leftChars="0" w:right="0" w:rightChars="0" w:firstLine="480" w:firstLineChars="200"/>
              <w:jc w:val="center"/>
              <w:rPr>
                <w:color w:val="auto"/>
                <w:sz w:val="24"/>
                <w:szCs w:val="24"/>
              </w:rPr>
            </w:pPr>
          </w:p>
        </w:tc>
        <w:tc>
          <w:tcPr>
            <w:tcW w:w="1258" w:type="dxa"/>
            <w:tcBorders>
              <w:top w:val="single" w:color="000000" w:sz="4" w:space="0"/>
              <w:left w:val="single" w:color="000000" w:sz="4" w:space="0"/>
              <w:right w:val="single" w:color="000000" w:sz="4" w:space="0"/>
            </w:tcBorders>
          </w:tcPr>
          <w:p w14:paraId="0E9B12BA">
            <w:pPr>
              <w:pageBreakBefore w:val="0"/>
              <w:topLinePunct w:val="0"/>
              <w:bidi w:val="0"/>
              <w:spacing w:line="500" w:lineRule="exact"/>
              <w:ind w:left="0" w:leftChars="0" w:right="0" w:rightChars="0" w:firstLine="480" w:firstLineChars="200"/>
              <w:jc w:val="center"/>
              <w:rPr>
                <w:color w:val="auto"/>
                <w:sz w:val="24"/>
                <w:szCs w:val="24"/>
              </w:rPr>
            </w:pPr>
          </w:p>
        </w:tc>
        <w:tc>
          <w:tcPr>
            <w:tcW w:w="1210" w:type="dxa"/>
            <w:tcBorders>
              <w:top w:val="single" w:color="000000" w:sz="4" w:space="0"/>
              <w:left w:val="single" w:color="000000" w:sz="4" w:space="0"/>
            </w:tcBorders>
          </w:tcPr>
          <w:p w14:paraId="4CAD0D00">
            <w:pPr>
              <w:pageBreakBefore w:val="0"/>
              <w:topLinePunct w:val="0"/>
              <w:bidi w:val="0"/>
              <w:spacing w:line="500" w:lineRule="exact"/>
              <w:ind w:left="0" w:leftChars="0" w:right="0" w:rightChars="0" w:firstLine="480" w:firstLineChars="200"/>
              <w:jc w:val="center"/>
              <w:rPr>
                <w:color w:val="auto"/>
                <w:sz w:val="24"/>
                <w:szCs w:val="24"/>
              </w:rPr>
            </w:pPr>
          </w:p>
        </w:tc>
      </w:tr>
    </w:tbl>
    <w:p w14:paraId="5E1D1D6F">
      <w:pPr>
        <w:pageBreakBefore w:val="0"/>
        <w:topLinePunct w:val="0"/>
        <w:bidi w:val="0"/>
        <w:spacing w:line="500" w:lineRule="exact"/>
        <w:ind w:left="0" w:leftChars="0" w:right="0" w:rightChars="0" w:firstLine="480" w:firstLineChars="200"/>
        <w:rPr>
          <w:color w:val="auto"/>
          <w:sz w:val="24"/>
          <w:szCs w:val="24"/>
        </w:rPr>
      </w:pPr>
      <w:r>
        <w:rPr>
          <w:rFonts w:hint="eastAsia"/>
          <w:color w:val="auto"/>
          <w:sz w:val="24"/>
          <w:szCs w:val="24"/>
        </w:rPr>
        <w:t>说明</w:t>
      </w:r>
    </w:p>
    <w:p w14:paraId="10634B26">
      <w:pPr>
        <w:pageBreakBefore w:val="0"/>
        <w:topLinePunct w:val="0"/>
        <w:bidi w:val="0"/>
        <w:spacing w:line="500" w:lineRule="exact"/>
        <w:ind w:left="0" w:leftChars="0" w:right="0" w:rightChars="0" w:firstLine="480" w:firstLineChars="200"/>
        <w:rPr>
          <w:color w:val="auto"/>
          <w:sz w:val="24"/>
          <w:szCs w:val="24"/>
        </w:rPr>
      </w:pPr>
      <w:r>
        <w:rPr>
          <w:rFonts w:hint="eastAsia"/>
          <w:color w:val="auto"/>
          <w:sz w:val="24"/>
          <w:szCs w:val="24"/>
        </w:rPr>
        <w:t>1</w:t>
      </w:r>
      <w:r>
        <w:rPr>
          <w:rFonts w:hint="eastAsia"/>
          <w:color w:val="auto"/>
          <w:sz w:val="24"/>
          <w:szCs w:val="24"/>
          <w:lang w:val="en-US" w:eastAsia="zh-CN"/>
        </w:rPr>
        <w:t>.</w:t>
      </w:r>
      <w:r>
        <w:rPr>
          <w:rFonts w:hint="eastAsia"/>
          <w:color w:val="auto"/>
          <w:sz w:val="24"/>
          <w:szCs w:val="24"/>
        </w:rPr>
        <w:t>本表须逐项填写，不得空缺；如空缺将视为没有实质性响应招标文件。</w:t>
      </w:r>
    </w:p>
    <w:p w14:paraId="2D3B718E">
      <w:pPr>
        <w:pageBreakBefore w:val="0"/>
        <w:topLinePunct w:val="0"/>
        <w:bidi w:val="0"/>
        <w:spacing w:line="500" w:lineRule="exact"/>
        <w:ind w:left="0" w:leftChars="0" w:right="0" w:rightChars="0" w:firstLine="480" w:firstLineChars="200"/>
        <w:rPr>
          <w:color w:val="auto"/>
          <w:sz w:val="24"/>
          <w:szCs w:val="24"/>
        </w:rPr>
      </w:pPr>
      <w:r>
        <w:rPr>
          <w:rFonts w:hint="eastAsia"/>
          <w:color w:val="auto"/>
          <w:sz w:val="24"/>
          <w:szCs w:val="24"/>
        </w:rPr>
        <w:t>2</w:t>
      </w:r>
      <w:r>
        <w:rPr>
          <w:rFonts w:hint="eastAsia"/>
          <w:color w:val="auto"/>
          <w:sz w:val="24"/>
          <w:szCs w:val="24"/>
          <w:lang w:val="en-US" w:eastAsia="zh-CN"/>
        </w:rPr>
        <w:t>.</w:t>
      </w:r>
      <w:r>
        <w:rPr>
          <w:rFonts w:hint="eastAsia"/>
          <w:color w:val="auto"/>
          <w:sz w:val="24"/>
          <w:szCs w:val="24"/>
        </w:rPr>
        <w:t>货物各项详细技术性能可另页描述；若货物没有注册商标和具体型号须注明。</w:t>
      </w:r>
    </w:p>
    <w:p w14:paraId="0625BF34">
      <w:pPr>
        <w:pageBreakBefore w:val="0"/>
        <w:topLinePunct w:val="0"/>
        <w:bidi w:val="0"/>
        <w:spacing w:line="500" w:lineRule="exact"/>
        <w:ind w:left="0" w:leftChars="0" w:right="0" w:rightChars="0" w:firstLine="480" w:firstLineChars="200"/>
        <w:jc w:val="both"/>
        <w:rPr>
          <w:rFonts w:hint="eastAsia"/>
          <w:color w:val="auto"/>
          <w:sz w:val="24"/>
          <w:szCs w:val="24"/>
          <w:lang w:val="en-US"/>
        </w:rPr>
      </w:pPr>
      <w:r>
        <w:rPr>
          <w:rFonts w:hint="eastAsia"/>
          <w:color w:val="auto"/>
          <w:sz w:val="24"/>
          <w:szCs w:val="24"/>
          <w:lang w:eastAsia="zh-CN"/>
        </w:rPr>
        <w:t>供应商（</w:t>
      </w:r>
      <w:r>
        <w:rPr>
          <w:rFonts w:hint="eastAsia"/>
          <w:color w:val="auto"/>
          <w:sz w:val="24"/>
          <w:szCs w:val="24"/>
          <w:lang w:val="en-US" w:eastAsia="zh-CN"/>
        </w:rPr>
        <w:t>公章</w:t>
      </w:r>
      <w:r>
        <w:rPr>
          <w:rFonts w:hint="eastAsia"/>
          <w:color w:val="auto"/>
          <w:sz w:val="24"/>
          <w:szCs w:val="24"/>
          <w:lang w:eastAsia="zh-CN"/>
        </w:rPr>
        <w:t>）：</w:t>
      </w:r>
    </w:p>
    <w:p w14:paraId="5C9E1D09">
      <w:pPr>
        <w:pageBreakBefore w:val="0"/>
        <w:topLinePunct w:val="0"/>
        <w:bidi w:val="0"/>
        <w:spacing w:line="500" w:lineRule="exact"/>
        <w:ind w:left="0" w:leftChars="0" w:right="0" w:rightChars="0" w:firstLine="480" w:firstLineChars="200"/>
        <w:jc w:val="both"/>
        <w:rPr>
          <w:rFonts w:hint="eastAsia"/>
          <w:color w:val="auto"/>
          <w:sz w:val="24"/>
          <w:szCs w:val="24"/>
          <w:lang w:val="zh-CN" w:eastAsia="zh-CN"/>
        </w:rPr>
      </w:pPr>
      <w:r>
        <w:rPr>
          <w:rFonts w:hint="eastAsia"/>
          <w:color w:val="auto"/>
          <w:sz w:val="24"/>
          <w:szCs w:val="24"/>
          <w:lang w:val="en-US" w:eastAsia="zh-CN"/>
        </w:rPr>
        <w:t>法定代表人或授权委托人（签字或盖章）：</w:t>
      </w:r>
    </w:p>
    <w:p w14:paraId="486E7190">
      <w:pPr>
        <w:pStyle w:val="12"/>
        <w:pageBreakBefore w:val="0"/>
        <w:tabs>
          <w:tab w:val="left" w:pos="3998"/>
          <w:tab w:val="left" w:pos="6318"/>
        </w:tabs>
        <w:topLinePunct w:val="0"/>
        <w:bidi w:val="0"/>
        <w:spacing w:line="500" w:lineRule="exact"/>
        <w:ind w:left="0" w:leftChars="0" w:right="0" w:rightChars="0" w:firstLine="480" w:firstLineChars="200"/>
        <w:rPr>
          <w:color w:val="auto"/>
        </w:rPr>
      </w:pPr>
      <w:r>
        <w:rPr>
          <w:rFonts w:hint="eastAsia"/>
          <w:color w:val="auto"/>
          <w:sz w:val="24"/>
          <w:szCs w:val="24"/>
          <w:lang w:val="en-US" w:eastAsia="zh-CN"/>
        </w:rPr>
        <w:t xml:space="preserve">日期：    </w:t>
      </w:r>
      <w:r>
        <w:rPr>
          <w:rFonts w:hint="eastAsia"/>
          <w:color w:val="auto"/>
          <w:sz w:val="24"/>
          <w:szCs w:val="24"/>
        </w:rPr>
        <w:t xml:space="preserve">年 </w:t>
      </w:r>
      <w:r>
        <w:rPr>
          <w:rFonts w:hint="eastAsia"/>
          <w:color w:val="auto"/>
          <w:sz w:val="24"/>
          <w:szCs w:val="24"/>
          <w:lang w:val="en-US" w:eastAsia="zh-CN"/>
        </w:rPr>
        <w:t xml:space="preserve">  </w:t>
      </w:r>
      <w:r>
        <w:rPr>
          <w:rFonts w:hint="eastAsia"/>
          <w:color w:val="auto"/>
          <w:sz w:val="24"/>
          <w:szCs w:val="24"/>
        </w:rPr>
        <w:t xml:space="preserve">月 </w:t>
      </w:r>
      <w:r>
        <w:rPr>
          <w:rFonts w:hint="eastAsia"/>
          <w:color w:val="auto"/>
          <w:sz w:val="24"/>
          <w:szCs w:val="24"/>
          <w:lang w:val="en-US" w:eastAsia="zh-CN"/>
        </w:rPr>
        <w:t xml:space="preserve">  </w:t>
      </w:r>
      <w:r>
        <w:rPr>
          <w:rFonts w:hint="eastAsia"/>
          <w:color w:val="auto"/>
          <w:sz w:val="24"/>
          <w:szCs w:val="24"/>
        </w:rPr>
        <w:t>日</w:t>
      </w:r>
    </w:p>
    <w:p w14:paraId="20EA335E">
      <w:pPr>
        <w:pageBreakBefore w:val="0"/>
        <w:topLinePunct w:val="0"/>
        <w:bidi w:val="0"/>
        <w:spacing w:line="500" w:lineRule="exact"/>
        <w:ind w:left="0" w:leftChars="0" w:right="0" w:rightChars="0" w:firstLine="440" w:firstLineChars="200"/>
        <w:jc w:val="both"/>
        <w:rPr>
          <w:color w:val="auto"/>
        </w:rPr>
        <w:sectPr>
          <w:headerReference r:id="rId13" w:type="default"/>
          <w:footerReference r:id="rId14" w:type="default"/>
          <w:pgSz w:w="16840" w:h="11910" w:orient="landscape"/>
          <w:pgMar w:top="780" w:right="880" w:bottom="1200" w:left="1300" w:header="0" w:footer="1005" w:gutter="0"/>
          <w:pgNumType w:fmt="decimal"/>
          <w:cols w:space="720" w:num="1"/>
        </w:sectPr>
      </w:pPr>
    </w:p>
    <w:p w14:paraId="1F49A2EC">
      <w:pPr>
        <w:pageBreakBefore w:val="0"/>
        <w:topLinePunct w:val="0"/>
        <w:bidi w:val="0"/>
        <w:spacing w:line="500" w:lineRule="exact"/>
        <w:ind w:left="0" w:leftChars="0" w:right="0" w:rightChars="0" w:firstLine="643" w:firstLineChars="200"/>
        <w:jc w:val="center"/>
        <w:rPr>
          <w:b/>
          <w:color w:val="auto"/>
          <w:sz w:val="32"/>
          <w:szCs w:val="32"/>
        </w:rPr>
      </w:pPr>
      <w:r>
        <w:rPr>
          <w:rFonts w:hint="eastAsia"/>
          <w:b/>
          <w:color w:val="auto"/>
          <w:sz w:val="32"/>
          <w:szCs w:val="32"/>
          <w:lang w:val="en-US" w:eastAsia="zh-CN"/>
        </w:rPr>
        <w:t>合同包一/二/三</w:t>
      </w:r>
      <w:r>
        <w:rPr>
          <w:rFonts w:hint="eastAsia"/>
          <w:b/>
          <w:color w:val="auto"/>
          <w:sz w:val="32"/>
          <w:szCs w:val="32"/>
        </w:rPr>
        <w:t>投标产品偏差表</w:t>
      </w:r>
    </w:p>
    <w:p w14:paraId="64E6B4AB">
      <w:pPr>
        <w:pStyle w:val="8"/>
        <w:pageBreakBefore w:val="0"/>
        <w:topLinePunct w:val="0"/>
        <w:bidi w:val="0"/>
        <w:spacing w:line="500" w:lineRule="exact"/>
        <w:ind w:left="0" w:leftChars="0" w:right="0" w:rightChars="0" w:firstLine="400" w:firstLineChars="200"/>
        <w:rPr>
          <w:rFonts w:hint="eastAsia"/>
          <w:color w:val="auto"/>
        </w:rPr>
      </w:pPr>
    </w:p>
    <w:p w14:paraId="33FA805F">
      <w:pPr>
        <w:numPr>
          <w:ilvl w:val="0"/>
          <w:numId w:val="0"/>
        </w:numPr>
        <w:spacing w:line="560" w:lineRule="exact"/>
        <w:jc w:val="both"/>
        <w:rPr>
          <w:rFonts w:hint="eastAsia" w:ascii="宋体" w:hAnsi="宋体" w:cs="宋体"/>
          <w:b/>
          <w:bCs/>
          <w:color w:val="000000"/>
          <w:sz w:val="36"/>
          <w:szCs w:val="36"/>
          <w:highlight w:val="none"/>
        </w:rPr>
      </w:pPr>
      <w:r>
        <w:rPr>
          <w:rFonts w:hint="eastAsia" w:ascii="宋体" w:hAnsi="宋体"/>
          <w:szCs w:val="21"/>
          <w:highlight w:val="none"/>
          <w:lang w:eastAsia="zh-CN"/>
        </w:rPr>
        <w:t>投标人名称：</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                         项目编号：</w:t>
      </w:r>
      <w:r>
        <w:rPr>
          <w:rFonts w:hint="eastAsia" w:ascii="宋体" w:hAnsi="宋体"/>
          <w:szCs w:val="21"/>
          <w:highlight w:val="none"/>
          <w:u w:val="single"/>
          <w:lang w:val="en-US" w:eastAsia="zh-CN"/>
        </w:rPr>
        <w:t xml:space="preserve">              </w:t>
      </w:r>
    </w:p>
    <w:tbl>
      <w:tblPr>
        <w:tblStyle w:val="24"/>
        <w:tblW w:w="9210" w:type="dxa"/>
        <w:tblInd w:w="131"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0"/>
        <w:gridCol w:w="2910"/>
        <w:gridCol w:w="2625"/>
        <w:gridCol w:w="1590"/>
        <w:gridCol w:w="1245"/>
      </w:tblGrid>
      <w:tr w14:paraId="2D8DB3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840" w:type="dxa"/>
            <w:tcBorders>
              <w:tl2br w:val="nil"/>
              <w:tr2bl w:val="nil"/>
            </w:tcBorders>
            <w:vAlign w:val="center"/>
          </w:tcPr>
          <w:p w14:paraId="7BB38134">
            <w:pPr>
              <w:spacing w:line="320" w:lineRule="exact"/>
              <w:ind w:left="-101" w:leftChars="-46"/>
              <w:jc w:val="center"/>
              <w:rPr>
                <w:rFonts w:hint="eastAsia" w:ascii="宋体" w:hAnsi="宋体"/>
                <w:b/>
                <w:bCs/>
                <w:position w:val="4"/>
                <w:sz w:val="21"/>
                <w:szCs w:val="21"/>
                <w:highlight w:val="none"/>
                <w:vertAlign w:val="baseline"/>
              </w:rPr>
            </w:pPr>
            <w:r>
              <w:rPr>
                <w:rFonts w:hint="eastAsia" w:ascii="新宋体" w:hAnsi="新宋体" w:cs="新宋体"/>
                <w:b/>
                <w:color w:val="auto"/>
                <w:sz w:val="21"/>
                <w:szCs w:val="21"/>
                <w:highlight w:val="none"/>
              </w:rPr>
              <w:t>序号</w:t>
            </w:r>
          </w:p>
        </w:tc>
        <w:tc>
          <w:tcPr>
            <w:tcW w:w="2910" w:type="dxa"/>
            <w:tcBorders>
              <w:tl2br w:val="nil"/>
              <w:tr2bl w:val="nil"/>
            </w:tcBorders>
            <w:vAlign w:val="center"/>
          </w:tcPr>
          <w:p w14:paraId="023C4771">
            <w:pPr>
              <w:spacing w:line="320" w:lineRule="exact"/>
              <w:jc w:val="center"/>
              <w:rPr>
                <w:rFonts w:hint="eastAsia" w:ascii="宋体" w:hAnsi="宋体"/>
                <w:b/>
                <w:bCs/>
                <w:position w:val="4"/>
                <w:sz w:val="21"/>
                <w:szCs w:val="21"/>
                <w:highlight w:val="none"/>
                <w:vertAlign w:val="baseline"/>
              </w:rPr>
            </w:pPr>
            <w:r>
              <w:rPr>
                <w:rFonts w:hint="eastAsia" w:ascii="新宋体" w:hAnsi="新宋体" w:cs="新宋体"/>
                <w:b/>
                <w:color w:val="auto"/>
                <w:sz w:val="21"/>
                <w:szCs w:val="21"/>
                <w:highlight w:val="none"/>
              </w:rPr>
              <w:t>招标文件技术</w:t>
            </w:r>
            <w:r>
              <w:rPr>
                <w:rFonts w:hint="eastAsia" w:ascii="新宋体" w:hAnsi="新宋体" w:cs="新宋体"/>
                <w:b/>
                <w:color w:val="auto"/>
                <w:sz w:val="21"/>
                <w:szCs w:val="21"/>
                <w:highlight w:val="none"/>
                <w:lang w:val="en-US" w:eastAsia="zh-CN"/>
              </w:rPr>
              <w:t>参数</w:t>
            </w:r>
            <w:r>
              <w:rPr>
                <w:rFonts w:hint="eastAsia" w:ascii="新宋体" w:hAnsi="新宋体" w:cs="新宋体"/>
                <w:b/>
                <w:color w:val="auto"/>
                <w:sz w:val="21"/>
                <w:szCs w:val="21"/>
                <w:highlight w:val="none"/>
              </w:rPr>
              <w:t>要求</w:t>
            </w:r>
          </w:p>
        </w:tc>
        <w:tc>
          <w:tcPr>
            <w:tcW w:w="2625" w:type="dxa"/>
            <w:tcBorders>
              <w:tl2br w:val="nil"/>
              <w:tr2bl w:val="nil"/>
            </w:tcBorders>
            <w:vAlign w:val="center"/>
          </w:tcPr>
          <w:p w14:paraId="266A3CDA">
            <w:pPr>
              <w:spacing w:line="320" w:lineRule="exact"/>
              <w:jc w:val="center"/>
              <w:rPr>
                <w:rFonts w:hint="eastAsia" w:ascii="宋体" w:hAnsi="宋体"/>
                <w:b/>
                <w:bCs/>
                <w:position w:val="4"/>
                <w:sz w:val="21"/>
                <w:szCs w:val="21"/>
                <w:highlight w:val="none"/>
                <w:vertAlign w:val="baseline"/>
              </w:rPr>
            </w:pPr>
            <w:r>
              <w:rPr>
                <w:rFonts w:hint="eastAsia" w:ascii="新宋体" w:hAnsi="新宋体" w:cs="新宋体"/>
                <w:b/>
                <w:color w:val="auto"/>
                <w:sz w:val="21"/>
                <w:szCs w:val="21"/>
                <w:highlight w:val="none"/>
              </w:rPr>
              <w:t>投标文件技术</w:t>
            </w:r>
            <w:r>
              <w:rPr>
                <w:rFonts w:hint="eastAsia" w:ascii="新宋体" w:hAnsi="新宋体" w:cs="新宋体"/>
                <w:b/>
                <w:color w:val="auto"/>
                <w:sz w:val="21"/>
                <w:szCs w:val="21"/>
                <w:highlight w:val="none"/>
                <w:lang w:val="en-US" w:eastAsia="zh-CN"/>
              </w:rPr>
              <w:t>参数</w:t>
            </w:r>
            <w:r>
              <w:rPr>
                <w:rFonts w:hint="eastAsia" w:ascii="新宋体" w:hAnsi="新宋体" w:cs="新宋体"/>
                <w:b/>
                <w:color w:val="auto"/>
                <w:sz w:val="21"/>
                <w:szCs w:val="21"/>
                <w:highlight w:val="none"/>
              </w:rPr>
              <w:t>响应</w:t>
            </w:r>
          </w:p>
        </w:tc>
        <w:tc>
          <w:tcPr>
            <w:tcW w:w="1590" w:type="dxa"/>
            <w:tcBorders>
              <w:tl2br w:val="nil"/>
              <w:tr2bl w:val="nil"/>
            </w:tcBorders>
            <w:vAlign w:val="center"/>
          </w:tcPr>
          <w:p w14:paraId="5095C284">
            <w:pPr>
              <w:spacing w:line="320" w:lineRule="exact"/>
              <w:jc w:val="center"/>
              <w:rPr>
                <w:rFonts w:hint="eastAsia" w:ascii="宋体" w:hAnsi="宋体"/>
                <w:b/>
                <w:bCs/>
                <w:position w:val="4"/>
                <w:sz w:val="21"/>
                <w:szCs w:val="21"/>
                <w:highlight w:val="none"/>
                <w:vertAlign w:val="baseline"/>
              </w:rPr>
            </w:pPr>
            <w:r>
              <w:rPr>
                <w:rFonts w:hint="eastAsia" w:ascii="新宋体" w:hAnsi="新宋体" w:cs="新宋体"/>
                <w:b/>
                <w:color w:val="auto"/>
                <w:sz w:val="21"/>
                <w:szCs w:val="21"/>
                <w:highlight w:val="none"/>
              </w:rPr>
              <w:t>偏离情况</w:t>
            </w:r>
          </w:p>
        </w:tc>
        <w:tc>
          <w:tcPr>
            <w:tcW w:w="1245" w:type="dxa"/>
            <w:tcBorders>
              <w:tl2br w:val="nil"/>
              <w:tr2bl w:val="nil"/>
            </w:tcBorders>
            <w:vAlign w:val="center"/>
          </w:tcPr>
          <w:p w14:paraId="57DE5EF8">
            <w:pPr>
              <w:spacing w:line="320" w:lineRule="exact"/>
              <w:jc w:val="center"/>
              <w:rPr>
                <w:rFonts w:hint="eastAsia" w:ascii="宋体" w:hAnsi="宋体"/>
                <w:b/>
                <w:bCs/>
                <w:position w:val="4"/>
                <w:sz w:val="21"/>
                <w:szCs w:val="21"/>
                <w:highlight w:val="none"/>
                <w:vertAlign w:val="baseline"/>
              </w:rPr>
            </w:pPr>
            <w:r>
              <w:rPr>
                <w:rFonts w:hint="eastAsia" w:ascii="新宋体" w:hAnsi="新宋体" w:cs="新宋体"/>
                <w:b/>
                <w:color w:val="auto"/>
                <w:sz w:val="21"/>
                <w:szCs w:val="21"/>
                <w:highlight w:val="none"/>
              </w:rPr>
              <w:t>说明</w:t>
            </w:r>
          </w:p>
        </w:tc>
      </w:tr>
      <w:tr w14:paraId="68C26F5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tcPr>
          <w:p w14:paraId="174A38FC">
            <w:pPr>
              <w:spacing w:line="560" w:lineRule="exact"/>
              <w:jc w:val="both"/>
              <w:rPr>
                <w:rFonts w:hint="eastAsia" w:ascii="宋体" w:hAnsi="宋体"/>
                <w:b/>
                <w:bCs/>
                <w:position w:val="4"/>
                <w:sz w:val="32"/>
                <w:szCs w:val="32"/>
                <w:highlight w:val="none"/>
                <w:vertAlign w:val="baseline"/>
              </w:rPr>
            </w:pPr>
          </w:p>
        </w:tc>
        <w:tc>
          <w:tcPr>
            <w:tcW w:w="2910" w:type="dxa"/>
            <w:tcBorders>
              <w:tl2br w:val="nil"/>
              <w:tr2bl w:val="nil"/>
            </w:tcBorders>
          </w:tcPr>
          <w:p w14:paraId="264F7ED2">
            <w:pPr>
              <w:spacing w:line="560" w:lineRule="exact"/>
              <w:jc w:val="both"/>
              <w:rPr>
                <w:rFonts w:hint="eastAsia" w:ascii="宋体" w:hAnsi="宋体"/>
                <w:b/>
                <w:bCs/>
                <w:position w:val="4"/>
                <w:sz w:val="32"/>
                <w:szCs w:val="32"/>
                <w:highlight w:val="none"/>
                <w:vertAlign w:val="baseline"/>
              </w:rPr>
            </w:pPr>
          </w:p>
        </w:tc>
        <w:tc>
          <w:tcPr>
            <w:tcW w:w="2625" w:type="dxa"/>
            <w:tcBorders>
              <w:tl2br w:val="nil"/>
              <w:tr2bl w:val="nil"/>
            </w:tcBorders>
          </w:tcPr>
          <w:p w14:paraId="14BB135A">
            <w:pPr>
              <w:spacing w:line="560" w:lineRule="exact"/>
              <w:jc w:val="both"/>
              <w:rPr>
                <w:rFonts w:hint="eastAsia" w:ascii="宋体" w:hAnsi="宋体"/>
                <w:b/>
                <w:bCs/>
                <w:position w:val="4"/>
                <w:sz w:val="32"/>
                <w:szCs w:val="32"/>
                <w:highlight w:val="none"/>
                <w:vertAlign w:val="baseline"/>
              </w:rPr>
            </w:pPr>
          </w:p>
        </w:tc>
        <w:tc>
          <w:tcPr>
            <w:tcW w:w="1590" w:type="dxa"/>
            <w:tcBorders>
              <w:tl2br w:val="nil"/>
              <w:tr2bl w:val="nil"/>
            </w:tcBorders>
          </w:tcPr>
          <w:p w14:paraId="18C770D9">
            <w:pPr>
              <w:spacing w:line="560" w:lineRule="exact"/>
              <w:jc w:val="both"/>
              <w:rPr>
                <w:rFonts w:hint="eastAsia" w:ascii="宋体" w:hAnsi="宋体"/>
                <w:b/>
                <w:bCs/>
                <w:position w:val="4"/>
                <w:sz w:val="32"/>
                <w:szCs w:val="32"/>
                <w:highlight w:val="none"/>
                <w:vertAlign w:val="baseline"/>
              </w:rPr>
            </w:pPr>
          </w:p>
        </w:tc>
        <w:tc>
          <w:tcPr>
            <w:tcW w:w="1245" w:type="dxa"/>
            <w:tcBorders>
              <w:tl2br w:val="nil"/>
              <w:tr2bl w:val="nil"/>
            </w:tcBorders>
          </w:tcPr>
          <w:p w14:paraId="152E539C">
            <w:pPr>
              <w:spacing w:line="560" w:lineRule="exact"/>
              <w:jc w:val="both"/>
              <w:rPr>
                <w:rFonts w:hint="eastAsia" w:ascii="宋体" w:hAnsi="宋体"/>
                <w:b/>
                <w:bCs/>
                <w:position w:val="4"/>
                <w:sz w:val="32"/>
                <w:szCs w:val="32"/>
                <w:highlight w:val="none"/>
                <w:vertAlign w:val="baseline"/>
              </w:rPr>
            </w:pPr>
          </w:p>
        </w:tc>
      </w:tr>
      <w:tr w14:paraId="582E19F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tcPr>
          <w:p w14:paraId="6DFD7005">
            <w:pPr>
              <w:spacing w:line="560" w:lineRule="exact"/>
              <w:jc w:val="both"/>
              <w:rPr>
                <w:rFonts w:hint="eastAsia" w:ascii="宋体" w:hAnsi="宋体"/>
                <w:b/>
                <w:bCs/>
                <w:position w:val="4"/>
                <w:sz w:val="32"/>
                <w:szCs w:val="32"/>
                <w:highlight w:val="none"/>
                <w:vertAlign w:val="baseline"/>
              </w:rPr>
            </w:pPr>
          </w:p>
        </w:tc>
        <w:tc>
          <w:tcPr>
            <w:tcW w:w="2910" w:type="dxa"/>
            <w:tcBorders>
              <w:tl2br w:val="nil"/>
              <w:tr2bl w:val="nil"/>
            </w:tcBorders>
          </w:tcPr>
          <w:p w14:paraId="18187736">
            <w:pPr>
              <w:spacing w:line="560" w:lineRule="exact"/>
              <w:jc w:val="both"/>
              <w:rPr>
                <w:rFonts w:hint="eastAsia" w:ascii="宋体" w:hAnsi="宋体"/>
                <w:b/>
                <w:bCs/>
                <w:position w:val="4"/>
                <w:sz w:val="32"/>
                <w:szCs w:val="32"/>
                <w:highlight w:val="none"/>
                <w:vertAlign w:val="baseline"/>
              </w:rPr>
            </w:pPr>
          </w:p>
        </w:tc>
        <w:tc>
          <w:tcPr>
            <w:tcW w:w="2625" w:type="dxa"/>
            <w:tcBorders>
              <w:tl2br w:val="nil"/>
              <w:tr2bl w:val="nil"/>
            </w:tcBorders>
          </w:tcPr>
          <w:p w14:paraId="09E62B00">
            <w:pPr>
              <w:spacing w:line="560" w:lineRule="exact"/>
              <w:jc w:val="both"/>
              <w:rPr>
                <w:rFonts w:hint="eastAsia" w:ascii="宋体" w:hAnsi="宋体"/>
                <w:b/>
                <w:bCs/>
                <w:position w:val="4"/>
                <w:sz w:val="32"/>
                <w:szCs w:val="32"/>
                <w:highlight w:val="none"/>
                <w:vertAlign w:val="baseline"/>
              </w:rPr>
            </w:pPr>
          </w:p>
        </w:tc>
        <w:tc>
          <w:tcPr>
            <w:tcW w:w="1590" w:type="dxa"/>
            <w:tcBorders>
              <w:tl2br w:val="nil"/>
              <w:tr2bl w:val="nil"/>
            </w:tcBorders>
          </w:tcPr>
          <w:p w14:paraId="601F906C">
            <w:pPr>
              <w:spacing w:line="560" w:lineRule="exact"/>
              <w:jc w:val="both"/>
              <w:rPr>
                <w:rFonts w:hint="eastAsia" w:ascii="宋体" w:hAnsi="宋体"/>
                <w:b/>
                <w:bCs/>
                <w:position w:val="4"/>
                <w:sz w:val="32"/>
                <w:szCs w:val="32"/>
                <w:highlight w:val="none"/>
                <w:vertAlign w:val="baseline"/>
              </w:rPr>
            </w:pPr>
          </w:p>
        </w:tc>
        <w:tc>
          <w:tcPr>
            <w:tcW w:w="1245" w:type="dxa"/>
            <w:tcBorders>
              <w:tl2br w:val="nil"/>
              <w:tr2bl w:val="nil"/>
            </w:tcBorders>
          </w:tcPr>
          <w:p w14:paraId="777BD488">
            <w:pPr>
              <w:spacing w:line="560" w:lineRule="exact"/>
              <w:jc w:val="both"/>
              <w:rPr>
                <w:rFonts w:hint="eastAsia" w:ascii="宋体" w:hAnsi="宋体"/>
                <w:b/>
                <w:bCs/>
                <w:position w:val="4"/>
                <w:sz w:val="32"/>
                <w:szCs w:val="32"/>
                <w:highlight w:val="none"/>
                <w:vertAlign w:val="baseline"/>
              </w:rPr>
            </w:pPr>
          </w:p>
        </w:tc>
      </w:tr>
      <w:tr w14:paraId="2C971B2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tcPr>
          <w:p w14:paraId="1B69A1A2">
            <w:pPr>
              <w:spacing w:line="560" w:lineRule="exact"/>
              <w:jc w:val="both"/>
              <w:rPr>
                <w:rFonts w:hint="eastAsia" w:ascii="宋体" w:hAnsi="宋体"/>
                <w:b/>
                <w:bCs/>
                <w:position w:val="4"/>
                <w:sz w:val="32"/>
                <w:szCs w:val="32"/>
                <w:highlight w:val="none"/>
                <w:vertAlign w:val="baseline"/>
              </w:rPr>
            </w:pPr>
          </w:p>
        </w:tc>
        <w:tc>
          <w:tcPr>
            <w:tcW w:w="2910" w:type="dxa"/>
            <w:tcBorders>
              <w:tl2br w:val="nil"/>
              <w:tr2bl w:val="nil"/>
            </w:tcBorders>
          </w:tcPr>
          <w:p w14:paraId="6882E274">
            <w:pPr>
              <w:spacing w:line="560" w:lineRule="exact"/>
              <w:jc w:val="both"/>
              <w:rPr>
                <w:rFonts w:hint="eastAsia" w:ascii="宋体" w:hAnsi="宋体"/>
                <w:b/>
                <w:bCs/>
                <w:position w:val="4"/>
                <w:sz w:val="32"/>
                <w:szCs w:val="32"/>
                <w:highlight w:val="none"/>
                <w:vertAlign w:val="baseline"/>
              </w:rPr>
            </w:pPr>
          </w:p>
        </w:tc>
        <w:tc>
          <w:tcPr>
            <w:tcW w:w="2625" w:type="dxa"/>
            <w:tcBorders>
              <w:tl2br w:val="nil"/>
              <w:tr2bl w:val="nil"/>
            </w:tcBorders>
          </w:tcPr>
          <w:p w14:paraId="6978DB1F">
            <w:pPr>
              <w:spacing w:line="560" w:lineRule="exact"/>
              <w:jc w:val="both"/>
              <w:rPr>
                <w:rFonts w:hint="eastAsia" w:ascii="宋体" w:hAnsi="宋体"/>
                <w:b/>
                <w:bCs/>
                <w:position w:val="4"/>
                <w:sz w:val="32"/>
                <w:szCs w:val="32"/>
                <w:highlight w:val="none"/>
                <w:vertAlign w:val="baseline"/>
              </w:rPr>
            </w:pPr>
          </w:p>
        </w:tc>
        <w:tc>
          <w:tcPr>
            <w:tcW w:w="1590" w:type="dxa"/>
            <w:tcBorders>
              <w:tl2br w:val="nil"/>
              <w:tr2bl w:val="nil"/>
            </w:tcBorders>
          </w:tcPr>
          <w:p w14:paraId="2D234764">
            <w:pPr>
              <w:spacing w:line="560" w:lineRule="exact"/>
              <w:jc w:val="both"/>
              <w:rPr>
                <w:rFonts w:hint="eastAsia" w:ascii="宋体" w:hAnsi="宋体"/>
                <w:b/>
                <w:bCs/>
                <w:position w:val="4"/>
                <w:sz w:val="32"/>
                <w:szCs w:val="32"/>
                <w:highlight w:val="none"/>
                <w:vertAlign w:val="baseline"/>
              </w:rPr>
            </w:pPr>
          </w:p>
        </w:tc>
        <w:tc>
          <w:tcPr>
            <w:tcW w:w="1245" w:type="dxa"/>
            <w:tcBorders>
              <w:tl2br w:val="nil"/>
              <w:tr2bl w:val="nil"/>
            </w:tcBorders>
          </w:tcPr>
          <w:p w14:paraId="3DA43D42">
            <w:pPr>
              <w:spacing w:line="560" w:lineRule="exact"/>
              <w:jc w:val="both"/>
              <w:rPr>
                <w:rFonts w:hint="eastAsia" w:ascii="宋体" w:hAnsi="宋体"/>
                <w:b/>
                <w:bCs/>
                <w:position w:val="4"/>
                <w:sz w:val="32"/>
                <w:szCs w:val="32"/>
                <w:highlight w:val="none"/>
                <w:vertAlign w:val="baseline"/>
              </w:rPr>
            </w:pPr>
          </w:p>
        </w:tc>
      </w:tr>
      <w:tr w14:paraId="72B37C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tcPr>
          <w:p w14:paraId="7CD1578C">
            <w:pPr>
              <w:spacing w:line="560" w:lineRule="exact"/>
              <w:jc w:val="both"/>
              <w:rPr>
                <w:rFonts w:hint="eastAsia" w:ascii="宋体" w:hAnsi="宋体"/>
                <w:b/>
                <w:bCs/>
                <w:position w:val="4"/>
                <w:sz w:val="32"/>
                <w:szCs w:val="32"/>
                <w:highlight w:val="none"/>
                <w:vertAlign w:val="baseline"/>
              </w:rPr>
            </w:pPr>
          </w:p>
        </w:tc>
        <w:tc>
          <w:tcPr>
            <w:tcW w:w="2910" w:type="dxa"/>
            <w:tcBorders>
              <w:tl2br w:val="nil"/>
              <w:tr2bl w:val="nil"/>
            </w:tcBorders>
          </w:tcPr>
          <w:p w14:paraId="1C53C3D0">
            <w:pPr>
              <w:spacing w:line="560" w:lineRule="exact"/>
              <w:jc w:val="both"/>
              <w:rPr>
                <w:rFonts w:hint="eastAsia" w:ascii="宋体" w:hAnsi="宋体"/>
                <w:b/>
                <w:bCs/>
                <w:position w:val="4"/>
                <w:sz w:val="32"/>
                <w:szCs w:val="32"/>
                <w:highlight w:val="none"/>
                <w:vertAlign w:val="baseline"/>
              </w:rPr>
            </w:pPr>
          </w:p>
        </w:tc>
        <w:tc>
          <w:tcPr>
            <w:tcW w:w="2625" w:type="dxa"/>
            <w:tcBorders>
              <w:tl2br w:val="nil"/>
              <w:tr2bl w:val="nil"/>
            </w:tcBorders>
          </w:tcPr>
          <w:p w14:paraId="092240FC">
            <w:pPr>
              <w:spacing w:line="560" w:lineRule="exact"/>
              <w:jc w:val="both"/>
              <w:rPr>
                <w:rFonts w:hint="eastAsia" w:ascii="宋体" w:hAnsi="宋体"/>
                <w:b/>
                <w:bCs/>
                <w:position w:val="4"/>
                <w:sz w:val="32"/>
                <w:szCs w:val="32"/>
                <w:highlight w:val="none"/>
                <w:vertAlign w:val="baseline"/>
              </w:rPr>
            </w:pPr>
          </w:p>
        </w:tc>
        <w:tc>
          <w:tcPr>
            <w:tcW w:w="1590" w:type="dxa"/>
            <w:tcBorders>
              <w:tl2br w:val="nil"/>
              <w:tr2bl w:val="nil"/>
            </w:tcBorders>
          </w:tcPr>
          <w:p w14:paraId="2BEE474E">
            <w:pPr>
              <w:spacing w:line="560" w:lineRule="exact"/>
              <w:jc w:val="both"/>
              <w:rPr>
                <w:rFonts w:hint="eastAsia" w:ascii="宋体" w:hAnsi="宋体"/>
                <w:b/>
                <w:bCs/>
                <w:position w:val="4"/>
                <w:sz w:val="32"/>
                <w:szCs w:val="32"/>
                <w:highlight w:val="none"/>
                <w:vertAlign w:val="baseline"/>
              </w:rPr>
            </w:pPr>
          </w:p>
        </w:tc>
        <w:tc>
          <w:tcPr>
            <w:tcW w:w="1245" w:type="dxa"/>
            <w:tcBorders>
              <w:tl2br w:val="nil"/>
              <w:tr2bl w:val="nil"/>
            </w:tcBorders>
          </w:tcPr>
          <w:p w14:paraId="7A4C696B">
            <w:pPr>
              <w:spacing w:line="560" w:lineRule="exact"/>
              <w:jc w:val="both"/>
              <w:rPr>
                <w:rFonts w:hint="eastAsia" w:ascii="宋体" w:hAnsi="宋体"/>
                <w:b/>
                <w:bCs/>
                <w:position w:val="4"/>
                <w:sz w:val="32"/>
                <w:szCs w:val="32"/>
                <w:highlight w:val="none"/>
                <w:vertAlign w:val="baseline"/>
              </w:rPr>
            </w:pPr>
          </w:p>
        </w:tc>
      </w:tr>
      <w:tr w14:paraId="3EE0D37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tcPr>
          <w:p w14:paraId="2C051A5A">
            <w:pPr>
              <w:spacing w:line="560" w:lineRule="exact"/>
              <w:jc w:val="both"/>
              <w:rPr>
                <w:rFonts w:hint="eastAsia" w:ascii="宋体" w:hAnsi="宋体"/>
                <w:b/>
                <w:bCs/>
                <w:position w:val="4"/>
                <w:sz w:val="32"/>
                <w:szCs w:val="32"/>
                <w:highlight w:val="none"/>
                <w:vertAlign w:val="baseline"/>
              </w:rPr>
            </w:pPr>
          </w:p>
        </w:tc>
        <w:tc>
          <w:tcPr>
            <w:tcW w:w="2910" w:type="dxa"/>
            <w:tcBorders>
              <w:tl2br w:val="nil"/>
              <w:tr2bl w:val="nil"/>
            </w:tcBorders>
          </w:tcPr>
          <w:p w14:paraId="625400B8">
            <w:pPr>
              <w:spacing w:line="560" w:lineRule="exact"/>
              <w:jc w:val="both"/>
              <w:rPr>
                <w:rFonts w:hint="eastAsia" w:ascii="宋体" w:hAnsi="宋体"/>
                <w:b/>
                <w:bCs/>
                <w:position w:val="4"/>
                <w:sz w:val="32"/>
                <w:szCs w:val="32"/>
                <w:highlight w:val="none"/>
                <w:vertAlign w:val="baseline"/>
              </w:rPr>
            </w:pPr>
          </w:p>
        </w:tc>
        <w:tc>
          <w:tcPr>
            <w:tcW w:w="2625" w:type="dxa"/>
            <w:tcBorders>
              <w:tl2br w:val="nil"/>
              <w:tr2bl w:val="nil"/>
            </w:tcBorders>
          </w:tcPr>
          <w:p w14:paraId="29B20B44">
            <w:pPr>
              <w:spacing w:line="560" w:lineRule="exact"/>
              <w:jc w:val="both"/>
              <w:rPr>
                <w:rFonts w:hint="eastAsia" w:ascii="宋体" w:hAnsi="宋体"/>
                <w:b/>
                <w:bCs/>
                <w:position w:val="4"/>
                <w:sz w:val="32"/>
                <w:szCs w:val="32"/>
                <w:highlight w:val="none"/>
                <w:vertAlign w:val="baseline"/>
              </w:rPr>
            </w:pPr>
          </w:p>
        </w:tc>
        <w:tc>
          <w:tcPr>
            <w:tcW w:w="1590" w:type="dxa"/>
            <w:tcBorders>
              <w:tl2br w:val="nil"/>
              <w:tr2bl w:val="nil"/>
            </w:tcBorders>
          </w:tcPr>
          <w:p w14:paraId="150CCBCD">
            <w:pPr>
              <w:spacing w:line="560" w:lineRule="exact"/>
              <w:jc w:val="both"/>
              <w:rPr>
                <w:rFonts w:hint="eastAsia" w:ascii="宋体" w:hAnsi="宋体"/>
                <w:b/>
                <w:bCs/>
                <w:position w:val="4"/>
                <w:sz w:val="32"/>
                <w:szCs w:val="32"/>
                <w:highlight w:val="none"/>
                <w:vertAlign w:val="baseline"/>
              </w:rPr>
            </w:pPr>
          </w:p>
        </w:tc>
        <w:tc>
          <w:tcPr>
            <w:tcW w:w="1245" w:type="dxa"/>
            <w:tcBorders>
              <w:tl2br w:val="nil"/>
              <w:tr2bl w:val="nil"/>
            </w:tcBorders>
          </w:tcPr>
          <w:p w14:paraId="2A201635">
            <w:pPr>
              <w:spacing w:line="560" w:lineRule="exact"/>
              <w:jc w:val="both"/>
              <w:rPr>
                <w:rFonts w:hint="eastAsia" w:ascii="宋体" w:hAnsi="宋体"/>
                <w:b/>
                <w:bCs/>
                <w:position w:val="4"/>
                <w:sz w:val="32"/>
                <w:szCs w:val="32"/>
                <w:highlight w:val="none"/>
                <w:vertAlign w:val="baseline"/>
              </w:rPr>
            </w:pPr>
          </w:p>
        </w:tc>
      </w:tr>
      <w:tr w14:paraId="3059A12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tcPr>
          <w:p w14:paraId="1BD19FC5">
            <w:pPr>
              <w:spacing w:line="560" w:lineRule="exact"/>
              <w:jc w:val="both"/>
              <w:rPr>
                <w:rFonts w:hint="eastAsia" w:ascii="宋体" w:hAnsi="宋体"/>
                <w:b/>
                <w:bCs/>
                <w:position w:val="4"/>
                <w:sz w:val="32"/>
                <w:szCs w:val="32"/>
                <w:highlight w:val="none"/>
                <w:vertAlign w:val="baseline"/>
              </w:rPr>
            </w:pPr>
          </w:p>
        </w:tc>
        <w:tc>
          <w:tcPr>
            <w:tcW w:w="2910" w:type="dxa"/>
            <w:tcBorders>
              <w:tl2br w:val="nil"/>
              <w:tr2bl w:val="nil"/>
            </w:tcBorders>
          </w:tcPr>
          <w:p w14:paraId="3456109A">
            <w:pPr>
              <w:spacing w:line="560" w:lineRule="exact"/>
              <w:jc w:val="both"/>
              <w:rPr>
                <w:rFonts w:hint="eastAsia" w:ascii="宋体" w:hAnsi="宋体"/>
                <w:b/>
                <w:bCs/>
                <w:position w:val="4"/>
                <w:sz w:val="32"/>
                <w:szCs w:val="32"/>
                <w:highlight w:val="none"/>
                <w:vertAlign w:val="baseline"/>
              </w:rPr>
            </w:pPr>
          </w:p>
        </w:tc>
        <w:tc>
          <w:tcPr>
            <w:tcW w:w="2625" w:type="dxa"/>
            <w:tcBorders>
              <w:tl2br w:val="nil"/>
              <w:tr2bl w:val="nil"/>
            </w:tcBorders>
          </w:tcPr>
          <w:p w14:paraId="78CE262E">
            <w:pPr>
              <w:spacing w:line="560" w:lineRule="exact"/>
              <w:jc w:val="both"/>
              <w:rPr>
                <w:rFonts w:hint="eastAsia" w:ascii="宋体" w:hAnsi="宋体"/>
                <w:b/>
                <w:bCs/>
                <w:position w:val="4"/>
                <w:sz w:val="32"/>
                <w:szCs w:val="32"/>
                <w:highlight w:val="none"/>
                <w:vertAlign w:val="baseline"/>
              </w:rPr>
            </w:pPr>
          </w:p>
        </w:tc>
        <w:tc>
          <w:tcPr>
            <w:tcW w:w="1590" w:type="dxa"/>
            <w:tcBorders>
              <w:tl2br w:val="nil"/>
              <w:tr2bl w:val="nil"/>
            </w:tcBorders>
          </w:tcPr>
          <w:p w14:paraId="2F858CB1">
            <w:pPr>
              <w:spacing w:line="560" w:lineRule="exact"/>
              <w:jc w:val="both"/>
              <w:rPr>
                <w:rFonts w:hint="eastAsia" w:ascii="宋体" w:hAnsi="宋体"/>
                <w:b/>
                <w:bCs/>
                <w:position w:val="4"/>
                <w:sz w:val="32"/>
                <w:szCs w:val="32"/>
                <w:highlight w:val="none"/>
                <w:vertAlign w:val="baseline"/>
              </w:rPr>
            </w:pPr>
          </w:p>
        </w:tc>
        <w:tc>
          <w:tcPr>
            <w:tcW w:w="1245" w:type="dxa"/>
            <w:tcBorders>
              <w:tl2br w:val="nil"/>
              <w:tr2bl w:val="nil"/>
            </w:tcBorders>
          </w:tcPr>
          <w:p w14:paraId="6B4AB058">
            <w:pPr>
              <w:spacing w:line="560" w:lineRule="exact"/>
              <w:jc w:val="both"/>
              <w:rPr>
                <w:rFonts w:hint="eastAsia" w:ascii="宋体" w:hAnsi="宋体"/>
                <w:b/>
                <w:bCs/>
                <w:position w:val="4"/>
                <w:sz w:val="32"/>
                <w:szCs w:val="32"/>
                <w:highlight w:val="none"/>
                <w:vertAlign w:val="baseline"/>
              </w:rPr>
            </w:pPr>
          </w:p>
        </w:tc>
      </w:tr>
    </w:tbl>
    <w:p w14:paraId="0BE4CEC4">
      <w:pPr>
        <w:pageBreakBefore w:val="0"/>
        <w:topLinePunct w:val="0"/>
        <w:bidi w:val="0"/>
        <w:spacing w:line="500" w:lineRule="exact"/>
        <w:ind w:left="0" w:leftChars="0" w:right="0" w:rightChars="0" w:firstLine="480" w:firstLineChars="200"/>
        <w:rPr>
          <w:color w:val="auto"/>
          <w:sz w:val="24"/>
          <w:szCs w:val="24"/>
        </w:rPr>
      </w:pPr>
      <w:r>
        <w:rPr>
          <w:rFonts w:hint="eastAsia"/>
          <w:color w:val="auto"/>
          <w:sz w:val="24"/>
          <w:szCs w:val="24"/>
          <w:lang w:val="en-US"/>
        </w:rPr>
        <w:t xml:space="preserve">         </w:t>
      </w:r>
    </w:p>
    <w:p w14:paraId="1D706E34">
      <w:pPr>
        <w:pageBreakBefore w:val="0"/>
        <w:topLinePunct w:val="0"/>
        <w:bidi w:val="0"/>
        <w:spacing w:line="500" w:lineRule="exact"/>
        <w:ind w:left="0" w:leftChars="0" w:right="0" w:rightChars="0" w:firstLine="480" w:firstLineChars="200"/>
        <w:rPr>
          <w:rFonts w:hint="eastAsia"/>
          <w:color w:val="auto"/>
          <w:sz w:val="24"/>
          <w:szCs w:val="24"/>
        </w:rPr>
      </w:pPr>
      <w:r>
        <w:rPr>
          <w:rFonts w:hint="eastAsia"/>
          <w:color w:val="auto"/>
          <w:sz w:val="24"/>
          <w:szCs w:val="24"/>
        </w:rPr>
        <w:t>注：1、</w:t>
      </w:r>
      <w:r>
        <w:rPr>
          <w:rFonts w:hint="eastAsia"/>
          <w:color w:val="auto"/>
          <w:sz w:val="24"/>
          <w:szCs w:val="24"/>
          <w:lang w:val="en-US" w:eastAsia="zh-CN"/>
        </w:rPr>
        <w:t>根据第三章采购内容及要求响应，</w:t>
      </w:r>
      <w:r>
        <w:rPr>
          <w:rFonts w:hint="eastAsia"/>
          <w:color w:val="auto"/>
          <w:sz w:val="24"/>
          <w:szCs w:val="24"/>
        </w:rPr>
        <w:t>如有偏离的，请按上表所列内容依次填写；若未填视为其所有条款均完全响应“招标文件”中的要求；响应说明填写：优于、相同、低于；</w:t>
      </w:r>
    </w:p>
    <w:p w14:paraId="1AFFA368">
      <w:pPr>
        <w:pageBreakBefore w:val="0"/>
        <w:topLinePunct w:val="0"/>
        <w:bidi w:val="0"/>
        <w:spacing w:line="500" w:lineRule="exact"/>
        <w:ind w:left="0" w:leftChars="0" w:right="0" w:rightChars="0" w:firstLine="480" w:firstLineChars="200"/>
        <w:rPr>
          <w:color w:val="auto"/>
          <w:sz w:val="24"/>
          <w:szCs w:val="24"/>
        </w:rPr>
      </w:pPr>
      <w:r>
        <w:rPr>
          <w:rFonts w:hint="eastAsia"/>
          <w:color w:val="auto"/>
          <w:sz w:val="24"/>
          <w:szCs w:val="24"/>
        </w:rPr>
        <w:t>2、未</w:t>
      </w:r>
      <w:r>
        <w:rPr>
          <w:rFonts w:hint="eastAsia"/>
          <w:color w:val="auto"/>
          <w:sz w:val="24"/>
          <w:szCs w:val="24"/>
          <w:lang w:val="en-US" w:eastAsia="zh-CN"/>
        </w:rPr>
        <w:t>提供质量与技术标准中所要求的证明材料</w:t>
      </w:r>
      <w:r>
        <w:rPr>
          <w:rFonts w:hint="eastAsia"/>
          <w:color w:val="auto"/>
          <w:sz w:val="24"/>
          <w:szCs w:val="24"/>
        </w:rPr>
        <w:t>或提供的技术支持资料与产品不一致或不能体现技术要求的，评标委员会有权不予认可，并扣除相应的分值；响应说明填写：优于、相同、低于。</w:t>
      </w:r>
    </w:p>
    <w:p w14:paraId="2B5331E8">
      <w:pPr>
        <w:pageBreakBefore w:val="0"/>
        <w:topLinePunct w:val="0"/>
        <w:bidi w:val="0"/>
        <w:spacing w:line="500" w:lineRule="exact"/>
        <w:ind w:left="0" w:leftChars="0" w:right="0" w:rightChars="0" w:firstLine="480" w:firstLineChars="200"/>
        <w:rPr>
          <w:color w:val="auto"/>
          <w:sz w:val="24"/>
          <w:szCs w:val="24"/>
        </w:rPr>
      </w:pPr>
    </w:p>
    <w:p w14:paraId="1FA72C37">
      <w:pPr>
        <w:pStyle w:val="60"/>
        <w:keepNext w:val="0"/>
        <w:keepLines w:val="0"/>
        <w:pageBreakBefore w:val="0"/>
        <w:kinsoku/>
        <w:wordWrap/>
        <w:overflowPunct/>
        <w:topLinePunct w:val="0"/>
        <w:autoSpaceDE/>
        <w:autoSpaceDN/>
        <w:bidi w:val="0"/>
        <w:adjustRightInd/>
        <w:snapToGrid/>
        <w:spacing w:line="500" w:lineRule="exact"/>
        <w:ind w:left="0" w:leftChars="0" w:right="0" w:rightChars="0" w:firstLine="0" w:firstLineChars="0"/>
        <w:jc w:val="left"/>
        <w:textAlignment w:val="auto"/>
        <w:rPr>
          <w:rFonts w:hint="eastAsia" w:ascii="新宋体" w:hAnsi="新宋体"/>
          <w:b w:val="0"/>
          <w:color w:val="auto"/>
          <w:sz w:val="24"/>
          <w:szCs w:val="24"/>
          <w:highlight w:val="none"/>
        </w:rPr>
      </w:pPr>
      <w:r>
        <w:rPr>
          <w:rFonts w:hint="eastAsia" w:ascii="新宋体" w:hAnsi="新宋体"/>
          <w:b w:val="0"/>
          <w:color w:val="auto"/>
          <w:sz w:val="21"/>
          <w:szCs w:val="21"/>
          <w:highlight w:val="none"/>
          <w:lang w:val="en-US" w:eastAsia="zh-CN"/>
        </w:rPr>
        <w:t xml:space="preserve">                                       </w:t>
      </w:r>
      <w:r>
        <w:rPr>
          <w:rFonts w:hint="eastAsia" w:ascii="新宋体" w:hAnsi="新宋体"/>
          <w:b w:val="0"/>
          <w:color w:val="auto"/>
          <w:sz w:val="22"/>
          <w:szCs w:val="22"/>
          <w:highlight w:val="none"/>
          <w:lang w:val="en-US" w:eastAsia="zh-CN"/>
        </w:rPr>
        <w:t xml:space="preserve">     </w:t>
      </w:r>
      <w:r>
        <w:rPr>
          <w:rFonts w:hint="eastAsia" w:ascii="新宋体" w:hAnsi="新宋体"/>
          <w:b w:val="0"/>
          <w:color w:val="auto"/>
          <w:sz w:val="24"/>
          <w:szCs w:val="24"/>
          <w:highlight w:val="none"/>
        </w:rPr>
        <w:t>投标人：</w:t>
      </w:r>
      <w:r>
        <w:rPr>
          <w:rFonts w:ascii="新宋体" w:hAnsi="新宋体"/>
          <w:b w:val="0"/>
          <w:color w:val="auto"/>
          <w:sz w:val="24"/>
          <w:szCs w:val="24"/>
          <w:highlight w:val="none"/>
          <w:u w:val="single"/>
        </w:rPr>
        <w:t xml:space="preserve">             </w:t>
      </w:r>
      <w:r>
        <w:rPr>
          <w:rFonts w:hint="eastAsia" w:ascii="新宋体" w:hAnsi="新宋体"/>
          <w:b w:val="0"/>
          <w:color w:val="auto"/>
          <w:sz w:val="24"/>
          <w:szCs w:val="24"/>
          <w:highlight w:val="none"/>
          <w:u w:val="single"/>
        </w:rPr>
        <w:t xml:space="preserve">  （单位全称、盖章）   </w:t>
      </w:r>
    </w:p>
    <w:p w14:paraId="20DC2DDF">
      <w:pPr>
        <w:pStyle w:val="60"/>
        <w:keepNext w:val="0"/>
        <w:keepLines w:val="0"/>
        <w:pageBreakBefore w:val="0"/>
        <w:kinsoku/>
        <w:wordWrap/>
        <w:overflowPunct/>
        <w:topLinePunct w:val="0"/>
        <w:autoSpaceDE/>
        <w:autoSpaceDN/>
        <w:bidi w:val="0"/>
        <w:adjustRightInd/>
        <w:snapToGrid/>
        <w:spacing w:line="500" w:lineRule="exact"/>
        <w:ind w:left="0" w:leftChars="0" w:right="0" w:rightChars="0" w:firstLine="0" w:firstLineChars="0"/>
        <w:jc w:val="left"/>
        <w:textAlignment w:val="auto"/>
        <w:rPr>
          <w:rFonts w:hint="eastAsia" w:ascii="新宋体" w:hAnsi="新宋体"/>
          <w:b w:val="0"/>
          <w:color w:val="auto"/>
          <w:sz w:val="24"/>
          <w:szCs w:val="24"/>
          <w:highlight w:val="none"/>
        </w:rPr>
      </w:pPr>
      <w:r>
        <w:rPr>
          <w:rFonts w:hint="eastAsia" w:ascii="新宋体" w:hAnsi="新宋体"/>
          <w:b w:val="0"/>
          <w:color w:val="auto"/>
          <w:sz w:val="24"/>
          <w:szCs w:val="24"/>
          <w:highlight w:val="none"/>
          <w:lang w:val="en-US" w:eastAsia="zh-CN"/>
        </w:rPr>
        <w:t xml:space="preserve">                                       </w:t>
      </w:r>
      <w:r>
        <w:rPr>
          <w:rFonts w:hint="eastAsia" w:ascii="新宋体" w:hAnsi="新宋体"/>
          <w:b w:val="0"/>
          <w:color w:val="auto"/>
          <w:sz w:val="24"/>
          <w:szCs w:val="24"/>
          <w:highlight w:val="none"/>
        </w:rPr>
        <w:t>法定代表人或授权代表：</w:t>
      </w:r>
      <w:r>
        <w:rPr>
          <w:rFonts w:hint="eastAsia" w:ascii="新宋体" w:hAnsi="新宋体"/>
          <w:b w:val="0"/>
          <w:color w:val="auto"/>
          <w:sz w:val="24"/>
          <w:szCs w:val="24"/>
          <w:highlight w:val="none"/>
          <w:u w:val="single"/>
        </w:rPr>
        <w:t xml:space="preserve">     （</w:t>
      </w:r>
      <w:r>
        <w:rPr>
          <w:rFonts w:hint="eastAsia" w:ascii="新宋体" w:hAnsi="新宋体"/>
          <w:b w:val="0"/>
          <w:color w:val="auto"/>
          <w:sz w:val="24"/>
          <w:szCs w:val="24"/>
          <w:highlight w:val="none"/>
          <w:u w:val="single"/>
          <w:lang w:eastAsia="zh-CN"/>
        </w:rPr>
        <w:t>盖章或签字</w:t>
      </w:r>
      <w:r>
        <w:rPr>
          <w:rFonts w:hint="eastAsia" w:ascii="新宋体" w:hAnsi="新宋体"/>
          <w:b w:val="0"/>
          <w:color w:val="auto"/>
          <w:sz w:val="24"/>
          <w:szCs w:val="24"/>
          <w:highlight w:val="none"/>
          <w:u w:val="single"/>
        </w:rPr>
        <w:t xml:space="preserve">）    </w:t>
      </w:r>
    </w:p>
    <w:p w14:paraId="4D1ADBE5">
      <w:pPr>
        <w:spacing w:line="440" w:lineRule="exact"/>
        <w:rPr>
          <w:rFonts w:hint="eastAsia"/>
          <w:sz w:val="28"/>
          <w:szCs w:val="24"/>
          <w:highlight w:val="none"/>
        </w:rPr>
      </w:pPr>
      <w:r>
        <w:rPr>
          <w:rFonts w:hint="eastAsia" w:ascii="新宋体" w:hAnsi="新宋体"/>
          <w:b w:val="0"/>
          <w:color w:val="auto"/>
          <w:sz w:val="24"/>
          <w:szCs w:val="24"/>
          <w:highlight w:val="none"/>
          <w:lang w:val="en-US" w:eastAsia="zh-CN"/>
        </w:rPr>
        <w:t xml:space="preserve">                                       </w:t>
      </w:r>
      <w:r>
        <w:rPr>
          <w:rFonts w:hint="eastAsia" w:ascii="新宋体" w:hAnsi="新宋体"/>
          <w:b w:val="0"/>
          <w:color w:val="auto"/>
          <w:sz w:val="24"/>
          <w:szCs w:val="24"/>
          <w:highlight w:val="none"/>
        </w:rPr>
        <w:t>投标日期：</w:t>
      </w:r>
      <w:r>
        <w:rPr>
          <w:rFonts w:hint="eastAsia" w:ascii="新宋体" w:hAnsi="新宋体"/>
          <w:b w:val="0"/>
          <w:color w:val="auto"/>
          <w:sz w:val="24"/>
          <w:szCs w:val="24"/>
          <w:highlight w:val="none"/>
          <w:u w:val="single"/>
        </w:rPr>
        <w:t xml:space="preserve">        </w:t>
      </w:r>
      <w:r>
        <w:rPr>
          <w:rFonts w:hint="eastAsia" w:ascii="新宋体" w:hAnsi="新宋体"/>
          <w:b w:val="0"/>
          <w:color w:val="auto"/>
          <w:sz w:val="24"/>
          <w:szCs w:val="24"/>
          <w:highlight w:val="none"/>
        </w:rPr>
        <w:t>年</w:t>
      </w:r>
      <w:r>
        <w:rPr>
          <w:rFonts w:hint="eastAsia" w:ascii="新宋体" w:hAnsi="新宋体"/>
          <w:b w:val="0"/>
          <w:color w:val="auto"/>
          <w:sz w:val="24"/>
          <w:szCs w:val="24"/>
          <w:highlight w:val="none"/>
          <w:u w:val="single"/>
        </w:rPr>
        <w:t xml:space="preserve">    </w:t>
      </w:r>
      <w:r>
        <w:rPr>
          <w:rFonts w:hint="eastAsia" w:ascii="新宋体" w:hAnsi="新宋体"/>
          <w:b w:val="0"/>
          <w:color w:val="auto"/>
          <w:sz w:val="24"/>
          <w:szCs w:val="24"/>
          <w:highlight w:val="none"/>
        </w:rPr>
        <w:t>月</w:t>
      </w:r>
      <w:r>
        <w:rPr>
          <w:rFonts w:hint="eastAsia" w:ascii="新宋体" w:hAnsi="新宋体"/>
          <w:b w:val="0"/>
          <w:color w:val="auto"/>
          <w:sz w:val="24"/>
          <w:szCs w:val="24"/>
          <w:highlight w:val="none"/>
          <w:u w:val="single"/>
        </w:rPr>
        <w:t xml:space="preserve">    </w:t>
      </w:r>
      <w:r>
        <w:rPr>
          <w:rFonts w:hint="eastAsia" w:ascii="新宋体" w:hAnsi="新宋体"/>
          <w:b w:val="0"/>
          <w:color w:val="auto"/>
          <w:sz w:val="24"/>
          <w:szCs w:val="24"/>
          <w:highlight w:val="none"/>
        </w:rPr>
        <w:t>日</w:t>
      </w:r>
    </w:p>
    <w:p w14:paraId="42BE3EE2">
      <w:pPr>
        <w:pageBreakBefore w:val="0"/>
        <w:topLinePunct w:val="0"/>
        <w:bidi w:val="0"/>
        <w:spacing w:line="500" w:lineRule="exact"/>
        <w:ind w:left="0" w:leftChars="0" w:right="0" w:rightChars="0" w:firstLine="440" w:firstLineChars="200"/>
        <w:rPr>
          <w:color w:val="auto"/>
        </w:rPr>
        <w:sectPr>
          <w:headerReference r:id="rId15" w:type="default"/>
          <w:footerReference r:id="rId16" w:type="default"/>
          <w:pgSz w:w="11910" w:h="16840"/>
          <w:pgMar w:top="1360" w:right="660" w:bottom="1200" w:left="1340" w:header="872" w:footer="1005" w:gutter="0"/>
          <w:pgNumType w:fmt="decimal"/>
          <w:cols w:space="720" w:num="1"/>
        </w:sectPr>
      </w:pPr>
    </w:p>
    <w:p w14:paraId="4BDCAF03">
      <w:pPr>
        <w:keepNext w:val="0"/>
        <w:keepLines w:val="0"/>
        <w:pageBreakBefore w:val="0"/>
        <w:widowControl w:val="0"/>
        <w:kinsoku/>
        <w:wordWrap/>
        <w:overflowPunct/>
        <w:topLinePunct w:val="0"/>
        <w:autoSpaceDE/>
        <w:autoSpaceDN/>
        <w:bidi w:val="0"/>
        <w:adjustRightInd/>
        <w:snapToGrid/>
        <w:spacing w:before="0" w:beforeLines="100" w:after="0" w:afterLines="50" w:line="560" w:lineRule="exact"/>
        <w:ind w:left="0" w:leftChars="0" w:right="0" w:rightChars="0" w:firstLine="0" w:firstLineChars="0"/>
        <w:jc w:val="center"/>
        <w:textAlignment w:val="auto"/>
        <w:outlineLvl w:val="9"/>
        <w:rPr>
          <w:rFonts w:hint="eastAsia" w:ascii="宋体" w:hAnsi="宋体" w:cs="宋体"/>
          <w:b/>
          <w:bCs/>
          <w:color w:val="000000"/>
          <w:sz w:val="36"/>
          <w:szCs w:val="36"/>
          <w:highlight w:val="none"/>
        </w:rPr>
      </w:pPr>
      <w:r>
        <w:rPr>
          <w:rFonts w:hint="eastAsia"/>
          <w:b/>
          <w:color w:val="auto"/>
          <w:sz w:val="32"/>
          <w:szCs w:val="32"/>
          <w:lang w:val="en-US" w:eastAsia="zh-CN"/>
        </w:rPr>
        <w:t>合同包一/二/三商务条款偏离表</w:t>
      </w:r>
    </w:p>
    <w:p w14:paraId="3AEA7665">
      <w:pPr>
        <w:numPr>
          <w:ilvl w:val="0"/>
          <w:numId w:val="0"/>
        </w:numPr>
        <w:spacing w:line="560" w:lineRule="exact"/>
        <w:jc w:val="both"/>
        <w:rPr>
          <w:rFonts w:hint="eastAsia" w:ascii="宋体" w:hAnsi="宋体" w:cs="宋体"/>
          <w:b/>
          <w:bCs/>
          <w:color w:val="000000"/>
          <w:sz w:val="36"/>
          <w:szCs w:val="36"/>
          <w:highlight w:val="none"/>
        </w:rPr>
      </w:pPr>
      <w:r>
        <w:rPr>
          <w:rFonts w:hint="eastAsia" w:ascii="宋体" w:hAnsi="宋体"/>
          <w:szCs w:val="21"/>
          <w:highlight w:val="none"/>
          <w:lang w:eastAsia="zh-CN"/>
        </w:rPr>
        <w:t>投标人名称：</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                         项目编号：</w:t>
      </w:r>
      <w:r>
        <w:rPr>
          <w:rFonts w:hint="eastAsia" w:ascii="宋体" w:hAnsi="宋体"/>
          <w:szCs w:val="21"/>
          <w:highlight w:val="none"/>
          <w:u w:val="single"/>
          <w:lang w:val="en-US" w:eastAsia="zh-CN"/>
        </w:rPr>
        <w:t xml:space="preserve">              </w:t>
      </w:r>
    </w:p>
    <w:tbl>
      <w:tblPr>
        <w:tblStyle w:val="24"/>
        <w:tblW w:w="9210" w:type="dxa"/>
        <w:tblInd w:w="131"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0"/>
        <w:gridCol w:w="2910"/>
        <w:gridCol w:w="2625"/>
        <w:gridCol w:w="1590"/>
        <w:gridCol w:w="1245"/>
      </w:tblGrid>
      <w:tr w14:paraId="5E4E79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840" w:type="dxa"/>
            <w:tcBorders>
              <w:tl2br w:val="nil"/>
              <w:tr2bl w:val="nil"/>
            </w:tcBorders>
            <w:vAlign w:val="center"/>
          </w:tcPr>
          <w:p w14:paraId="1109CB70">
            <w:pPr>
              <w:spacing w:line="320" w:lineRule="exact"/>
              <w:ind w:left="-101" w:leftChars="-46"/>
              <w:jc w:val="center"/>
              <w:rPr>
                <w:rFonts w:hint="eastAsia" w:ascii="宋体" w:hAnsi="宋体"/>
                <w:b/>
                <w:bCs/>
                <w:position w:val="4"/>
                <w:sz w:val="21"/>
                <w:szCs w:val="21"/>
                <w:highlight w:val="none"/>
                <w:vertAlign w:val="baseline"/>
              </w:rPr>
            </w:pPr>
            <w:r>
              <w:rPr>
                <w:rFonts w:hint="eastAsia" w:ascii="新宋体" w:hAnsi="新宋体" w:cs="新宋体"/>
                <w:b/>
                <w:color w:val="auto"/>
                <w:sz w:val="21"/>
                <w:szCs w:val="21"/>
                <w:highlight w:val="none"/>
              </w:rPr>
              <w:t>序号</w:t>
            </w:r>
          </w:p>
        </w:tc>
        <w:tc>
          <w:tcPr>
            <w:tcW w:w="2910" w:type="dxa"/>
            <w:tcBorders>
              <w:tl2br w:val="nil"/>
              <w:tr2bl w:val="nil"/>
            </w:tcBorders>
            <w:vAlign w:val="center"/>
          </w:tcPr>
          <w:p w14:paraId="0658C1D7">
            <w:pPr>
              <w:spacing w:line="320" w:lineRule="exact"/>
              <w:jc w:val="center"/>
              <w:rPr>
                <w:rFonts w:hint="eastAsia" w:ascii="宋体" w:hAnsi="宋体"/>
                <w:b/>
                <w:bCs/>
                <w:position w:val="4"/>
                <w:sz w:val="21"/>
                <w:szCs w:val="21"/>
                <w:highlight w:val="none"/>
                <w:vertAlign w:val="baseline"/>
              </w:rPr>
            </w:pPr>
            <w:r>
              <w:rPr>
                <w:rFonts w:hint="eastAsia" w:ascii="新宋体" w:hAnsi="新宋体" w:cs="新宋体"/>
                <w:b/>
                <w:color w:val="auto"/>
                <w:sz w:val="21"/>
                <w:szCs w:val="21"/>
                <w:highlight w:val="none"/>
              </w:rPr>
              <w:t>招标文件商务要求</w:t>
            </w:r>
          </w:p>
        </w:tc>
        <w:tc>
          <w:tcPr>
            <w:tcW w:w="2625" w:type="dxa"/>
            <w:tcBorders>
              <w:tl2br w:val="nil"/>
              <w:tr2bl w:val="nil"/>
            </w:tcBorders>
            <w:vAlign w:val="center"/>
          </w:tcPr>
          <w:p w14:paraId="741ACA8C">
            <w:pPr>
              <w:spacing w:line="320" w:lineRule="exact"/>
              <w:jc w:val="center"/>
              <w:rPr>
                <w:rFonts w:hint="eastAsia" w:ascii="宋体" w:hAnsi="宋体"/>
                <w:b/>
                <w:bCs/>
                <w:position w:val="4"/>
                <w:sz w:val="21"/>
                <w:szCs w:val="21"/>
                <w:highlight w:val="none"/>
                <w:vertAlign w:val="baseline"/>
              </w:rPr>
            </w:pPr>
            <w:r>
              <w:rPr>
                <w:rFonts w:hint="eastAsia" w:ascii="新宋体" w:hAnsi="新宋体" w:cs="新宋体"/>
                <w:b/>
                <w:color w:val="auto"/>
                <w:sz w:val="21"/>
                <w:szCs w:val="21"/>
                <w:highlight w:val="none"/>
              </w:rPr>
              <w:t>投标文件商务响应</w:t>
            </w:r>
          </w:p>
        </w:tc>
        <w:tc>
          <w:tcPr>
            <w:tcW w:w="1590" w:type="dxa"/>
            <w:tcBorders>
              <w:tl2br w:val="nil"/>
              <w:tr2bl w:val="nil"/>
            </w:tcBorders>
            <w:vAlign w:val="center"/>
          </w:tcPr>
          <w:p w14:paraId="3E70F5F9">
            <w:pPr>
              <w:spacing w:line="320" w:lineRule="exact"/>
              <w:jc w:val="center"/>
              <w:rPr>
                <w:rFonts w:hint="eastAsia" w:ascii="宋体" w:hAnsi="宋体"/>
                <w:b/>
                <w:bCs/>
                <w:position w:val="4"/>
                <w:sz w:val="21"/>
                <w:szCs w:val="21"/>
                <w:highlight w:val="none"/>
                <w:vertAlign w:val="baseline"/>
              </w:rPr>
            </w:pPr>
            <w:r>
              <w:rPr>
                <w:rFonts w:hint="eastAsia" w:ascii="新宋体" w:hAnsi="新宋体" w:cs="新宋体"/>
                <w:b/>
                <w:color w:val="auto"/>
                <w:sz w:val="21"/>
                <w:szCs w:val="21"/>
                <w:highlight w:val="none"/>
              </w:rPr>
              <w:t>偏离情况</w:t>
            </w:r>
          </w:p>
        </w:tc>
        <w:tc>
          <w:tcPr>
            <w:tcW w:w="1245" w:type="dxa"/>
            <w:tcBorders>
              <w:tl2br w:val="nil"/>
              <w:tr2bl w:val="nil"/>
            </w:tcBorders>
            <w:vAlign w:val="center"/>
          </w:tcPr>
          <w:p w14:paraId="03369C18">
            <w:pPr>
              <w:spacing w:line="320" w:lineRule="exact"/>
              <w:jc w:val="center"/>
              <w:rPr>
                <w:rFonts w:hint="eastAsia" w:ascii="宋体" w:hAnsi="宋体"/>
                <w:b/>
                <w:bCs/>
                <w:position w:val="4"/>
                <w:sz w:val="21"/>
                <w:szCs w:val="21"/>
                <w:highlight w:val="none"/>
                <w:vertAlign w:val="baseline"/>
              </w:rPr>
            </w:pPr>
            <w:r>
              <w:rPr>
                <w:rFonts w:hint="eastAsia" w:ascii="新宋体" w:hAnsi="新宋体" w:cs="新宋体"/>
                <w:b/>
                <w:color w:val="auto"/>
                <w:sz w:val="21"/>
                <w:szCs w:val="21"/>
                <w:highlight w:val="none"/>
              </w:rPr>
              <w:t>说明</w:t>
            </w:r>
          </w:p>
        </w:tc>
      </w:tr>
      <w:tr w14:paraId="478543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tcPr>
          <w:p w14:paraId="2C801F03">
            <w:pPr>
              <w:spacing w:line="560" w:lineRule="exact"/>
              <w:jc w:val="both"/>
              <w:rPr>
                <w:rFonts w:hint="eastAsia" w:ascii="宋体" w:hAnsi="宋体"/>
                <w:b/>
                <w:bCs/>
                <w:position w:val="4"/>
                <w:sz w:val="32"/>
                <w:szCs w:val="32"/>
                <w:highlight w:val="none"/>
                <w:vertAlign w:val="baseline"/>
              </w:rPr>
            </w:pPr>
          </w:p>
        </w:tc>
        <w:tc>
          <w:tcPr>
            <w:tcW w:w="2910" w:type="dxa"/>
            <w:tcBorders>
              <w:tl2br w:val="nil"/>
              <w:tr2bl w:val="nil"/>
            </w:tcBorders>
          </w:tcPr>
          <w:p w14:paraId="53FDCF93">
            <w:pPr>
              <w:spacing w:line="560" w:lineRule="exact"/>
              <w:jc w:val="both"/>
              <w:rPr>
                <w:rFonts w:hint="eastAsia" w:ascii="宋体" w:hAnsi="宋体"/>
                <w:b/>
                <w:bCs/>
                <w:position w:val="4"/>
                <w:sz w:val="32"/>
                <w:szCs w:val="32"/>
                <w:highlight w:val="none"/>
                <w:vertAlign w:val="baseline"/>
              </w:rPr>
            </w:pPr>
          </w:p>
        </w:tc>
        <w:tc>
          <w:tcPr>
            <w:tcW w:w="2625" w:type="dxa"/>
            <w:tcBorders>
              <w:tl2br w:val="nil"/>
              <w:tr2bl w:val="nil"/>
            </w:tcBorders>
          </w:tcPr>
          <w:p w14:paraId="13DE4DB4">
            <w:pPr>
              <w:spacing w:line="560" w:lineRule="exact"/>
              <w:jc w:val="both"/>
              <w:rPr>
                <w:rFonts w:hint="eastAsia" w:ascii="宋体" w:hAnsi="宋体"/>
                <w:b/>
                <w:bCs/>
                <w:position w:val="4"/>
                <w:sz w:val="32"/>
                <w:szCs w:val="32"/>
                <w:highlight w:val="none"/>
                <w:vertAlign w:val="baseline"/>
              </w:rPr>
            </w:pPr>
          </w:p>
        </w:tc>
        <w:tc>
          <w:tcPr>
            <w:tcW w:w="1590" w:type="dxa"/>
            <w:tcBorders>
              <w:tl2br w:val="nil"/>
              <w:tr2bl w:val="nil"/>
            </w:tcBorders>
          </w:tcPr>
          <w:p w14:paraId="64E6DE89">
            <w:pPr>
              <w:spacing w:line="560" w:lineRule="exact"/>
              <w:jc w:val="both"/>
              <w:rPr>
                <w:rFonts w:hint="eastAsia" w:ascii="宋体" w:hAnsi="宋体"/>
                <w:b/>
                <w:bCs/>
                <w:position w:val="4"/>
                <w:sz w:val="32"/>
                <w:szCs w:val="32"/>
                <w:highlight w:val="none"/>
                <w:vertAlign w:val="baseline"/>
              </w:rPr>
            </w:pPr>
          </w:p>
        </w:tc>
        <w:tc>
          <w:tcPr>
            <w:tcW w:w="1245" w:type="dxa"/>
            <w:tcBorders>
              <w:tl2br w:val="nil"/>
              <w:tr2bl w:val="nil"/>
            </w:tcBorders>
          </w:tcPr>
          <w:p w14:paraId="336A657B">
            <w:pPr>
              <w:spacing w:line="560" w:lineRule="exact"/>
              <w:jc w:val="both"/>
              <w:rPr>
                <w:rFonts w:hint="eastAsia" w:ascii="宋体" w:hAnsi="宋体"/>
                <w:b/>
                <w:bCs/>
                <w:position w:val="4"/>
                <w:sz w:val="32"/>
                <w:szCs w:val="32"/>
                <w:highlight w:val="none"/>
                <w:vertAlign w:val="baseline"/>
              </w:rPr>
            </w:pPr>
          </w:p>
        </w:tc>
      </w:tr>
      <w:tr w14:paraId="5A7AD0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tcPr>
          <w:p w14:paraId="26129EE2">
            <w:pPr>
              <w:spacing w:line="560" w:lineRule="exact"/>
              <w:jc w:val="both"/>
              <w:rPr>
                <w:rFonts w:hint="eastAsia" w:ascii="宋体" w:hAnsi="宋体"/>
                <w:b/>
                <w:bCs/>
                <w:position w:val="4"/>
                <w:sz w:val="32"/>
                <w:szCs w:val="32"/>
                <w:highlight w:val="none"/>
                <w:vertAlign w:val="baseline"/>
              </w:rPr>
            </w:pPr>
          </w:p>
        </w:tc>
        <w:tc>
          <w:tcPr>
            <w:tcW w:w="2910" w:type="dxa"/>
            <w:tcBorders>
              <w:tl2br w:val="nil"/>
              <w:tr2bl w:val="nil"/>
            </w:tcBorders>
          </w:tcPr>
          <w:p w14:paraId="063AF078">
            <w:pPr>
              <w:spacing w:line="560" w:lineRule="exact"/>
              <w:jc w:val="both"/>
              <w:rPr>
                <w:rFonts w:hint="eastAsia" w:ascii="宋体" w:hAnsi="宋体"/>
                <w:b/>
                <w:bCs/>
                <w:position w:val="4"/>
                <w:sz w:val="32"/>
                <w:szCs w:val="32"/>
                <w:highlight w:val="none"/>
                <w:vertAlign w:val="baseline"/>
              </w:rPr>
            </w:pPr>
          </w:p>
        </w:tc>
        <w:tc>
          <w:tcPr>
            <w:tcW w:w="2625" w:type="dxa"/>
            <w:tcBorders>
              <w:tl2br w:val="nil"/>
              <w:tr2bl w:val="nil"/>
            </w:tcBorders>
          </w:tcPr>
          <w:p w14:paraId="106D6C7D">
            <w:pPr>
              <w:spacing w:line="560" w:lineRule="exact"/>
              <w:jc w:val="both"/>
              <w:rPr>
                <w:rFonts w:hint="eastAsia" w:ascii="宋体" w:hAnsi="宋体"/>
                <w:b/>
                <w:bCs/>
                <w:position w:val="4"/>
                <w:sz w:val="32"/>
                <w:szCs w:val="32"/>
                <w:highlight w:val="none"/>
                <w:vertAlign w:val="baseline"/>
              </w:rPr>
            </w:pPr>
          </w:p>
        </w:tc>
        <w:tc>
          <w:tcPr>
            <w:tcW w:w="1590" w:type="dxa"/>
            <w:tcBorders>
              <w:tl2br w:val="nil"/>
              <w:tr2bl w:val="nil"/>
            </w:tcBorders>
          </w:tcPr>
          <w:p w14:paraId="6329D698">
            <w:pPr>
              <w:spacing w:line="560" w:lineRule="exact"/>
              <w:jc w:val="both"/>
              <w:rPr>
                <w:rFonts w:hint="eastAsia" w:ascii="宋体" w:hAnsi="宋体"/>
                <w:b/>
                <w:bCs/>
                <w:position w:val="4"/>
                <w:sz w:val="32"/>
                <w:szCs w:val="32"/>
                <w:highlight w:val="none"/>
                <w:vertAlign w:val="baseline"/>
              </w:rPr>
            </w:pPr>
          </w:p>
        </w:tc>
        <w:tc>
          <w:tcPr>
            <w:tcW w:w="1245" w:type="dxa"/>
            <w:tcBorders>
              <w:tl2br w:val="nil"/>
              <w:tr2bl w:val="nil"/>
            </w:tcBorders>
          </w:tcPr>
          <w:p w14:paraId="64547D49">
            <w:pPr>
              <w:spacing w:line="560" w:lineRule="exact"/>
              <w:jc w:val="both"/>
              <w:rPr>
                <w:rFonts w:hint="eastAsia" w:ascii="宋体" w:hAnsi="宋体"/>
                <w:b/>
                <w:bCs/>
                <w:position w:val="4"/>
                <w:sz w:val="32"/>
                <w:szCs w:val="32"/>
                <w:highlight w:val="none"/>
                <w:vertAlign w:val="baseline"/>
              </w:rPr>
            </w:pPr>
          </w:p>
        </w:tc>
      </w:tr>
      <w:tr w14:paraId="00ABC2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tcPr>
          <w:p w14:paraId="62CCD68C">
            <w:pPr>
              <w:spacing w:line="560" w:lineRule="exact"/>
              <w:jc w:val="both"/>
              <w:rPr>
                <w:rFonts w:hint="eastAsia" w:ascii="宋体" w:hAnsi="宋体"/>
                <w:b/>
                <w:bCs/>
                <w:position w:val="4"/>
                <w:sz w:val="32"/>
                <w:szCs w:val="32"/>
                <w:highlight w:val="none"/>
                <w:vertAlign w:val="baseline"/>
              </w:rPr>
            </w:pPr>
          </w:p>
        </w:tc>
        <w:tc>
          <w:tcPr>
            <w:tcW w:w="2910" w:type="dxa"/>
            <w:tcBorders>
              <w:tl2br w:val="nil"/>
              <w:tr2bl w:val="nil"/>
            </w:tcBorders>
          </w:tcPr>
          <w:p w14:paraId="4398F61D">
            <w:pPr>
              <w:spacing w:line="560" w:lineRule="exact"/>
              <w:jc w:val="both"/>
              <w:rPr>
                <w:rFonts w:hint="eastAsia" w:ascii="宋体" w:hAnsi="宋体"/>
                <w:b/>
                <w:bCs/>
                <w:position w:val="4"/>
                <w:sz w:val="32"/>
                <w:szCs w:val="32"/>
                <w:highlight w:val="none"/>
                <w:vertAlign w:val="baseline"/>
              </w:rPr>
            </w:pPr>
          </w:p>
        </w:tc>
        <w:tc>
          <w:tcPr>
            <w:tcW w:w="2625" w:type="dxa"/>
            <w:tcBorders>
              <w:tl2br w:val="nil"/>
              <w:tr2bl w:val="nil"/>
            </w:tcBorders>
          </w:tcPr>
          <w:p w14:paraId="5B933707">
            <w:pPr>
              <w:spacing w:line="560" w:lineRule="exact"/>
              <w:jc w:val="both"/>
              <w:rPr>
                <w:rFonts w:hint="eastAsia" w:ascii="宋体" w:hAnsi="宋体"/>
                <w:b/>
                <w:bCs/>
                <w:position w:val="4"/>
                <w:sz w:val="32"/>
                <w:szCs w:val="32"/>
                <w:highlight w:val="none"/>
                <w:vertAlign w:val="baseline"/>
              </w:rPr>
            </w:pPr>
          </w:p>
        </w:tc>
        <w:tc>
          <w:tcPr>
            <w:tcW w:w="1590" w:type="dxa"/>
            <w:tcBorders>
              <w:tl2br w:val="nil"/>
              <w:tr2bl w:val="nil"/>
            </w:tcBorders>
          </w:tcPr>
          <w:p w14:paraId="30A0D74B">
            <w:pPr>
              <w:spacing w:line="560" w:lineRule="exact"/>
              <w:jc w:val="both"/>
              <w:rPr>
                <w:rFonts w:hint="eastAsia" w:ascii="宋体" w:hAnsi="宋体"/>
                <w:b/>
                <w:bCs/>
                <w:position w:val="4"/>
                <w:sz w:val="32"/>
                <w:szCs w:val="32"/>
                <w:highlight w:val="none"/>
                <w:vertAlign w:val="baseline"/>
              </w:rPr>
            </w:pPr>
          </w:p>
        </w:tc>
        <w:tc>
          <w:tcPr>
            <w:tcW w:w="1245" w:type="dxa"/>
            <w:tcBorders>
              <w:tl2br w:val="nil"/>
              <w:tr2bl w:val="nil"/>
            </w:tcBorders>
          </w:tcPr>
          <w:p w14:paraId="2F536536">
            <w:pPr>
              <w:spacing w:line="560" w:lineRule="exact"/>
              <w:jc w:val="both"/>
              <w:rPr>
                <w:rFonts w:hint="eastAsia" w:ascii="宋体" w:hAnsi="宋体"/>
                <w:b/>
                <w:bCs/>
                <w:position w:val="4"/>
                <w:sz w:val="32"/>
                <w:szCs w:val="32"/>
                <w:highlight w:val="none"/>
                <w:vertAlign w:val="baseline"/>
              </w:rPr>
            </w:pPr>
          </w:p>
        </w:tc>
      </w:tr>
      <w:tr w14:paraId="64D915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tcPr>
          <w:p w14:paraId="4AF8FC7C">
            <w:pPr>
              <w:spacing w:line="560" w:lineRule="exact"/>
              <w:jc w:val="both"/>
              <w:rPr>
                <w:rFonts w:hint="eastAsia" w:ascii="宋体" w:hAnsi="宋体"/>
                <w:b/>
                <w:bCs/>
                <w:position w:val="4"/>
                <w:sz w:val="32"/>
                <w:szCs w:val="32"/>
                <w:highlight w:val="none"/>
                <w:vertAlign w:val="baseline"/>
              </w:rPr>
            </w:pPr>
          </w:p>
        </w:tc>
        <w:tc>
          <w:tcPr>
            <w:tcW w:w="2910" w:type="dxa"/>
            <w:tcBorders>
              <w:tl2br w:val="nil"/>
              <w:tr2bl w:val="nil"/>
            </w:tcBorders>
          </w:tcPr>
          <w:p w14:paraId="561C49A5">
            <w:pPr>
              <w:spacing w:line="560" w:lineRule="exact"/>
              <w:jc w:val="both"/>
              <w:rPr>
                <w:rFonts w:hint="eastAsia" w:ascii="宋体" w:hAnsi="宋体"/>
                <w:b/>
                <w:bCs/>
                <w:position w:val="4"/>
                <w:sz w:val="32"/>
                <w:szCs w:val="32"/>
                <w:highlight w:val="none"/>
                <w:vertAlign w:val="baseline"/>
              </w:rPr>
            </w:pPr>
          </w:p>
        </w:tc>
        <w:tc>
          <w:tcPr>
            <w:tcW w:w="2625" w:type="dxa"/>
            <w:tcBorders>
              <w:tl2br w:val="nil"/>
              <w:tr2bl w:val="nil"/>
            </w:tcBorders>
          </w:tcPr>
          <w:p w14:paraId="6A106849">
            <w:pPr>
              <w:spacing w:line="560" w:lineRule="exact"/>
              <w:jc w:val="both"/>
              <w:rPr>
                <w:rFonts w:hint="eastAsia" w:ascii="宋体" w:hAnsi="宋体"/>
                <w:b/>
                <w:bCs/>
                <w:position w:val="4"/>
                <w:sz w:val="32"/>
                <w:szCs w:val="32"/>
                <w:highlight w:val="none"/>
                <w:vertAlign w:val="baseline"/>
              </w:rPr>
            </w:pPr>
          </w:p>
        </w:tc>
        <w:tc>
          <w:tcPr>
            <w:tcW w:w="1590" w:type="dxa"/>
            <w:tcBorders>
              <w:tl2br w:val="nil"/>
              <w:tr2bl w:val="nil"/>
            </w:tcBorders>
          </w:tcPr>
          <w:p w14:paraId="04AFFDA1">
            <w:pPr>
              <w:spacing w:line="560" w:lineRule="exact"/>
              <w:jc w:val="both"/>
              <w:rPr>
                <w:rFonts w:hint="eastAsia" w:ascii="宋体" w:hAnsi="宋体"/>
                <w:b/>
                <w:bCs/>
                <w:position w:val="4"/>
                <w:sz w:val="32"/>
                <w:szCs w:val="32"/>
                <w:highlight w:val="none"/>
                <w:vertAlign w:val="baseline"/>
              </w:rPr>
            </w:pPr>
          </w:p>
        </w:tc>
        <w:tc>
          <w:tcPr>
            <w:tcW w:w="1245" w:type="dxa"/>
            <w:tcBorders>
              <w:tl2br w:val="nil"/>
              <w:tr2bl w:val="nil"/>
            </w:tcBorders>
          </w:tcPr>
          <w:p w14:paraId="2472C7DC">
            <w:pPr>
              <w:spacing w:line="560" w:lineRule="exact"/>
              <w:jc w:val="both"/>
              <w:rPr>
                <w:rFonts w:hint="eastAsia" w:ascii="宋体" w:hAnsi="宋体"/>
                <w:b/>
                <w:bCs/>
                <w:position w:val="4"/>
                <w:sz w:val="32"/>
                <w:szCs w:val="32"/>
                <w:highlight w:val="none"/>
                <w:vertAlign w:val="baseline"/>
              </w:rPr>
            </w:pPr>
          </w:p>
        </w:tc>
      </w:tr>
      <w:tr w14:paraId="2CED51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tcPr>
          <w:p w14:paraId="4D03BEE6">
            <w:pPr>
              <w:spacing w:line="560" w:lineRule="exact"/>
              <w:jc w:val="both"/>
              <w:rPr>
                <w:rFonts w:hint="eastAsia" w:ascii="宋体" w:hAnsi="宋体"/>
                <w:b/>
                <w:bCs/>
                <w:position w:val="4"/>
                <w:sz w:val="32"/>
                <w:szCs w:val="32"/>
                <w:highlight w:val="none"/>
                <w:vertAlign w:val="baseline"/>
              </w:rPr>
            </w:pPr>
          </w:p>
        </w:tc>
        <w:tc>
          <w:tcPr>
            <w:tcW w:w="2910" w:type="dxa"/>
            <w:tcBorders>
              <w:tl2br w:val="nil"/>
              <w:tr2bl w:val="nil"/>
            </w:tcBorders>
          </w:tcPr>
          <w:p w14:paraId="37E68908">
            <w:pPr>
              <w:spacing w:line="560" w:lineRule="exact"/>
              <w:jc w:val="both"/>
              <w:rPr>
                <w:rFonts w:hint="eastAsia" w:ascii="宋体" w:hAnsi="宋体"/>
                <w:b/>
                <w:bCs/>
                <w:position w:val="4"/>
                <w:sz w:val="32"/>
                <w:szCs w:val="32"/>
                <w:highlight w:val="none"/>
                <w:vertAlign w:val="baseline"/>
              </w:rPr>
            </w:pPr>
          </w:p>
        </w:tc>
        <w:tc>
          <w:tcPr>
            <w:tcW w:w="2625" w:type="dxa"/>
            <w:tcBorders>
              <w:tl2br w:val="nil"/>
              <w:tr2bl w:val="nil"/>
            </w:tcBorders>
          </w:tcPr>
          <w:p w14:paraId="3DA65403">
            <w:pPr>
              <w:spacing w:line="560" w:lineRule="exact"/>
              <w:jc w:val="both"/>
              <w:rPr>
                <w:rFonts w:hint="eastAsia" w:ascii="宋体" w:hAnsi="宋体"/>
                <w:b/>
                <w:bCs/>
                <w:position w:val="4"/>
                <w:sz w:val="32"/>
                <w:szCs w:val="32"/>
                <w:highlight w:val="none"/>
                <w:vertAlign w:val="baseline"/>
              </w:rPr>
            </w:pPr>
          </w:p>
        </w:tc>
        <w:tc>
          <w:tcPr>
            <w:tcW w:w="1590" w:type="dxa"/>
            <w:tcBorders>
              <w:tl2br w:val="nil"/>
              <w:tr2bl w:val="nil"/>
            </w:tcBorders>
          </w:tcPr>
          <w:p w14:paraId="3EFC64D9">
            <w:pPr>
              <w:spacing w:line="560" w:lineRule="exact"/>
              <w:jc w:val="both"/>
              <w:rPr>
                <w:rFonts w:hint="eastAsia" w:ascii="宋体" w:hAnsi="宋体"/>
                <w:b/>
                <w:bCs/>
                <w:position w:val="4"/>
                <w:sz w:val="32"/>
                <w:szCs w:val="32"/>
                <w:highlight w:val="none"/>
                <w:vertAlign w:val="baseline"/>
              </w:rPr>
            </w:pPr>
          </w:p>
        </w:tc>
        <w:tc>
          <w:tcPr>
            <w:tcW w:w="1245" w:type="dxa"/>
            <w:tcBorders>
              <w:tl2br w:val="nil"/>
              <w:tr2bl w:val="nil"/>
            </w:tcBorders>
          </w:tcPr>
          <w:p w14:paraId="76EB3EF6">
            <w:pPr>
              <w:spacing w:line="560" w:lineRule="exact"/>
              <w:jc w:val="both"/>
              <w:rPr>
                <w:rFonts w:hint="eastAsia" w:ascii="宋体" w:hAnsi="宋体"/>
                <w:b/>
                <w:bCs/>
                <w:position w:val="4"/>
                <w:sz w:val="32"/>
                <w:szCs w:val="32"/>
                <w:highlight w:val="none"/>
                <w:vertAlign w:val="baseline"/>
              </w:rPr>
            </w:pPr>
          </w:p>
        </w:tc>
      </w:tr>
      <w:tr w14:paraId="400F6B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tcPr>
          <w:p w14:paraId="6402750B">
            <w:pPr>
              <w:spacing w:line="560" w:lineRule="exact"/>
              <w:jc w:val="both"/>
              <w:rPr>
                <w:rFonts w:hint="eastAsia" w:ascii="宋体" w:hAnsi="宋体"/>
                <w:b/>
                <w:bCs/>
                <w:position w:val="4"/>
                <w:sz w:val="32"/>
                <w:szCs w:val="32"/>
                <w:highlight w:val="none"/>
                <w:vertAlign w:val="baseline"/>
              </w:rPr>
            </w:pPr>
          </w:p>
        </w:tc>
        <w:tc>
          <w:tcPr>
            <w:tcW w:w="2910" w:type="dxa"/>
            <w:tcBorders>
              <w:tl2br w:val="nil"/>
              <w:tr2bl w:val="nil"/>
            </w:tcBorders>
          </w:tcPr>
          <w:p w14:paraId="018AB639">
            <w:pPr>
              <w:spacing w:line="560" w:lineRule="exact"/>
              <w:jc w:val="both"/>
              <w:rPr>
                <w:rFonts w:hint="eastAsia" w:ascii="宋体" w:hAnsi="宋体"/>
                <w:b/>
                <w:bCs/>
                <w:position w:val="4"/>
                <w:sz w:val="32"/>
                <w:szCs w:val="32"/>
                <w:highlight w:val="none"/>
                <w:vertAlign w:val="baseline"/>
              </w:rPr>
            </w:pPr>
          </w:p>
        </w:tc>
        <w:tc>
          <w:tcPr>
            <w:tcW w:w="2625" w:type="dxa"/>
            <w:tcBorders>
              <w:tl2br w:val="nil"/>
              <w:tr2bl w:val="nil"/>
            </w:tcBorders>
          </w:tcPr>
          <w:p w14:paraId="2B71C23A">
            <w:pPr>
              <w:spacing w:line="560" w:lineRule="exact"/>
              <w:jc w:val="both"/>
              <w:rPr>
                <w:rFonts w:hint="eastAsia" w:ascii="宋体" w:hAnsi="宋体"/>
                <w:b/>
                <w:bCs/>
                <w:position w:val="4"/>
                <w:sz w:val="32"/>
                <w:szCs w:val="32"/>
                <w:highlight w:val="none"/>
                <w:vertAlign w:val="baseline"/>
              </w:rPr>
            </w:pPr>
          </w:p>
        </w:tc>
        <w:tc>
          <w:tcPr>
            <w:tcW w:w="1590" w:type="dxa"/>
            <w:tcBorders>
              <w:tl2br w:val="nil"/>
              <w:tr2bl w:val="nil"/>
            </w:tcBorders>
          </w:tcPr>
          <w:p w14:paraId="3098EDAC">
            <w:pPr>
              <w:spacing w:line="560" w:lineRule="exact"/>
              <w:jc w:val="both"/>
              <w:rPr>
                <w:rFonts w:hint="eastAsia" w:ascii="宋体" w:hAnsi="宋体"/>
                <w:b/>
                <w:bCs/>
                <w:position w:val="4"/>
                <w:sz w:val="32"/>
                <w:szCs w:val="32"/>
                <w:highlight w:val="none"/>
                <w:vertAlign w:val="baseline"/>
              </w:rPr>
            </w:pPr>
          </w:p>
        </w:tc>
        <w:tc>
          <w:tcPr>
            <w:tcW w:w="1245" w:type="dxa"/>
            <w:tcBorders>
              <w:tl2br w:val="nil"/>
              <w:tr2bl w:val="nil"/>
            </w:tcBorders>
          </w:tcPr>
          <w:p w14:paraId="4150F26E">
            <w:pPr>
              <w:spacing w:line="560" w:lineRule="exact"/>
              <w:jc w:val="both"/>
              <w:rPr>
                <w:rFonts w:hint="eastAsia" w:ascii="宋体" w:hAnsi="宋体"/>
                <w:b/>
                <w:bCs/>
                <w:position w:val="4"/>
                <w:sz w:val="32"/>
                <w:szCs w:val="32"/>
                <w:highlight w:val="none"/>
                <w:vertAlign w:val="baseline"/>
              </w:rPr>
            </w:pPr>
          </w:p>
        </w:tc>
      </w:tr>
    </w:tbl>
    <w:p w14:paraId="5B85F9B8">
      <w:pPr>
        <w:pageBreakBefore w:val="0"/>
        <w:topLinePunct w:val="0"/>
        <w:bidi w:val="0"/>
        <w:spacing w:line="500" w:lineRule="exact"/>
        <w:ind w:left="0" w:leftChars="0" w:right="0" w:rightChars="0" w:firstLine="480" w:firstLineChars="200"/>
        <w:rPr>
          <w:rFonts w:hint="eastAsia"/>
          <w:color w:val="auto"/>
          <w:sz w:val="24"/>
          <w:szCs w:val="24"/>
          <w:lang w:val="en-US" w:eastAsia="zh-CN"/>
        </w:rPr>
      </w:pPr>
      <w:r>
        <w:rPr>
          <w:rFonts w:hint="eastAsia"/>
          <w:color w:val="auto"/>
          <w:sz w:val="24"/>
          <w:szCs w:val="24"/>
          <w:lang w:val="en-US" w:eastAsia="zh-CN"/>
        </w:rPr>
        <w:t>注：1、根据第四章商务要求逐条响应，如对本项目商务条款有偏离的，请按上表所列内容依次填写；若未填视为其所有商务条款均完全响应“招标文件”中的要求；</w:t>
      </w:r>
      <w:r>
        <w:rPr>
          <w:rFonts w:hint="eastAsia"/>
          <w:color w:val="auto"/>
          <w:sz w:val="24"/>
          <w:szCs w:val="24"/>
        </w:rPr>
        <w:t>响应说明填写：优于、相同、低于</w:t>
      </w:r>
      <w:r>
        <w:rPr>
          <w:rFonts w:hint="eastAsia"/>
          <w:color w:val="auto"/>
          <w:sz w:val="24"/>
          <w:szCs w:val="24"/>
          <w:lang w:val="en-US" w:eastAsia="zh-CN"/>
        </w:rPr>
        <w:t>。</w:t>
      </w:r>
    </w:p>
    <w:p w14:paraId="338DA7AF">
      <w:pPr>
        <w:pageBreakBefore w:val="0"/>
        <w:topLinePunct w:val="0"/>
        <w:bidi w:val="0"/>
        <w:spacing w:line="500" w:lineRule="exact"/>
        <w:ind w:left="0" w:leftChars="0" w:right="0" w:rightChars="0" w:firstLine="480" w:firstLineChars="200"/>
        <w:rPr>
          <w:rFonts w:hint="eastAsia"/>
          <w:color w:val="auto"/>
          <w:sz w:val="24"/>
          <w:szCs w:val="24"/>
          <w:lang w:val="en-US" w:eastAsia="zh-CN"/>
        </w:rPr>
      </w:pPr>
      <w:r>
        <w:rPr>
          <w:rFonts w:hint="eastAsia"/>
          <w:color w:val="auto"/>
          <w:sz w:val="24"/>
          <w:szCs w:val="24"/>
          <w:lang w:val="en-US" w:eastAsia="zh-CN"/>
        </w:rPr>
        <w:t>投标人必须据实填写，不得虚假响应，否则将取消其投标或中标资格，并按有关规定进行处罚。</w:t>
      </w:r>
    </w:p>
    <w:p w14:paraId="0B29AD88">
      <w:pPr>
        <w:numPr>
          <w:ilvl w:val="0"/>
          <w:numId w:val="0"/>
        </w:numPr>
        <w:spacing w:line="440" w:lineRule="exact"/>
        <w:rPr>
          <w:rFonts w:hint="eastAsia"/>
          <w:szCs w:val="21"/>
          <w:highlight w:val="none"/>
        </w:rPr>
      </w:pPr>
    </w:p>
    <w:p w14:paraId="72B44526">
      <w:pPr>
        <w:numPr>
          <w:ilvl w:val="0"/>
          <w:numId w:val="0"/>
        </w:numPr>
        <w:spacing w:line="440" w:lineRule="exact"/>
        <w:rPr>
          <w:rFonts w:hint="eastAsia"/>
          <w:szCs w:val="21"/>
          <w:highlight w:val="none"/>
        </w:rPr>
      </w:pPr>
    </w:p>
    <w:p w14:paraId="2CC43C59">
      <w:pPr>
        <w:pStyle w:val="60"/>
        <w:keepNext w:val="0"/>
        <w:keepLines w:val="0"/>
        <w:pageBreakBefore w:val="0"/>
        <w:kinsoku/>
        <w:wordWrap/>
        <w:overflowPunct/>
        <w:topLinePunct w:val="0"/>
        <w:autoSpaceDE/>
        <w:autoSpaceDN/>
        <w:bidi w:val="0"/>
        <w:adjustRightInd/>
        <w:snapToGrid/>
        <w:spacing w:line="500" w:lineRule="exact"/>
        <w:ind w:left="0" w:leftChars="0" w:right="0" w:rightChars="0" w:firstLine="0" w:firstLineChars="0"/>
        <w:jc w:val="left"/>
        <w:textAlignment w:val="auto"/>
        <w:rPr>
          <w:rFonts w:hint="eastAsia" w:ascii="新宋体" w:hAnsi="新宋体"/>
          <w:b w:val="0"/>
          <w:color w:val="auto"/>
          <w:sz w:val="24"/>
          <w:szCs w:val="24"/>
          <w:highlight w:val="none"/>
        </w:rPr>
      </w:pPr>
      <w:r>
        <w:rPr>
          <w:rFonts w:hint="eastAsia" w:ascii="新宋体" w:hAnsi="新宋体"/>
          <w:b w:val="0"/>
          <w:color w:val="auto"/>
          <w:sz w:val="21"/>
          <w:szCs w:val="21"/>
          <w:highlight w:val="none"/>
          <w:lang w:val="en-US" w:eastAsia="zh-CN"/>
        </w:rPr>
        <w:t xml:space="preserve">                                            </w:t>
      </w:r>
      <w:r>
        <w:rPr>
          <w:rFonts w:hint="eastAsia" w:ascii="新宋体" w:hAnsi="新宋体"/>
          <w:b w:val="0"/>
          <w:color w:val="auto"/>
          <w:sz w:val="24"/>
          <w:szCs w:val="24"/>
          <w:highlight w:val="none"/>
        </w:rPr>
        <w:t>投标人：</w:t>
      </w:r>
      <w:r>
        <w:rPr>
          <w:rFonts w:ascii="新宋体" w:hAnsi="新宋体"/>
          <w:b w:val="0"/>
          <w:color w:val="auto"/>
          <w:sz w:val="24"/>
          <w:szCs w:val="24"/>
          <w:highlight w:val="none"/>
          <w:u w:val="single"/>
        </w:rPr>
        <w:t xml:space="preserve">             </w:t>
      </w:r>
      <w:r>
        <w:rPr>
          <w:rFonts w:hint="eastAsia" w:ascii="新宋体" w:hAnsi="新宋体"/>
          <w:b w:val="0"/>
          <w:color w:val="auto"/>
          <w:sz w:val="24"/>
          <w:szCs w:val="24"/>
          <w:highlight w:val="none"/>
          <w:u w:val="single"/>
        </w:rPr>
        <w:t xml:space="preserve">  （单位全称、盖章）   </w:t>
      </w:r>
    </w:p>
    <w:p w14:paraId="2D803CE2">
      <w:pPr>
        <w:pStyle w:val="60"/>
        <w:keepNext w:val="0"/>
        <w:keepLines w:val="0"/>
        <w:pageBreakBefore w:val="0"/>
        <w:kinsoku/>
        <w:wordWrap/>
        <w:overflowPunct/>
        <w:topLinePunct w:val="0"/>
        <w:autoSpaceDE/>
        <w:autoSpaceDN/>
        <w:bidi w:val="0"/>
        <w:adjustRightInd/>
        <w:snapToGrid/>
        <w:spacing w:line="500" w:lineRule="exact"/>
        <w:ind w:left="0" w:leftChars="0" w:right="0" w:rightChars="0" w:firstLine="0" w:firstLineChars="0"/>
        <w:jc w:val="left"/>
        <w:textAlignment w:val="auto"/>
        <w:rPr>
          <w:rFonts w:hint="eastAsia" w:ascii="新宋体" w:hAnsi="新宋体"/>
          <w:b w:val="0"/>
          <w:color w:val="auto"/>
          <w:sz w:val="24"/>
          <w:szCs w:val="24"/>
          <w:highlight w:val="none"/>
        </w:rPr>
      </w:pPr>
      <w:r>
        <w:rPr>
          <w:rFonts w:hint="eastAsia" w:ascii="新宋体" w:hAnsi="新宋体"/>
          <w:b w:val="0"/>
          <w:color w:val="auto"/>
          <w:sz w:val="24"/>
          <w:szCs w:val="24"/>
          <w:highlight w:val="none"/>
          <w:lang w:val="en-US" w:eastAsia="zh-CN"/>
        </w:rPr>
        <w:t xml:space="preserve">                                       </w:t>
      </w:r>
      <w:r>
        <w:rPr>
          <w:rFonts w:hint="eastAsia" w:ascii="新宋体" w:hAnsi="新宋体"/>
          <w:b w:val="0"/>
          <w:color w:val="auto"/>
          <w:sz w:val="24"/>
          <w:szCs w:val="24"/>
          <w:highlight w:val="none"/>
        </w:rPr>
        <w:t>法定代表人或授权代表：</w:t>
      </w:r>
      <w:r>
        <w:rPr>
          <w:rFonts w:hint="eastAsia" w:ascii="新宋体" w:hAnsi="新宋体"/>
          <w:b w:val="0"/>
          <w:color w:val="auto"/>
          <w:sz w:val="24"/>
          <w:szCs w:val="24"/>
          <w:highlight w:val="none"/>
          <w:u w:val="single"/>
        </w:rPr>
        <w:t xml:space="preserve">     （</w:t>
      </w:r>
      <w:r>
        <w:rPr>
          <w:rFonts w:hint="eastAsia" w:ascii="新宋体" w:hAnsi="新宋体"/>
          <w:b w:val="0"/>
          <w:color w:val="auto"/>
          <w:sz w:val="24"/>
          <w:szCs w:val="24"/>
          <w:highlight w:val="none"/>
          <w:u w:val="single"/>
          <w:lang w:eastAsia="zh-CN"/>
        </w:rPr>
        <w:t>盖章或签字</w:t>
      </w:r>
      <w:r>
        <w:rPr>
          <w:rFonts w:hint="eastAsia" w:ascii="新宋体" w:hAnsi="新宋体"/>
          <w:b w:val="0"/>
          <w:color w:val="auto"/>
          <w:sz w:val="24"/>
          <w:szCs w:val="24"/>
          <w:highlight w:val="none"/>
          <w:u w:val="single"/>
        </w:rPr>
        <w:t xml:space="preserve">）    </w:t>
      </w:r>
    </w:p>
    <w:p w14:paraId="49A112A2">
      <w:pPr>
        <w:spacing w:line="440" w:lineRule="exact"/>
        <w:rPr>
          <w:rFonts w:hint="eastAsia"/>
          <w:sz w:val="24"/>
          <w:szCs w:val="24"/>
          <w:highlight w:val="none"/>
        </w:rPr>
      </w:pPr>
      <w:r>
        <w:rPr>
          <w:rFonts w:hint="eastAsia" w:ascii="新宋体" w:hAnsi="新宋体"/>
          <w:b w:val="0"/>
          <w:color w:val="auto"/>
          <w:sz w:val="24"/>
          <w:szCs w:val="24"/>
          <w:highlight w:val="none"/>
          <w:lang w:val="en-US" w:eastAsia="zh-CN"/>
        </w:rPr>
        <w:t xml:space="preserve">                                       </w:t>
      </w:r>
      <w:r>
        <w:rPr>
          <w:rFonts w:hint="eastAsia" w:ascii="新宋体" w:hAnsi="新宋体"/>
          <w:b w:val="0"/>
          <w:color w:val="auto"/>
          <w:sz w:val="24"/>
          <w:szCs w:val="24"/>
          <w:highlight w:val="none"/>
        </w:rPr>
        <w:t>投标日期：</w:t>
      </w:r>
      <w:r>
        <w:rPr>
          <w:rFonts w:hint="eastAsia" w:ascii="新宋体" w:hAnsi="新宋体"/>
          <w:b w:val="0"/>
          <w:color w:val="auto"/>
          <w:sz w:val="24"/>
          <w:szCs w:val="24"/>
          <w:highlight w:val="none"/>
          <w:u w:val="single"/>
        </w:rPr>
        <w:t xml:space="preserve">        </w:t>
      </w:r>
      <w:r>
        <w:rPr>
          <w:rFonts w:hint="eastAsia" w:ascii="新宋体" w:hAnsi="新宋体"/>
          <w:b w:val="0"/>
          <w:color w:val="auto"/>
          <w:sz w:val="24"/>
          <w:szCs w:val="24"/>
          <w:highlight w:val="none"/>
        </w:rPr>
        <w:t>年</w:t>
      </w:r>
      <w:r>
        <w:rPr>
          <w:rFonts w:hint="eastAsia" w:ascii="新宋体" w:hAnsi="新宋体"/>
          <w:b w:val="0"/>
          <w:color w:val="auto"/>
          <w:sz w:val="24"/>
          <w:szCs w:val="24"/>
          <w:highlight w:val="none"/>
          <w:u w:val="single"/>
        </w:rPr>
        <w:t xml:space="preserve">    </w:t>
      </w:r>
      <w:r>
        <w:rPr>
          <w:rFonts w:hint="eastAsia" w:ascii="新宋体" w:hAnsi="新宋体"/>
          <w:b w:val="0"/>
          <w:color w:val="auto"/>
          <w:sz w:val="24"/>
          <w:szCs w:val="24"/>
          <w:highlight w:val="none"/>
        </w:rPr>
        <w:t>月</w:t>
      </w:r>
      <w:r>
        <w:rPr>
          <w:rFonts w:hint="eastAsia" w:ascii="新宋体" w:hAnsi="新宋体"/>
          <w:b w:val="0"/>
          <w:color w:val="auto"/>
          <w:sz w:val="24"/>
          <w:szCs w:val="24"/>
          <w:highlight w:val="none"/>
          <w:u w:val="single"/>
        </w:rPr>
        <w:t xml:space="preserve">    </w:t>
      </w:r>
      <w:r>
        <w:rPr>
          <w:rFonts w:hint="eastAsia" w:ascii="新宋体" w:hAnsi="新宋体"/>
          <w:b w:val="0"/>
          <w:color w:val="auto"/>
          <w:sz w:val="24"/>
          <w:szCs w:val="24"/>
          <w:highlight w:val="none"/>
        </w:rPr>
        <w:t>日</w:t>
      </w:r>
    </w:p>
    <w:p w14:paraId="3A0B50F0">
      <w:pPr>
        <w:pStyle w:val="4"/>
        <w:pageBreakBefore w:val="0"/>
        <w:tabs>
          <w:tab w:val="left" w:pos="1603"/>
        </w:tabs>
        <w:topLinePunct w:val="0"/>
        <w:bidi w:val="0"/>
        <w:spacing w:before="0" w:line="500" w:lineRule="exact"/>
        <w:ind w:left="0" w:leftChars="0" w:right="0" w:rightChars="0" w:firstLine="2891" w:firstLineChars="900"/>
        <w:jc w:val="both"/>
        <w:rPr>
          <w:color w:val="auto"/>
        </w:rPr>
      </w:pPr>
    </w:p>
    <w:p w14:paraId="1829C8AC">
      <w:pPr>
        <w:pStyle w:val="4"/>
        <w:pageBreakBefore w:val="0"/>
        <w:tabs>
          <w:tab w:val="left" w:pos="1603"/>
        </w:tabs>
        <w:topLinePunct w:val="0"/>
        <w:bidi w:val="0"/>
        <w:spacing w:before="0" w:line="500" w:lineRule="exact"/>
        <w:ind w:left="0" w:leftChars="0" w:right="0" w:rightChars="0" w:firstLine="2891" w:firstLineChars="900"/>
        <w:jc w:val="both"/>
        <w:rPr>
          <w:color w:val="auto"/>
        </w:rPr>
      </w:pPr>
    </w:p>
    <w:p w14:paraId="5A497CC8">
      <w:pPr>
        <w:pStyle w:val="4"/>
        <w:pageBreakBefore w:val="0"/>
        <w:tabs>
          <w:tab w:val="left" w:pos="1603"/>
        </w:tabs>
        <w:topLinePunct w:val="0"/>
        <w:bidi w:val="0"/>
        <w:spacing w:before="0" w:line="500" w:lineRule="exact"/>
        <w:ind w:left="0" w:leftChars="0" w:right="0" w:rightChars="0" w:firstLine="2891" w:firstLineChars="900"/>
        <w:jc w:val="both"/>
        <w:rPr>
          <w:color w:val="auto"/>
        </w:rPr>
      </w:pPr>
    </w:p>
    <w:p w14:paraId="5E32023A">
      <w:pPr>
        <w:pStyle w:val="4"/>
        <w:pageBreakBefore w:val="0"/>
        <w:tabs>
          <w:tab w:val="left" w:pos="1603"/>
        </w:tabs>
        <w:topLinePunct w:val="0"/>
        <w:bidi w:val="0"/>
        <w:spacing w:before="0" w:line="500" w:lineRule="exact"/>
        <w:ind w:left="0" w:leftChars="0" w:right="0" w:rightChars="0" w:firstLine="2891" w:firstLineChars="900"/>
        <w:jc w:val="both"/>
        <w:rPr>
          <w:color w:val="auto"/>
        </w:rPr>
      </w:pPr>
    </w:p>
    <w:p w14:paraId="36019CDB">
      <w:pPr>
        <w:pStyle w:val="4"/>
        <w:pageBreakBefore w:val="0"/>
        <w:tabs>
          <w:tab w:val="left" w:pos="1603"/>
        </w:tabs>
        <w:topLinePunct w:val="0"/>
        <w:bidi w:val="0"/>
        <w:spacing w:before="0" w:line="500" w:lineRule="exact"/>
        <w:ind w:left="0" w:leftChars="0" w:right="0" w:rightChars="0" w:firstLine="2891" w:firstLineChars="900"/>
        <w:jc w:val="both"/>
        <w:rPr>
          <w:color w:val="auto"/>
        </w:rPr>
      </w:pPr>
    </w:p>
    <w:p w14:paraId="32F1F46B">
      <w:pPr>
        <w:pStyle w:val="4"/>
        <w:pageBreakBefore w:val="0"/>
        <w:tabs>
          <w:tab w:val="left" w:pos="1603"/>
        </w:tabs>
        <w:topLinePunct w:val="0"/>
        <w:bidi w:val="0"/>
        <w:spacing w:before="0" w:line="500" w:lineRule="exact"/>
        <w:ind w:left="0" w:leftChars="0" w:right="0" w:rightChars="0" w:firstLine="2891" w:firstLineChars="900"/>
        <w:jc w:val="both"/>
        <w:rPr>
          <w:color w:val="auto"/>
        </w:rPr>
      </w:pPr>
    </w:p>
    <w:p w14:paraId="641B1FCA">
      <w:pPr>
        <w:pStyle w:val="4"/>
        <w:pageBreakBefore w:val="0"/>
        <w:tabs>
          <w:tab w:val="left" w:pos="1603"/>
        </w:tabs>
        <w:topLinePunct w:val="0"/>
        <w:bidi w:val="0"/>
        <w:spacing w:before="0" w:line="500" w:lineRule="exact"/>
        <w:ind w:right="0" w:rightChars="0"/>
        <w:jc w:val="both"/>
        <w:rPr>
          <w:color w:val="auto"/>
        </w:rPr>
      </w:pPr>
    </w:p>
    <w:p w14:paraId="0A53877D">
      <w:pPr>
        <w:pStyle w:val="4"/>
        <w:pageBreakBefore w:val="0"/>
        <w:tabs>
          <w:tab w:val="left" w:pos="1603"/>
        </w:tabs>
        <w:topLinePunct w:val="0"/>
        <w:bidi w:val="0"/>
        <w:spacing w:before="0" w:line="500" w:lineRule="exact"/>
        <w:ind w:left="0" w:leftChars="0" w:right="0" w:rightChars="0" w:firstLine="2891" w:firstLineChars="900"/>
        <w:jc w:val="both"/>
        <w:rPr>
          <w:color w:val="auto"/>
        </w:rPr>
      </w:pPr>
      <w:r>
        <w:rPr>
          <w:color w:val="auto"/>
        </w:rPr>
        <w:t>第三部分</w:t>
      </w:r>
      <w:r>
        <w:rPr>
          <w:color w:val="auto"/>
        </w:rPr>
        <w:tab/>
      </w:r>
      <w:r>
        <w:rPr>
          <w:color w:val="auto"/>
          <w:w w:val="95"/>
        </w:rPr>
        <w:t>投标方案</w:t>
      </w:r>
    </w:p>
    <w:p w14:paraId="17E97546">
      <w:pPr>
        <w:pStyle w:val="12"/>
        <w:pageBreakBefore w:val="0"/>
        <w:topLinePunct w:val="0"/>
        <w:bidi w:val="0"/>
        <w:spacing w:line="500" w:lineRule="exact"/>
        <w:ind w:left="0" w:leftChars="0" w:right="0" w:rightChars="0" w:firstLine="582" w:firstLineChars="200"/>
        <w:rPr>
          <w:b/>
          <w:color w:val="auto"/>
          <w:sz w:val="29"/>
        </w:rPr>
      </w:pPr>
    </w:p>
    <w:p w14:paraId="3F223A0A">
      <w:pPr>
        <w:pageBreakBefore w:val="0"/>
        <w:numPr>
          <w:ilvl w:val="0"/>
          <w:numId w:val="14"/>
        </w:numPr>
        <w:topLinePunct w:val="0"/>
        <w:bidi w:val="0"/>
        <w:spacing w:line="500" w:lineRule="exact"/>
        <w:ind w:left="0" w:leftChars="0" w:right="0" w:rightChars="0" w:firstLine="560" w:firstLineChars="200"/>
        <w:rPr>
          <w:color w:val="auto"/>
          <w:sz w:val="28"/>
          <w:szCs w:val="28"/>
          <w:lang w:val="en-US"/>
        </w:rPr>
      </w:pPr>
      <w:r>
        <w:rPr>
          <w:rFonts w:hint="eastAsia"/>
          <w:color w:val="auto"/>
          <w:sz w:val="28"/>
          <w:szCs w:val="28"/>
          <w:lang w:val="en-US" w:eastAsia="zh-CN"/>
        </w:rPr>
        <w:t>合同包一至合同包三：投标供应商</w:t>
      </w:r>
      <w:r>
        <w:rPr>
          <w:rFonts w:hint="eastAsia"/>
          <w:color w:val="auto"/>
          <w:sz w:val="28"/>
          <w:szCs w:val="28"/>
          <w:lang w:val="en-US"/>
        </w:rPr>
        <w:t>针对本项目</w:t>
      </w:r>
      <w:r>
        <w:rPr>
          <w:rFonts w:hint="eastAsia"/>
          <w:color w:val="auto"/>
          <w:sz w:val="28"/>
          <w:szCs w:val="28"/>
          <w:lang w:val="en-US" w:eastAsia="zh-CN"/>
        </w:rPr>
        <w:t>所投合同包</w:t>
      </w:r>
      <w:r>
        <w:rPr>
          <w:rFonts w:hint="eastAsia"/>
          <w:color w:val="auto"/>
          <w:sz w:val="28"/>
          <w:szCs w:val="28"/>
          <w:lang w:val="en-US"/>
        </w:rPr>
        <w:t>的技术方案</w:t>
      </w:r>
      <w:r>
        <w:rPr>
          <w:rFonts w:hint="eastAsia"/>
          <w:color w:val="auto"/>
          <w:sz w:val="28"/>
          <w:szCs w:val="28"/>
          <w:lang w:val="en-US" w:eastAsia="zh-CN"/>
        </w:rPr>
        <w:t>、质量及安全控制措施</w:t>
      </w:r>
      <w:r>
        <w:rPr>
          <w:rFonts w:hint="eastAsia"/>
          <w:color w:val="auto"/>
          <w:sz w:val="28"/>
          <w:szCs w:val="28"/>
          <w:lang w:val="en-US"/>
        </w:rPr>
        <w:t>、</w:t>
      </w:r>
      <w:r>
        <w:rPr>
          <w:rFonts w:hint="eastAsia"/>
          <w:color w:val="auto"/>
          <w:sz w:val="28"/>
          <w:szCs w:val="28"/>
          <w:lang w:val="en-US" w:eastAsia="zh-CN"/>
        </w:rPr>
        <w:t>业绩、售后服务等予以</w:t>
      </w:r>
      <w:r>
        <w:rPr>
          <w:rFonts w:hint="eastAsia"/>
          <w:color w:val="auto"/>
          <w:sz w:val="28"/>
          <w:szCs w:val="28"/>
          <w:lang w:val="en-US"/>
        </w:rPr>
        <w:t>说明</w:t>
      </w:r>
      <w:r>
        <w:rPr>
          <w:rFonts w:hint="eastAsia"/>
          <w:color w:val="auto"/>
          <w:sz w:val="28"/>
          <w:szCs w:val="28"/>
          <w:lang w:val="en-US" w:eastAsia="zh-CN"/>
        </w:rPr>
        <w:t>；</w:t>
      </w:r>
    </w:p>
    <w:p w14:paraId="042F487F">
      <w:pPr>
        <w:pageBreakBefore w:val="0"/>
        <w:topLinePunct w:val="0"/>
        <w:bidi w:val="0"/>
        <w:spacing w:line="500" w:lineRule="exact"/>
        <w:ind w:left="0" w:leftChars="0" w:right="0" w:rightChars="0" w:firstLine="560" w:firstLineChars="200"/>
        <w:rPr>
          <w:color w:val="auto"/>
          <w:sz w:val="28"/>
          <w:szCs w:val="28"/>
          <w:lang w:val="en-US"/>
        </w:rPr>
      </w:pPr>
      <w:r>
        <w:rPr>
          <w:rFonts w:hint="eastAsia"/>
          <w:color w:val="auto"/>
          <w:sz w:val="28"/>
          <w:szCs w:val="28"/>
          <w:lang w:val="en-US"/>
        </w:rPr>
        <w:t>二、食品安全承诺书。</w:t>
      </w:r>
    </w:p>
    <w:p w14:paraId="62A1C010">
      <w:pPr>
        <w:pageBreakBefore w:val="0"/>
        <w:topLinePunct w:val="0"/>
        <w:bidi w:val="0"/>
        <w:spacing w:line="500" w:lineRule="exact"/>
        <w:ind w:left="0" w:leftChars="0" w:right="0" w:rightChars="0" w:firstLine="560" w:firstLineChars="200"/>
        <w:rPr>
          <w:color w:val="auto"/>
          <w:sz w:val="28"/>
          <w:szCs w:val="28"/>
          <w:lang w:val="en-US"/>
        </w:rPr>
      </w:pPr>
      <w:r>
        <w:rPr>
          <w:rFonts w:hint="eastAsia"/>
          <w:color w:val="auto"/>
          <w:sz w:val="28"/>
          <w:szCs w:val="28"/>
          <w:lang w:val="en-US" w:eastAsia="zh-CN"/>
        </w:rPr>
        <w:t>三</w:t>
      </w:r>
      <w:r>
        <w:rPr>
          <w:rFonts w:hint="eastAsia"/>
          <w:color w:val="auto"/>
          <w:sz w:val="28"/>
          <w:szCs w:val="28"/>
          <w:lang w:val="en-US"/>
        </w:rPr>
        <w:t>、</w:t>
      </w:r>
      <w:r>
        <w:rPr>
          <w:rFonts w:hint="eastAsia"/>
          <w:color w:val="auto"/>
          <w:sz w:val="28"/>
          <w:szCs w:val="28"/>
          <w:lang w:val="en-US" w:eastAsia="zh-CN"/>
        </w:rPr>
        <w:t>供应商</w:t>
      </w:r>
      <w:r>
        <w:rPr>
          <w:rFonts w:hint="eastAsia"/>
          <w:color w:val="auto"/>
          <w:sz w:val="28"/>
          <w:szCs w:val="28"/>
          <w:lang w:val="en-US"/>
        </w:rPr>
        <w:t>认为有必要说明的问题。</w:t>
      </w:r>
    </w:p>
    <w:p w14:paraId="2B2F0AB5">
      <w:pPr>
        <w:pageBreakBefore w:val="0"/>
        <w:topLinePunct w:val="0"/>
        <w:bidi w:val="0"/>
        <w:spacing w:line="500" w:lineRule="exact"/>
        <w:ind w:left="0" w:leftChars="0" w:right="0" w:rightChars="0" w:firstLine="562" w:firstLineChars="200"/>
        <w:rPr>
          <w:color w:val="auto"/>
          <w:sz w:val="28"/>
          <w:szCs w:val="28"/>
          <w:lang w:val="en-US"/>
        </w:rPr>
      </w:pPr>
      <w:r>
        <w:rPr>
          <w:rFonts w:hint="eastAsia"/>
          <w:b/>
          <w:bCs/>
          <w:color w:val="auto"/>
          <w:sz w:val="28"/>
          <w:szCs w:val="28"/>
          <w:lang w:val="en-US"/>
        </w:rPr>
        <w:t>（各</w:t>
      </w:r>
      <w:r>
        <w:rPr>
          <w:rFonts w:hint="eastAsia"/>
          <w:b/>
          <w:bCs/>
          <w:color w:val="auto"/>
          <w:sz w:val="28"/>
          <w:szCs w:val="28"/>
          <w:lang w:val="en-US" w:eastAsia="zh-CN"/>
        </w:rPr>
        <w:t>供应商</w:t>
      </w:r>
      <w:r>
        <w:rPr>
          <w:rFonts w:hint="eastAsia"/>
          <w:b/>
          <w:bCs/>
          <w:color w:val="auto"/>
          <w:sz w:val="28"/>
          <w:szCs w:val="28"/>
          <w:lang w:val="en-US"/>
        </w:rPr>
        <w:t>根据采购人采购内容及要求，并结合评审办法，可自主编写投  标方案说明，包含但不限于以上内容。）</w:t>
      </w:r>
    </w:p>
    <w:p w14:paraId="503422B0">
      <w:pPr>
        <w:pageBreakBefore w:val="0"/>
        <w:topLinePunct w:val="0"/>
        <w:bidi w:val="0"/>
        <w:spacing w:line="500" w:lineRule="exact"/>
        <w:ind w:left="0" w:leftChars="0" w:right="0" w:rightChars="0" w:firstLine="440" w:firstLineChars="200"/>
        <w:rPr>
          <w:color w:val="auto"/>
        </w:rPr>
        <w:sectPr>
          <w:headerReference r:id="rId17" w:type="default"/>
          <w:pgSz w:w="11910" w:h="16840"/>
          <w:pgMar w:top="1360" w:right="660" w:bottom="1200" w:left="1340" w:header="872" w:footer="1005" w:gutter="0"/>
          <w:pgNumType w:fmt="decimal"/>
          <w:cols w:space="720" w:num="1"/>
        </w:sectPr>
      </w:pPr>
    </w:p>
    <w:p w14:paraId="27E19552">
      <w:pPr>
        <w:pageBreakBefore w:val="0"/>
        <w:topLinePunct w:val="0"/>
        <w:bidi w:val="0"/>
        <w:spacing w:line="500" w:lineRule="exact"/>
        <w:ind w:left="0" w:leftChars="0" w:right="0" w:rightChars="0" w:firstLine="643" w:firstLineChars="200"/>
        <w:rPr>
          <w:b/>
          <w:color w:val="auto"/>
          <w:sz w:val="32"/>
          <w:szCs w:val="32"/>
        </w:rPr>
      </w:pPr>
    </w:p>
    <w:p w14:paraId="3FCF3709">
      <w:pPr>
        <w:pageBreakBefore w:val="0"/>
        <w:topLinePunct w:val="0"/>
        <w:bidi w:val="0"/>
        <w:spacing w:line="500" w:lineRule="exact"/>
        <w:ind w:left="0" w:leftChars="0" w:right="0" w:rightChars="0" w:firstLine="643" w:firstLineChars="200"/>
        <w:rPr>
          <w:b/>
          <w:color w:val="auto"/>
          <w:sz w:val="32"/>
          <w:szCs w:val="32"/>
        </w:rPr>
      </w:pPr>
    </w:p>
    <w:p w14:paraId="41242DA3">
      <w:pPr>
        <w:pageBreakBefore w:val="0"/>
        <w:topLinePunct w:val="0"/>
        <w:bidi w:val="0"/>
        <w:spacing w:line="500" w:lineRule="exact"/>
        <w:ind w:left="0" w:leftChars="0" w:right="0" w:rightChars="0" w:firstLine="643" w:firstLineChars="200"/>
        <w:rPr>
          <w:b/>
          <w:color w:val="auto"/>
          <w:sz w:val="32"/>
          <w:szCs w:val="32"/>
        </w:rPr>
      </w:pPr>
    </w:p>
    <w:p w14:paraId="4872211D">
      <w:pPr>
        <w:pageBreakBefore w:val="0"/>
        <w:topLinePunct w:val="0"/>
        <w:bidi w:val="0"/>
        <w:spacing w:line="500" w:lineRule="exact"/>
        <w:ind w:left="0" w:leftChars="0" w:right="0" w:rightChars="0" w:firstLine="643" w:firstLineChars="200"/>
        <w:rPr>
          <w:b/>
          <w:color w:val="auto"/>
          <w:sz w:val="32"/>
          <w:szCs w:val="32"/>
        </w:rPr>
      </w:pPr>
    </w:p>
    <w:p w14:paraId="1DBD23C9">
      <w:pPr>
        <w:pageBreakBefore w:val="0"/>
        <w:topLinePunct w:val="0"/>
        <w:bidi w:val="0"/>
        <w:spacing w:line="500" w:lineRule="exact"/>
        <w:ind w:left="0" w:leftChars="0" w:right="0" w:rightChars="0" w:firstLine="643" w:firstLineChars="200"/>
        <w:rPr>
          <w:b/>
          <w:color w:val="auto"/>
          <w:sz w:val="32"/>
          <w:szCs w:val="32"/>
        </w:rPr>
      </w:pPr>
    </w:p>
    <w:p w14:paraId="665CF8D1">
      <w:pPr>
        <w:pageBreakBefore w:val="0"/>
        <w:topLinePunct w:val="0"/>
        <w:bidi w:val="0"/>
        <w:spacing w:line="500" w:lineRule="exact"/>
        <w:ind w:left="0" w:leftChars="0" w:right="0" w:rightChars="0" w:firstLine="643" w:firstLineChars="200"/>
        <w:rPr>
          <w:b/>
          <w:color w:val="auto"/>
          <w:sz w:val="32"/>
          <w:szCs w:val="32"/>
        </w:rPr>
      </w:pPr>
    </w:p>
    <w:p w14:paraId="421369F9">
      <w:pPr>
        <w:pageBreakBefore w:val="0"/>
        <w:topLinePunct w:val="0"/>
        <w:bidi w:val="0"/>
        <w:spacing w:line="500" w:lineRule="exact"/>
        <w:ind w:left="0" w:leftChars="0" w:right="0" w:rightChars="0" w:firstLine="643" w:firstLineChars="200"/>
        <w:rPr>
          <w:b/>
          <w:color w:val="auto"/>
          <w:sz w:val="32"/>
          <w:szCs w:val="32"/>
        </w:rPr>
      </w:pPr>
    </w:p>
    <w:p w14:paraId="0FB842AD">
      <w:pPr>
        <w:pageBreakBefore w:val="0"/>
        <w:topLinePunct w:val="0"/>
        <w:bidi w:val="0"/>
        <w:spacing w:line="500" w:lineRule="exact"/>
        <w:ind w:left="0" w:leftChars="0" w:right="0" w:rightChars="0" w:firstLine="643" w:firstLineChars="200"/>
        <w:rPr>
          <w:b/>
          <w:color w:val="auto"/>
          <w:sz w:val="32"/>
          <w:szCs w:val="32"/>
        </w:rPr>
      </w:pPr>
    </w:p>
    <w:p w14:paraId="03179284">
      <w:pPr>
        <w:pageBreakBefore w:val="0"/>
        <w:topLinePunct w:val="0"/>
        <w:bidi w:val="0"/>
        <w:spacing w:line="500" w:lineRule="exact"/>
        <w:ind w:left="0" w:leftChars="0" w:right="0" w:rightChars="0" w:firstLine="643" w:firstLineChars="200"/>
        <w:rPr>
          <w:b/>
          <w:color w:val="auto"/>
          <w:sz w:val="32"/>
          <w:szCs w:val="32"/>
        </w:rPr>
      </w:pPr>
    </w:p>
    <w:p w14:paraId="7E33033E">
      <w:pPr>
        <w:pageBreakBefore w:val="0"/>
        <w:topLinePunct w:val="0"/>
        <w:bidi w:val="0"/>
        <w:spacing w:line="500" w:lineRule="exact"/>
        <w:ind w:left="0" w:leftChars="0" w:right="0" w:rightChars="0" w:firstLine="643" w:firstLineChars="200"/>
        <w:rPr>
          <w:b/>
          <w:color w:val="auto"/>
          <w:sz w:val="32"/>
          <w:szCs w:val="32"/>
        </w:rPr>
      </w:pPr>
    </w:p>
    <w:p w14:paraId="38699E3C">
      <w:pPr>
        <w:pageBreakBefore w:val="0"/>
        <w:topLinePunct w:val="0"/>
        <w:bidi w:val="0"/>
        <w:spacing w:line="500" w:lineRule="exact"/>
        <w:ind w:left="0" w:leftChars="0" w:right="0" w:rightChars="0" w:firstLine="643" w:firstLineChars="200"/>
        <w:rPr>
          <w:b/>
          <w:color w:val="auto"/>
          <w:sz w:val="32"/>
          <w:szCs w:val="32"/>
        </w:rPr>
      </w:pPr>
    </w:p>
    <w:p w14:paraId="0718F644">
      <w:pPr>
        <w:pageBreakBefore w:val="0"/>
        <w:topLinePunct w:val="0"/>
        <w:bidi w:val="0"/>
        <w:spacing w:line="500" w:lineRule="exact"/>
        <w:ind w:left="0" w:leftChars="0" w:right="0" w:rightChars="0" w:firstLine="643" w:firstLineChars="200"/>
        <w:rPr>
          <w:b/>
          <w:color w:val="auto"/>
          <w:sz w:val="32"/>
          <w:szCs w:val="32"/>
        </w:rPr>
      </w:pPr>
    </w:p>
    <w:p w14:paraId="24820203">
      <w:pPr>
        <w:pageBreakBefore w:val="0"/>
        <w:topLinePunct w:val="0"/>
        <w:bidi w:val="0"/>
        <w:spacing w:line="500" w:lineRule="exact"/>
        <w:ind w:left="0" w:leftChars="0" w:right="0" w:rightChars="0" w:firstLine="643" w:firstLineChars="200"/>
        <w:rPr>
          <w:b/>
          <w:color w:val="auto"/>
          <w:sz w:val="32"/>
          <w:szCs w:val="32"/>
        </w:rPr>
      </w:pPr>
    </w:p>
    <w:p w14:paraId="6F23C8C8">
      <w:pPr>
        <w:pageBreakBefore w:val="0"/>
        <w:topLinePunct w:val="0"/>
        <w:bidi w:val="0"/>
        <w:spacing w:line="500" w:lineRule="exact"/>
        <w:ind w:left="0" w:leftChars="0" w:right="0" w:rightChars="0" w:firstLine="643" w:firstLineChars="200"/>
        <w:rPr>
          <w:b/>
          <w:color w:val="auto"/>
          <w:sz w:val="32"/>
          <w:szCs w:val="32"/>
        </w:rPr>
      </w:pPr>
    </w:p>
    <w:p w14:paraId="4101D0E7">
      <w:pPr>
        <w:pageBreakBefore w:val="0"/>
        <w:topLinePunct w:val="0"/>
        <w:bidi w:val="0"/>
        <w:spacing w:line="500" w:lineRule="exact"/>
        <w:ind w:left="0" w:leftChars="0" w:right="0" w:rightChars="0" w:firstLine="643" w:firstLineChars="200"/>
        <w:rPr>
          <w:b/>
          <w:color w:val="auto"/>
          <w:sz w:val="32"/>
          <w:szCs w:val="32"/>
        </w:rPr>
      </w:pPr>
    </w:p>
    <w:p w14:paraId="3E05B3F6">
      <w:pPr>
        <w:pageBreakBefore w:val="0"/>
        <w:topLinePunct w:val="0"/>
        <w:bidi w:val="0"/>
        <w:spacing w:line="500" w:lineRule="exact"/>
        <w:ind w:left="0" w:leftChars="0" w:right="0" w:rightChars="0" w:firstLine="643" w:firstLineChars="200"/>
        <w:rPr>
          <w:b/>
          <w:color w:val="auto"/>
          <w:sz w:val="32"/>
          <w:szCs w:val="32"/>
        </w:rPr>
      </w:pPr>
    </w:p>
    <w:p w14:paraId="5770949D">
      <w:pPr>
        <w:pageBreakBefore w:val="0"/>
        <w:topLinePunct w:val="0"/>
        <w:bidi w:val="0"/>
        <w:spacing w:line="500" w:lineRule="exact"/>
        <w:ind w:left="0" w:leftChars="0" w:right="0" w:rightChars="0" w:firstLine="643" w:firstLineChars="200"/>
        <w:rPr>
          <w:b/>
          <w:color w:val="auto"/>
          <w:sz w:val="32"/>
          <w:szCs w:val="32"/>
        </w:rPr>
      </w:pPr>
    </w:p>
    <w:p w14:paraId="754284C1">
      <w:pPr>
        <w:pageBreakBefore w:val="0"/>
        <w:topLinePunct w:val="0"/>
        <w:bidi w:val="0"/>
        <w:spacing w:line="500" w:lineRule="exact"/>
        <w:ind w:left="0" w:leftChars="0" w:right="0" w:rightChars="0" w:firstLine="643" w:firstLineChars="200"/>
        <w:rPr>
          <w:b/>
          <w:color w:val="auto"/>
          <w:sz w:val="32"/>
          <w:szCs w:val="32"/>
        </w:rPr>
      </w:pPr>
    </w:p>
    <w:p w14:paraId="6178BE35">
      <w:pPr>
        <w:pageBreakBefore w:val="0"/>
        <w:topLinePunct w:val="0"/>
        <w:bidi w:val="0"/>
        <w:spacing w:line="500" w:lineRule="exact"/>
        <w:ind w:left="0" w:leftChars="0" w:right="0" w:rightChars="0" w:firstLine="643" w:firstLineChars="200"/>
        <w:rPr>
          <w:b/>
          <w:color w:val="auto"/>
          <w:sz w:val="32"/>
          <w:szCs w:val="32"/>
        </w:rPr>
      </w:pPr>
    </w:p>
    <w:p w14:paraId="19914E91">
      <w:pPr>
        <w:pageBreakBefore w:val="0"/>
        <w:topLinePunct w:val="0"/>
        <w:bidi w:val="0"/>
        <w:spacing w:line="500" w:lineRule="exact"/>
        <w:ind w:left="0" w:leftChars="0" w:right="0" w:rightChars="0" w:firstLine="643" w:firstLineChars="200"/>
        <w:rPr>
          <w:b/>
          <w:color w:val="auto"/>
          <w:sz w:val="32"/>
          <w:szCs w:val="32"/>
        </w:rPr>
      </w:pPr>
    </w:p>
    <w:p w14:paraId="0ED01DD5">
      <w:pPr>
        <w:pageBreakBefore w:val="0"/>
        <w:topLinePunct w:val="0"/>
        <w:bidi w:val="0"/>
        <w:spacing w:line="500" w:lineRule="exact"/>
        <w:ind w:left="0" w:leftChars="0" w:right="0" w:rightChars="0" w:firstLine="482" w:firstLineChars="200"/>
        <w:rPr>
          <w:b/>
          <w:color w:val="auto"/>
          <w:sz w:val="24"/>
          <w:szCs w:val="24"/>
        </w:rPr>
      </w:pPr>
      <w:r>
        <w:rPr>
          <w:b/>
          <w:color w:val="auto"/>
          <w:sz w:val="24"/>
          <w:szCs w:val="24"/>
        </w:rPr>
        <w:t>附表 1</w:t>
      </w:r>
    </w:p>
    <w:p w14:paraId="63B20755">
      <w:pPr>
        <w:pageBreakBefore w:val="0"/>
        <w:topLinePunct w:val="0"/>
        <w:bidi w:val="0"/>
        <w:spacing w:line="500" w:lineRule="exact"/>
        <w:ind w:left="0" w:leftChars="0" w:right="0" w:rightChars="0" w:firstLine="643" w:firstLineChars="200"/>
        <w:jc w:val="center"/>
        <w:rPr>
          <w:b/>
          <w:color w:val="auto"/>
          <w:sz w:val="32"/>
          <w:szCs w:val="32"/>
        </w:rPr>
      </w:pPr>
      <w:r>
        <w:rPr>
          <w:rFonts w:hint="eastAsia"/>
          <w:b/>
          <w:color w:val="auto"/>
          <w:sz w:val="32"/>
          <w:szCs w:val="32"/>
          <w:lang w:val="en-US" w:eastAsia="zh-CN"/>
        </w:rPr>
        <w:t>合同包一/二/三</w:t>
      </w:r>
      <w:r>
        <w:rPr>
          <w:b/>
          <w:color w:val="auto"/>
          <w:sz w:val="32"/>
          <w:szCs w:val="32"/>
        </w:rPr>
        <w:t>项目业绩一览表</w:t>
      </w:r>
    </w:p>
    <w:p w14:paraId="47EEB879">
      <w:pPr>
        <w:pageBreakBefore w:val="0"/>
        <w:topLinePunct w:val="0"/>
        <w:bidi w:val="0"/>
        <w:spacing w:line="500" w:lineRule="exact"/>
        <w:ind w:left="0" w:leftChars="0" w:right="0" w:rightChars="0" w:firstLine="480" w:firstLineChars="200"/>
        <w:rPr>
          <w:color w:val="auto"/>
          <w:sz w:val="24"/>
          <w:szCs w:val="24"/>
        </w:rPr>
      </w:pPr>
      <w:r>
        <w:rPr>
          <w:rFonts w:hint="eastAsia"/>
          <w:color w:val="auto"/>
          <w:sz w:val="24"/>
          <w:szCs w:val="24"/>
          <w:lang w:eastAsia="zh-CN"/>
        </w:rPr>
        <w:t>供应商</w:t>
      </w:r>
      <w:r>
        <w:rPr>
          <w:rFonts w:hint="eastAsia"/>
          <w:color w:val="auto"/>
          <w:sz w:val="24"/>
          <w:szCs w:val="24"/>
        </w:rPr>
        <w:t>名称：</w:t>
      </w:r>
      <w:r>
        <w:rPr>
          <w:rFonts w:hint="eastAsia"/>
          <w:color w:val="auto"/>
          <w:sz w:val="24"/>
          <w:szCs w:val="24"/>
          <w:lang w:val="en-US"/>
        </w:rPr>
        <w:t xml:space="preserve">                                            </w:t>
      </w:r>
      <w:r>
        <w:rPr>
          <w:rFonts w:hint="eastAsia"/>
          <w:color w:val="auto"/>
          <w:sz w:val="24"/>
          <w:szCs w:val="24"/>
        </w:rPr>
        <w:tab/>
      </w:r>
    </w:p>
    <w:tbl>
      <w:tblPr>
        <w:tblStyle w:val="23"/>
        <w:tblW w:w="9720" w:type="dxa"/>
        <w:tblInd w:w="-364"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080"/>
        <w:gridCol w:w="1545"/>
        <w:gridCol w:w="2330"/>
        <w:gridCol w:w="1288"/>
        <w:gridCol w:w="1436"/>
        <w:gridCol w:w="1373"/>
        <w:gridCol w:w="668"/>
      </w:tblGrid>
      <w:tr w14:paraId="20D1967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03" w:hRule="atLeast"/>
        </w:trPr>
        <w:tc>
          <w:tcPr>
            <w:tcW w:w="1080" w:type="dxa"/>
            <w:tcBorders>
              <w:bottom w:val="single" w:color="000000" w:sz="4" w:space="0"/>
              <w:right w:val="single" w:color="000000" w:sz="4" w:space="0"/>
            </w:tcBorders>
          </w:tcPr>
          <w:p w14:paraId="4E55539A">
            <w:pPr>
              <w:pageBreakBefore w:val="0"/>
              <w:topLinePunct w:val="0"/>
              <w:bidi w:val="0"/>
              <w:spacing w:line="500" w:lineRule="exact"/>
              <w:ind w:right="0" w:rightChars="0"/>
              <w:jc w:val="center"/>
              <w:rPr>
                <w:color w:val="auto"/>
                <w:sz w:val="24"/>
                <w:szCs w:val="24"/>
              </w:rPr>
            </w:pPr>
            <w:r>
              <w:rPr>
                <w:rFonts w:hint="eastAsia"/>
                <w:color w:val="auto"/>
                <w:sz w:val="24"/>
                <w:szCs w:val="24"/>
              </w:rPr>
              <w:t>年份</w:t>
            </w:r>
          </w:p>
        </w:tc>
        <w:tc>
          <w:tcPr>
            <w:tcW w:w="1545" w:type="dxa"/>
            <w:tcBorders>
              <w:left w:val="single" w:color="000000" w:sz="4" w:space="0"/>
              <w:bottom w:val="single" w:color="000000" w:sz="4" w:space="0"/>
              <w:right w:val="single" w:color="000000" w:sz="4" w:space="0"/>
            </w:tcBorders>
          </w:tcPr>
          <w:p w14:paraId="6C786E0A">
            <w:pPr>
              <w:pageBreakBefore w:val="0"/>
              <w:topLinePunct w:val="0"/>
              <w:bidi w:val="0"/>
              <w:spacing w:line="500" w:lineRule="exact"/>
              <w:ind w:right="0" w:rightChars="0"/>
              <w:jc w:val="center"/>
              <w:rPr>
                <w:color w:val="auto"/>
                <w:sz w:val="24"/>
                <w:szCs w:val="24"/>
              </w:rPr>
            </w:pPr>
            <w:r>
              <w:rPr>
                <w:rFonts w:hint="eastAsia"/>
                <w:color w:val="auto"/>
                <w:sz w:val="24"/>
                <w:szCs w:val="24"/>
              </w:rPr>
              <w:t>用户名称</w:t>
            </w:r>
          </w:p>
        </w:tc>
        <w:tc>
          <w:tcPr>
            <w:tcW w:w="2330" w:type="dxa"/>
            <w:tcBorders>
              <w:left w:val="single" w:color="000000" w:sz="4" w:space="0"/>
              <w:bottom w:val="single" w:color="000000" w:sz="4" w:space="0"/>
              <w:right w:val="single" w:color="000000" w:sz="4" w:space="0"/>
            </w:tcBorders>
          </w:tcPr>
          <w:p w14:paraId="462E0F9F">
            <w:pPr>
              <w:pageBreakBefore w:val="0"/>
              <w:topLinePunct w:val="0"/>
              <w:bidi w:val="0"/>
              <w:spacing w:line="500" w:lineRule="exact"/>
              <w:ind w:right="0" w:rightChars="0"/>
              <w:jc w:val="center"/>
              <w:rPr>
                <w:color w:val="auto"/>
                <w:sz w:val="24"/>
                <w:szCs w:val="24"/>
              </w:rPr>
            </w:pPr>
            <w:r>
              <w:rPr>
                <w:rFonts w:hint="eastAsia"/>
                <w:color w:val="auto"/>
                <w:sz w:val="24"/>
                <w:szCs w:val="24"/>
              </w:rPr>
              <w:t>项目名称</w:t>
            </w:r>
          </w:p>
        </w:tc>
        <w:tc>
          <w:tcPr>
            <w:tcW w:w="1288" w:type="dxa"/>
            <w:tcBorders>
              <w:left w:val="single" w:color="000000" w:sz="4" w:space="0"/>
              <w:bottom w:val="single" w:color="000000" w:sz="4" w:space="0"/>
              <w:right w:val="single" w:color="000000" w:sz="4" w:space="0"/>
            </w:tcBorders>
          </w:tcPr>
          <w:p w14:paraId="04E08E00">
            <w:pPr>
              <w:pageBreakBefore w:val="0"/>
              <w:topLinePunct w:val="0"/>
              <w:bidi w:val="0"/>
              <w:spacing w:line="500" w:lineRule="exact"/>
              <w:ind w:right="0" w:rightChars="0"/>
              <w:jc w:val="center"/>
              <w:rPr>
                <w:color w:val="auto"/>
                <w:sz w:val="24"/>
                <w:szCs w:val="24"/>
              </w:rPr>
            </w:pPr>
            <w:r>
              <w:rPr>
                <w:rFonts w:hint="eastAsia"/>
                <w:color w:val="auto"/>
                <w:sz w:val="24"/>
                <w:szCs w:val="24"/>
              </w:rPr>
              <w:t>合同金额</w:t>
            </w:r>
          </w:p>
        </w:tc>
        <w:tc>
          <w:tcPr>
            <w:tcW w:w="1436" w:type="dxa"/>
            <w:tcBorders>
              <w:left w:val="single" w:color="000000" w:sz="4" w:space="0"/>
              <w:bottom w:val="single" w:color="000000" w:sz="4" w:space="0"/>
              <w:right w:val="single" w:color="000000" w:sz="4" w:space="0"/>
            </w:tcBorders>
          </w:tcPr>
          <w:p w14:paraId="6BAE39AE">
            <w:pPr>
              <w:pageBreakBefore w:val="0"/>
              <w:topLinePunct w:val="0"/>
              <w:bidi w:val="0"/>
              <w:spacing w:line="500" w:lineRule="exact"/>
              <w:ind w:right="0" w:rightChars="0"/>
              <w:jc w:val="center"/>
              <w:rPr>
                <w:color w:val="auto"/>
                <w:sz w:val="24"/>
                <w:szCs w:val="24"/>
              </w:rPr>
            </w:pPr>
            <w:r>
              <w:rPr>
                <w:rFonts w:hint="eastAsia"/>
                <w:color w:val="auto"/>
                <w:sz w:val="24"/>
                <w:szCs w:val="24"/>
              </w:rPr>
              <w:t>完成时间</w:t>
            </w:r>
          </w:p>
        </w:tc>
        <w:tc>
          <w:tcPr>
            <w:tcW w:w="1373" w:type="dxa"/>
            <w:tcBorders>
              <w:left w:val="single" w:color="000000" w:sz="4" w:space="0"/>
              <w:bottom w:val="single" w:color="000000" w:sz="4" w:space="0"/>
              <w:right w:val="single" w:color="000000" w:sz="4" w:space="0"/>
            </w:tcBorders>
          </w:tcPr>
          <w:p w14:paraId="7204C900">
            <w:pPr>
              <w:pageBreakBefore w:val="0"/>
              <w:topLinePunct w:val="0"/>
              <w:bidi w:val="0"/>
              <w:spacing w:line="500" w:lineRule="exact"/>
              <w:ind w:right="0" w:rightChars="0"/>
              <w:jc w:val="center"/>
              <w:rPr>
                <w:color w:val="auto"/>
                <w:sz w:val="24"/>
                <w:szCs w:val="24"/>
              </w:rPr>
            </w:pPr>
            <w:r>
              <w:rPr>
                <w:rFonts w:hint="eastAsia"/>
                <w:color w:val="auto"/>
                <w:sz w:val="24"/>
                <w:szCs w:val="24"/>
              </w:rPr>
              <w:t>完成质量</w:t>
            </w:r>
          </w:p>
        </w:tc>
        <w:tc>
          <w:tcPr>
            <w:tcW w:w="668" w:type="dxa"/>
            <w:tcBorders>
              <w:left w:val="single" w:color="000000" w:sz="4" w:space="0"/>
              <w:bottom w:val="single" w:color="000000" w:sz="4" w:space="0"/>
            </w:tcBorders>
          </w:tcPr>
          <w:p w14:paraId="3AAD6AD0">
            <w:pPr>
              <w:pageBreakBefore w:val="0"/>
              <w:topLinePunct w:val="0"/>
              <w:bidi w:val="0"/>
              <w:spacing w:line="500" w:lineRule="exact"/>
              <w:ind w:right="0" w:rightChars="0"/>
              <w:jc w:val="center"/>
              <w:rPr>
                <w:color w:val="auto"/>
                <w:sz w:val="24"/>
                <w:szCs w:val="24"/>
              </w:rPr>
            </w:pPr>
            <w:r>
              <w:rPr>
                <w:rFonts w:hint="eastAsia"/>
                <w:color w:val="auto"/>
                <w:sz w:val="24"/>
                <w:szCs w:val="24"/>
              </w:rPr>
              <w:t>备注</w:t>
            </w:r>
          </w:p>
        </w:tc>
      </w:tr>
      <w:tr w14:paraId="66A8D2E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4" w:hRule="atLeast"/>
        </w:trPr>
        <w:tc>
          <w:tcPr>
            <w:tcW w:w="1080" w:type="dxa"/>
            <w:tcBorders>
              <w:top w:val="single" w:color="000000" w:sz="4" w:space="0"/>
              <w:bottom w:val="single" w:color="000000" w:sz="4" w:space="0"/>
              <w:right w:val="single" w:color="000000" w:sz="4" w:space="0"/>
            </w:tcBorders>
          </w:tcPr>
          <w:p w14:paraId="52484338">
            <w:pPr>
              <w:pageBreakBefore w:val="0"/>
              <w:topLinePunct w:val="0"/>
              <w:bidi w:val="0"/>
              <w:spacing w:line="500" w:lineRule="exact"/>
              <w:ind w:left="0" w:leftChars="0" w:right="0" w:rightChars="0" w:firstLine="480" w:firstLineChars="200"/>
              <w:jc w:val="center"/>
              <w:rPr>
                <w:color w:val="auto"/>
                <w:sz w:val="24"/>
                <w:szCs w:val="24"/>
              </w:rPr>
            </w:pPr>
          </w:p>
        </w:tc>
        <w:tc>
          <w:tcPr>
            <w:tcW w:w="1545" w:type="dxa"/>
            <w:tcBorders>
              <w:top w:val="single" w:color="000000" w:sz="4" w:space="0"/>
              <w:left w:val="single" w:color="000000" w:sz="4" w:space="0"/>
              <w:bottom w:val="single" w:color="000000" w:sz="4" w:space="0"/>
              <w:right w:val="single" w:color="000000" w:sz="4" w:space="0"/>
            </w:tcBorders>
          </w:tcPr>
          <w:p w14:paraId="5DAE5E28">
            <w:pPr>
              <w:pageBreakBefore w:val="0"/>
              <w:topLinePunct w:val="0"/>
              <w:bidi w:val="0"/>
              <w:spacing w:line="500" w:lineRule="exact"/>
              <w:ind w:left="0" w:leftChars="0" w:right="0" w:rightChars="0" w:firstLine="480" w:firstLineChars="200"/>
              <w:jc w:val="center"/>
              <w:rPr>
                <w:color w:val="auto"/>
                <w:sz w:val="24"/>
                <w:szCs w:val="24"/>
              </w:rPr>
            </w:pPr>
          </w:p>
        </w:tc>
        <w:tc>
          <w:tcPr>
            <w:tcW w:w="2330" w:type="dxa"/>
            <w:tcBorders>
              <w:top w:val="single" w:color="000000" w:sz="4" w:space="0"/>
              <w:left w:val="single" w:color="000000" w:sz="4" w:space="0"/>
              <w:bottom w:val="single" w:color="000000" w:sz="4" w:space="0"/>
              <w:right w:val="single" w:color="000000" w:sz="4" w:space="0"/>
            </w:tcBorders>
          </w:tcPr>
          <w:p w14:paraId="22415232">
            <w:pPr>
              <w:pageBreakBefore w:val="0"/>
              <w:topLinePunct w:val="0"/>
              <w:bidi w:val="0"/>
              <w:spacing w:line="500" w:lineRule="exact"/>
              <w:ind w:left="0" w:leftChars="0" w:right="0" w:rightChars="0" w:firstLine="480" w:firstLineChars="200"/>
              <w:jc w:val="center"/>
              <w:rPr>
                <w:color w:val="auto"/>
                <w:sz w:val="24"/>
                <w:szCs w:val="24"/>
              </w:rPr>
            </w:pPr>
          </w:p>
        </w:tc>
        <w:tc>
          <w:tcPr>
            <w:tcW w:w="1288" w:type="dxa"/>
            <w:tcBorders>
              <w:top w:val="single" w:color="000000" w:sz="4" w:space="0"/>
              <w:left w:val="single" w:color="000000" w:sz="4" w:space="0"/>
              <w:bottom w:val="single" w:color="000000" w:sz="4" w:space="0"/>
              <w:right w:val="single" w:color="000000" w:sz="4" w:space="0"/>
            </w:tcBorders>
          </w:tcPr>
          <w:p w14:paraId="6586C674">
            <w:pPr>
              <w:pageBreakBefore w:val="0"/>
              <w:topLinePunct w:val="0"/>
              <w:bidi w:val="0"/>
              <w:spacing w:line="500" w:lineRule="exact"/>
              <w:ind w:left="0" w:leftChars="0" w:right="0" w:rightChars="0" w:firstLine="480" w:firstLineChars="200"/>
              <w:jc w:val="center"/>
              <w:rPr>
                <w:color w:val="auto"/>
                <w:sz w:val="24"/>
                <w:szCs w:val="24"/>
              </w:rPr>
            </w:pPr>
          </w:p>
        </w:tc>
        <w:tc>
          <w:tcPr>
            <w:tcW w:w="1436" w:type="dxa"/>
            <w:tcBorders>
              <w:top w:val="single" w:color="000000" w:sz="4" w:space="0"/>
              <w:left w:val="single" w:color="000000" w:sz="4" w:space="0"/>
              <w:bottom w:val="single" w:color="000000" w:sz="4" w:space="0"/>
              <w:right w:val="single" w:color="000000" w:sz="4" w:space="0"/>
            </w:tcBorders>
          </w:tcPr>
          <w:p w14:paraId="7D1961B9">
            <w:pPr>
              <w:pageBreakBefore w:val="0"/>
              <w:topLinePunct w:val="0"/>
              <w:bidi w:val="0"/>
              <w:spacing w:line="500" w:lineRule="exact"/>
              <w:ind w:left="0" w:leftChars="0" w:right="0" w:rightChars="0" w:firstLine="480" w:firstLineChars="200"/>
              <w:jc w:val="center"/>
              <w:rPr>
                <w:color w:val="auto"/>
                <w:sz w:val="24"/>
                <w:szCs w:val="24"/>
              </w:rPr>
            </w:pPr>
          </w:p>
        </w:tc>
        <w:tc>
          <w:tcPr>
            <w:tcW w:w="1373" w:type="dxa"/>
            <w:tcBorders>
              <w:top w:val="single" w:color="000000" w:sz="4" w:space="0"/>
              <w:left w:val="single" w:color="000000" w:sz="4" w:space="0"/>
              <w:bottom w:val="single" w:color="000000" w:sz="4" w:space="0"/>
              <w:right w:val="single" w:color="000000" w:sz="4" w:space="0"/>
            </w:tcBorders>
          </w:tcPr>
          <w:p w14:paraId="684B685C">
            <w:pPr>
              <w:pageBreakBefore w:val="0"/>
              <w:topLinePunct w:val="0"/>
              <w:bidi w:val="0"/>
              <w:spacing w:line="500" w:lineRule="exact"/>
              <w:ind w:left="0" w:leftChars="0" w:right="0" w:rightChars="0" w:firstLine="480" w:firstLineChars="200"/>
              <w:jc w:val="center"/>
              <w:rPr>
                <w:color w:val="auto"/>
                <w:sz w:val="24"/>
                <w:szCs w:val="24"/>
              </w:rPr>
            </w:pPr>
          </w:p>
        </w:tc>
        <w:tc>
          <w:tcPr>
            <w:tcW w:w="668" w:type="dxa"/>
            <w:tcBorders>
              <w:top w:val="single" w:color="000000" w:sz="4" w:space="0"/>
              <w:left w:val="single" w:color="000000" w:sz="4" w:space="0"/>
              <w:bottom w:val="single" w:color="000000" w:sz="4" w:space="0"/>
            </w:tcBorders>
          </w:tcPr>
          <w:p w14:paraId="1A43DA0E">
            <w:pPr>
              <w:pageBreakBefore w:val="0"/>
              <w:topLinePunct w:val="0"/>
              <w:bidi w:val="0"/>
              <w:spacing w:line="500" w:lineRule="exact"/>
              <w:ind w:left="0" w:leftChars="0" w:right="0" w:rightChars="0" w:firstLine="480" w:firstLineChars="200"/>
              <w:jc w:val="center"/>
              <w:rPr>
                <w:color w:val="auto"/>
                <w:sz w:val="24"/>
                <w:szCs w:val="24"/>
              </w:rPr>
            </w:pPr>
          </w:p>
        </w:tc>
      </w:tr>
      <w:tr w14:paraId="133533F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4" w:hRule="atLeast"/>
        </w:trPr>
        <w:tc>
          <w:tcPr>
            <w:tcW w:w="1080" w:type="dxa"/>
            <w:tcBorders>
              <w:top w:val="single" w:color="000000" w:sz="4" w:space="0"/>
              <w:bottom w:val="single" w:color="000000" w:sz="4" w:space="0"/>
              <w:right w:val="single" w:color="000000" w:sz="4" w:space="0"/>
            </w:tcBorders>
          </w:tcPr>
          <w:p w14:paraId="74204953">
            <w:pPr>
              <w:pageBreakBefore w:val="0"/>
              <w:topLinePunct w:val="0"/>
              <w:bidi w:val="0"/>
              <w:spacing w:line="500" w:lineRule="exact"/>
              <w:ind w:left="0" w:leftChars="0" w:right="0" w:rightChars="0" w:firstLine="480" w:firstLineChars="200"/>
              <w:jc w:val="center"/>
              <w:rPr>
                <w:color w:val="auto"/>
                <w:sz w:val="24"/>
                <w:szCs w:val="24"/>
              </w:rPr>
            </w:pPr>
          </w:p>
        </w:tc>
        <w:tc>
          <w:tcPr>
            <w:tcW w:w="1545" w:type="dxa"/>
            <w:tcBorders>
              <w:top w:val="single" w:color="000000" w:sz="4" w:space="0"/>
              <w:left w:val="single" w:color="000000" w:sz="4" w:space="0"/>
              <w:bottom w:val="single" w:color="000000" w:sz="4" w:space="0"/>
              <w:right w:val="single" w:color="000000" w:sz="4" w:space="0"/>
            </w:tcBorders>
          </w:tcPr>
          <w:p w14:paraId="02E780D1">
            <w:pPr>
              <w:pageBreakBefore w:val="0"/>
              <w:topLinePunct w:val="0"/>
              <w:bidi w:val="0"/>
              <w:spacing w:line="500" w:lineRule="exact"/>
              <w:ind w:left="0" w:leftChars="0" w:right="0" w:rightChars="0" w:firstLine="480" w:firstLineChars="200"/>
              <w:jc w:val="center"/>
              <w:rPr>
                <w:color w:val="auto"/>
                <w:sz w:val="24"/>
                <w:szCs w:val="24"/>
              </w:rPr>
            </w:pPr>
          </w:p>
        </w:tc>
        <w:tc>
          <w:tcPr>
            <w:tcW w:w="2330" w:type="dxa"/>
            <w:tcBorders>
              <w:top w:val="single" w:color="000000" w:sz="4" w:space="0"/>
              <w:left w:val="single" w:color="000000" w:sz="4" w:space="0"/>
              <w:bottom w:val="single" w:color="000000" w:sz="4" w:space="0"/>
              <w:right w:val="single" w:color="000000" w:sz="4" w:space="0"/>
            </w:tcBorders>
          </w:tcPr>
          <w:p w14:paraId="697F6A5D">
            <w:pPr>
              <w:pageBreakBefore w:val="0"/>
              <w:topLinePunct w:val="0"/>
              <w:bidi w:val="0"/>
              <w:spacing w:line="500" w:lineRule="exact"/>
              <w:ind w:left="0" w:leftChars="0" w:right="0" w:rightChars="0" w:firstLine="480" w:firstLineChars="200"/>
              <w:jc w:val="center"/>
              <w:rPr>
                <w:color w:val="auto"/>
                <w:sz w:val="24"/>
                <w:szCs w:val="24"/>
              </w:rPr>
            </w:pPr>
          </w:p>
        </w:tc>
        <w:tc>
          <w:tcPr>
            <w:tcW w:w="1288" w:type="dxa"/>
            <w:tcBorders>
              <w:top w:val="single" w:color="000000" w:sz="4" w:space="0"/>
              <w:left w:val="single" w:color="000000" w:sz="4" w:space="0"/>
              <w:bottom w:val="single" w:color="000000" w:sz="4" w:space="0"/>
              <w:right w:val="single" w:color="000000" w:sz="4" w:space="0"/>
            </w:tcBorders>
          </w:tcPr>
          <w:p w14:paraId="6C8A3693">
            <w:pPr>
              <w:pageBreakBefore w:val="0"/>
              <w:topLinePunct w:val="0"/>
              <w:bidi w:val="0"/>
              <w:spacing w:line="500" w:lineRule="exact"/>
              <w:ind w:left="0" w:leftChars="0" w:right="0" w:rightChars="0" w:firstLine="480" w:firstLineChars="200"/>
              <w:jc w:val="center"/>
              <w:rPr>
                <w:color w:val="auto"/>
                <w:sz w:val="24"/>
                <w:szCs w:val="24"/>
              </w:rPr>
            </w:pPr>
          </w:p>
        </w:tc>
        <w:tc>
          <w:tcPr>
            <w:tcW w:w="1436" w:type="dxa"/>
            <w:tcBorders>
              <w:top w:val="single" w:color="000000" w:sz="4" w:space="0"/>
              <w:left w:val="single" w:color="000000" w:sz="4" w:space="0"/>
              <w:bottom w:val="single" w:color="000000" w:sz="4" w:space="0"/>
              <w:right w:val="single" w:color="000000" w:sz="4" w:space="0"/>
            </w:tcBorders>
          </w:tcPr>
          <w:p w14:paraId="3753F64A">
            <w:pPr>
              <w:pageBreakBefore w:val="0"/>
              <w:topLinePunct w:val="0"/>
              <w:bidi w:val="0"/>
              <w:spacing w:line="500" w:lineRule="exact"/>
              <w:ind w:left="0" w:leftChars="0" w:right="0" w:rightChars="0" w:firstLine="480" w:firstLineChars="200"/>
              <w:jc w:val="center"/>
              <w:rPr>
                <w:color w:val="auto"/>
                <w:sz w:val="24"/>
                <w:szCs w:val="24"/>
              </w:rPr>
            </w:pPr>
          </w:p>
        </w:tc>
        <w:tc>
          <w:tcPr>
            <w:tcW w:w="1373" w:type="dxa"/>
            <w:tcBorders>
              <w:top w:val="single" w:color="000000" w:sz="4" w:space="0"/>
              <w:left w:val="single" w:color="000000" w:sz="4" w:space="0"/>
              <w:bottom w:val="single" w:color="000000" w:sz="4" w:space="0"/>
              <w:right w:val="single" w:color="000000" w:sz="4" w:space="0"/>
            </w:tcBorders>
          </w:tcPr>
          <w:p w14:paraId="11611A36">
            <w:pPr>
              <w:pageBreakBefore w:val="0"/>
              <w:topLinePunct w:val="0"/>
              <w:bidi w:val="0"/>
              <w:spacing w:line="500" w:lineRule="exact"/>
              <w:ind w:left="0" w:leftChars="0" w:right="0" w:rightChars="0" w:firstLine="480" w:firstLineChars="200"/>
              <w:jc w:val="center"/>
              <w:rPr>
                <w:color w:val="auto"/>
                <w:sz w:val="24"/>
                <w:szCs w:val="24"/>
              </w:rPr>
            </w:pPr>
          </w:p>
        </w:tc>
        <w:tc>
          <w:tcPr>
            <w:tcW w:w="668" w:type="dxa"/>
            <w:tcBorders>
              <w:top w:val="single" w:color="000000" w:sz="4" w:space="0"/>
              <w:left w:val="single" w:color="000000" w:sz="4" w:space="0"/>
              <w:bottom w:val="single" w:color="000000" w:sz="4" w:space="0"/>
            </w:tcBorders>
          </w:tcPr>
          <w:p w14:paraId="20239420">
            <w:pPr>
              <w:pageBreakBefore w:val="0"/>
              <w:topLinePunct w:val="0"/>
              <w:bidi w:val="0"/>
              <w:spacing w:line="500" w:lineRule="exact"/>
              <w:ind w:left="0" w:leftChars="0" w:right="0" w:rightChars="0" w:firstLine="480" w:firstLineChars="200"/>
              <w:jc w:val="center"/>
              <w:rPr>
                <w:color w:val="auto"/>
                <w:sz w:val="24"/>
                <w:szCs w:val="24"/>
              </w:rPr>
            </w:pPr>
          </w:p>
        </w:tc>
      </w:tr>
      <w:tr w14:paraId="40F07D5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9" w:hRule="atLeast"/>
        </w:trPr>
        <w:tc>
          <w:tcPr>
            <w:tcW w:w="1080" w:type="dxa"/>
            <w:tcBorders>
              <w:top w:val="single" w:color="000000" w:sz="4" w:space="0"/>
              <w:bottom w:val="single" w:color="000000" w:sz="4" w:space="0"/>
              <w:right w:val="single" w:color="000000" w:sz="4" w:space="0"/>
            </w:tcBorders>
          </w:tcPr>
          <w:p w14:paraId="42289248">
            <w:pPr>
              <w:pageBreakBefore w:val="0"/>
              <w:topLinePunct w:val="0"/>
              <w:bidi w:val="0"/>
              <w:spacing w:line="500" w:lineRule="exact"/>
              <w:ind w:left="0" w:leftChars="0" w:right="0" w:rightChars="0" w:firstLine="480" w:firstLineChars="200"/>
              <w:jc w:val="center"/>
              <w:rPr>
                <w:color w:val="auto"/>
                <w:sz w:val="24"/>
                <w:szCs w:val="24"/>
              </w:rPr>
            </w:pPr>
          </w:p>
        </w:tc>
        <w:tc>
          <w:tcPr>
            <w:tcW w:w="1545" w:type="dxa"/>
            <w:tcBorders>
              <w:top w:val="single" w:color="000000" w:sz="4" w:space="0"/>
              <w:left w:val="single" w:color="000000" w:sz="4" w:space="0"/>
              <w:bottom w:val="single" w:color="000000" w:sz="4" w:space="0"/>
              <w:right w:val="single" w:color="000000" w:sz="4" w:space="0"/>
            </w:tcBorders>
          </w:tcPr>
          <w:p w14:paraId="7F04E2F4">
            <w:pPr>
              <w:pageBreakBefore w:val="0"/>
              <w:topLinePunct w:val="0"/>
              <w:bidi w:val="0"/>
              <w:spacing w:line="500" w:lineRule="exact"/>
              <w:ind w:left="0" w:leftChars="0" w:right="0" w:rightChars="0" w:firstLine="480" w:firstLineChars="200"/>
              <w:jc w:val="center"/>
              <w:rPr>
                <w:color w:val="auto"/>
                <w:sz w:val="24"/>
                <w:szCs w:val="24"/>
              </w:rPr>
            </w:pPr>
          </w:p>
        </w:tc>
        <w:tc>
          <w:tcPr>
            <w:tcW w:w="2330" w:type="dxa"/>
            <w:tcBorders>
              <w:top w:val="single" w:color="000000" w:sz="4" w:space="0"/>
              <w:left w:val="single" w:color="000000" w:sz="4" w:space="0"/>
              <w:bottom w:val="single" w:color="000000" w:sz="4" w:space="0"/>
              <w:right w:val="single" w:color="000000" w:sz="4" w:space="0"/>
            </w:tcBorders>
          </w:tcPr>
          <w:p w14:paraId="0CB9F319">
            <w:pPr>
              <w:pageBreakBefore w:val="0"/>
              <w:topLinePunct w:val="0"/>
              <w:bidi w:val="0"/>
              <w:spacing w:line="500" w:lineRule="exact"/>
              <w:ind w:left="0" w:leftChars="0" w:right="0" w:rightChars="0" w:firstLine="480" w:firstLineChars="200"/>
              <w:jc w:val="center"/>
              <w:rPr>
                <w:color w:val="auto"/>
                <w:sz w:val="24"/>
                <w:szCs w:val="24"/>
              </w:rPr>
            </w:pPr>
          </w:p>
        </w:tc>
        <w:tc>
          <w:tcPr>
            <w:tcW w:w="1288" w:type="dxa"/>
            <w:tcBorders>
              <w:top w:val="single" w:color="000000" w:sz="4" w:space="0"/>
              <w:left w:val="single" w:color="000000" w:sz="4" w:space="0"/>
              <w:bottom w:val="single" w:color="000000" w:sz="4" w:space="0"/>
              <w:right w:val="single" w:color="000000" w:sz="4" w:space="0"/>
            </w:tcBorders>
          </w:tcPr>
          <w:p w14:paraId="633C9F90">
            <w:pPr>
              <w:pageBreakBefore w:val="0"/>
              <w:topLinePunct w:val="0"/>
              <w:bidi w:val="0"/>
              <w:spacing w:line="500" w:lineRule="exact"/>
              <w:ind w:left="0" w:leftChars="0" w:right="0" w:rightChars="0" w:firstLine="480" w:firstLineChars="200"/>
              <w:jc w:val="center"/>
              <w:rPr>
                <w:color w:val="auto"/>
                <w:sz w:val="24"/>
                <w:szCs w:val="24"/>
              </w:rPr>
            </w:pPr>
          </w:p>
        </w:tc>
        <w:tc>
          <w:tcPr>
            <w:tcW w:w="1436" w:type="dxa"/>
            <w:tcBorders>
              <w:top w:val="single" w:color="000000" w:sz="4" w:space="0"/>
              <w:left w:val="single" w:color="000000" w:sz="4" w:space="0"/>
              <w:bottom w:val="single" w:color="000000" w:sz="4" w:space="0"/>
              <w:right w:val="single" w:color="000000" w:sz="4" w:space="0"/>
            </w:tcBorders>
          </w:tcPr>
          <w:p w14:paraId="54815D04">
            <w:pPr>
              <w:pageBreakBefore w:val="0"/>
              <w:topLinePunct w:val="0"/>
              <w:bidi w:val="0"/>
              <w:spacing w:line="500" w:lineRule="exact"/>
              <w:ind w:left="0" w:leftChars="0" w:right="0" w:rightChars="0" w:firstLine="480" w:firstLineChars="200"/>
              <w:jc w:val="center"/>
              <w:rPr>
                <w:color w:val="auto"/>
                <w:sz w:val="24"/>
                <w:szCs w:val="24"/>
              </w:rPr>
            </w:pPr>
          </w:p>
        </w:tc>
        <w:tc>
          <w:tcPr>
            <w:tcW w:w="1373" w:type="dxa"/>
            <w:tcBorders>
              <w:top w:val="single" w:color="000000" w:sz="4" w:space="0"/>
              <w:left w:val="single" w:color="000000" w:sz="4" w:space="0"/>
              <w:bottom w:val="single" w:color="000000" w:sz="4" w:space="0"/>
              <w:right w:val="single" w:color="000000" w:sz="4" w:space="0"/>
            </w:tcBorders>
          </w:tcPr>
          <w:p w14:paraId="48705A0A">
            <w:pPr>
              <w:pageBreakBefore w:val="0"/>
              <w:topLinePunct w:val="0"/>
              <w:bidi w:val="0"/>
              <w:spacing w:line="500" w:lineRule="exact"/>
              <w:ind w:left="0" w:leftChars="0" w:right="0" w:rightChars="0" w:firstLine="480" w:firstLineChars="200"/>
              <w:jc w:val="center"/>
              <w:rPr>
                <w:color w:val="auto"/>
                <w:sz w:val="24"/>
                <w:szCs w:val="24"/>
              </w:rPr>
            </w:pPr>
          </w:p>
        </w:tc>
        <w:tc>
          <w:tcPr>
            <w:tcW w:w="668" w:type="dxa"/>
            <w:tcBorders>
              <w:top w:val="single" w:color="000000" w:sz="4" w:space="0"/>
              <w:left w:val="single" w:color="000000" w:sz="4" w:space="0"/>
              <w:bottom w:val="single" w:color="000000" w:sz="4" w:space="0"/>
            </w:tcBorders>
          </w:tcPr>
          <w:p w14:paraId="68744890">
            <w:pPr>
              <w:pageBreakBefore w:val="0"/>
              <w:topLinePunct w:val="0"/>
              <w:bidi w:val="0"/>
              <w:spacing w:line="500" w:lineRule="exact"/>
              <w:ind w:left="0" w:leftChars="0" w:right="0" w:rightChars="0" w:firstLine="480" w:firstLineChars="200"/>
              <w:jc w:val="center"/>
              <w:rPr>
                <w:color w:val="auto"/>
                <w:sz w:val="24"/>
                <w:szCs w:val="24"/>
              </w:rPr>
            </w:pPr>
          </w:p>
        </w:tc>
      </w:tr>
      <w:tr w14:paraId="30C6D41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3" w:hRule="atLeast"/>
        </w:trPr>
        <w:tc>
          <w:tcPr>
            <w:tcW w:w="1080" w:type="dxa"/>
            <w:tcBorders>
              <w:top w:val="single" w:color="000000" w:sz="4" w:space="0"/>
              <w:bottom w:val="single" w:color="000000" w:sz="4" w:space="0"/>
              <w:right w:val="single" w:color="000000" w:sz="4" w:space="0"/>
            </w:tcBorders>
          </w:tcPr>
          <w:p w14:paraId="7BCD5CC3">
            <w:pPr>
              <w:pageBreakBefore w:val="0"/>
              <w:topLinePunct w:val="0"/>
              <w:bidi w:val="0"/>
              <w:spacing w:line="500" w:lineRule="exact"/>
              <w:ind w:left="0" w:leftChars="0" w:right="0" w:rightChars="0" w:firstLine="480" w:firstLineChars="200"/>
              <w:jc w:val="center"/>
              <w:rPr>
                <w:color w:val="auto"/>
                <w:sz w:val="24"/>
                <w:szCs w:val="24"/>
              </w:rPr>
            </w:pPr>
          </w:p>
        </w:tc>
        <w:tc>
          <w:tcPr>
            <w:tcW w:w="1545" w:type="dxa"/>
            <w:tcBorders>
              <w:top w:val="single" w:color="000000" w:sz="4" w:space="0"/>
              <w:left w:val="single" w:color="000000" w:sz="4" w:space="0"/>
              <w:bottom w:val="single" w:color="000000" w:sz="4" w:space="0"/>
              <w:right w:val="single" w:color="000000" w:sz="4" w:space="0"/>
            </w:tcBorders>
          </w:tcPr>
          <w:p w14:paraId="679D0B7B">
            <w:pPr>
              <w:pageBreakBefore w:val="0"/>
              <w:topLinePunct w:val="0"/>
              <w:bidi w:val="0"/>
              <w:spacing w:line="500" w:lineRule="exact"/>
              <w:ind w:left="0" w:leftChars="0" w:right="0" w:rightChars="0" w:firstLine="480" w:firstLineChars="200"/>
              <w:jc w:val="center"/>
              <w:rPr>
                <w:color w:val="auto"/>
                <w:sz w:val="24"/>
                <w:szCs w:val="24"/>
              </w:rPr>
            </w:pPr>
          </w:p>
        </w:tc>
        <w:tc>
          <w:tcPr>
            <w:tcW w:w="2330" w:type="dxa"/>
            <w:tcBorders>
              <w:top w:val="single" w:color="000000" w:sz="4" w:space="0"/>
              <w:left w:val="single" w:color="000000" w:sz="4" w:space="0"/>
              <w:bottom w:val="single" w:color="000000" w:sz="4" w:space="0"/>
              <w:right w:val="single" w:color="000000" w:sz="4" w:space="0"/>
            </w:tcBorders>
          </w:tcPr>
          <w:p w14:paraId="107B23D2">
            <w:pPr>
              <w:pageBreakBefore w:val="0"/>
              <w:topLinePunct w:val="0"/>
              <w:bidi w:val="0"/>
              <w:spacing w:line="500" w:lineRule="exact"/>
              <w:ind w:left="0" w:leftChars="0" w:right="0" w:rightChars="0" w:firstLine="480" w:firstLineChars="200"/>
              <w:jc w:val="center"/>
              <w:rPr>
                <w:color w:val="auto"/>
                <w:sz w:val="24"/>
                <w:szCs w:val="24"/>
              </w:rPr>
            </w:pPr>
          </w:p>
        </w:tc>
        <w:tc>
          <w:tcPr>
            <w:tcW w:w="1288" w:type="dxa"/>
            <w:tcBorders>
              <w:top w:val="single" w:color="000000" w:sz="4" w:space="0"/>
              <w:left w:val="single" w:color="000000" w:sz="4" w:space="0"/>
              <w:bottom w:val="single" w:color="000000" w:sz="4" w:space="0"/>
              <w:right w:val="single" w:color="000000" w:sz="4" w:space="0"/>
            </w:tcBorders>
          </w:tcPr>
          <w:p w14:paraId="60EDCA76">
            <w:pPr>
              <w:pageBreakBefore w:val="0"/>
              <w:topLinePunct w:val="0"/>
              <w:bidi w:val="0"/>
              <w:spacing w:line="500" w:lineRule="exact"/>
              <w:ind w:left="0" w:leftChars="0" w:right="0" w:rightChars="0" w:firstLine="480" w:firstLineChars="200"/>
              <w:jc w:val="center"/>
              <w:rPr>
                <w:color w:val="auto"/>
                <w:sz w:val="24"/>
                <w:szCs w:val="24"/>
              </w:rPr>
            </w:pPr>
          </w:p>
        </w:tc>
        <w:tc>
          <w:tcPr>
            <w:tcW w:w="1436" w:type="dxa"/>
            <w:tcBorders>
              <w:top w:val="single" w:color="000000" w:sz="4" w:space="0"/>
              <w:left w:val="single" w:color="000000" w:sz="4" w:space="0"/>
              <w:bottom w:val="single" w:color="000000" w:sz="4" w:space="0"/>
              <w:right w:val="single" w:color="000000" w:sz="4" w:space="0"/>
            </w:tcBorders>
          </w:tcPr>
          <w:p w14:paraId="52AB23A8">
            <w:pPr>
              <w:pageBreakBefore w:val="0"/>
              <w:topLinePunct w:val="0"/>
              <w:bidi w:val="0"/>
              <w:spacing w:line="500" w:lineRule="exact"/>
              <w:ind w:left="0" w:leftChars="0" w:right="0" w:rightChars="0" w:firstLine="480" w:firstLineChars="200"/>
              <w:jc w:val="center"/>
              <w:rPr>
                <w:color w:val="auto"/>
                <w:sz w:val="24"/>
                <w:szCs w:val="24"/>
              </w:rPr>
            </w:pPr>
          </w:p>
        </w:tc>
        <w:tc>
          <w:tcPr>
            <w:tcW w:w="1373" w:type="dxa"/>
            <w:tcBorders>
              <w:top w:val="single" w:color="000000" w:sz="4" w:space="0"/>
              <w:left w:val="single" w:color="000000" w:sz="4" w:space="0"/>
              <w:bottom w:val="single" w:color="000000" w:sz="4" w:space="0"/>
              <w:right w:val="single" w:color="000000" w:sz="4" w:space="0"/>
            </w:tcBorders>
          </w:tcPr>
          <w:p w14:paraId="0D014FE8">
            <w:pPr>
              <w:pageBreakBefore w:val="0"/>
              <w:topLinePunct w:val="0"/>
              <w:bidi w:val="0"/>
              <w:spacing w:line="500" w:lineRule="exact"/>
              <w:ind w:left="0" w:leftChars="0" w:right="0" w:rightChars="0" w:firstLine="480" w:firstLineChars="200"/>
              <w:jc w:val="center"/>
              <w:rPr>
                <w:color w:val="auto"/>
                <w:sz w:val="24"/>
                <w:szCs w:val="24"/>
              </w:rPr>
            </w:pPr>
          </w:p>
        </w:tc>
        <w:tc>
          <w:tcPr>
            <w:tcW w:w="668" w:type="dxa"/>
            <w:tcBorders>
              <w:top w:val="single" w:color="000000" w:sz="4" w:space="0"/>
              <w:left w:val="single" w:color="000000" w:sz="4" w:space="0"/>
              <w:bottom w:val="single" w:color="000000" w:sz="4" w:space="0"/>
            </w:tcBorders>
          </w:tcPr>
          <w:p w14:paraId="42C399D5">
            <w:pPr>
              <w:pageBreakBefore w:val="0"/>
              <w:topLinePunct w:val="0"/>
              <w:bidi w:val="0"/>
              <w:spacing w:line="500" w:lineRule="exact"/>
              <w:ind w:left="0" w:leftChars="0" w:right="0" w:rightChars="0" w:firstLine="480" w:firstLineChars="200"/>
              <w:jc w:val="center"/>
              <w:rPr>
                <w:color w:val="auto"/>
                <w:sz w:val="24"/>
                <w:szCs w:val="24"/>
              </w:rPr>
            </w:pPr>
          </w:p>
        </w:tc>
      </w:tr>
      <w:tr w14:paraId="7DE58B4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3" w:hRule="atLeast"/>
        </w:trPr>
        <w:tc>
          <w:tcPr>
            <w:tcW w:w="1080" w:type="dxa"/>
            <w:tcBorders>
              <w:top w:val="single" w:color="000000" w:sz="4" w:space="0"/>
              <w:bottom w:val="single" w:color="000000" w:sz="4" w:space="0"/>
              <w:right w:val="single" w:color="000000" w:sz="4" w:space="0"/>
            </w:tcBorders>
          </w:tcPr>
          <w:p w14:paraId="33288562">
            <w:pPr>
              <w:pageBreakBefore w:val="0"/>
              <w:topLinePunct w:val="0"/>
              <w:bidi w:val="0"/>
              <w:spacing w:line="500" w:lineRule="exact"/>
              <w:ind w:left="0" w:leftChars="0" w:right="0" w:rightChars="0" w:firstLine="480" w:firstLineChars="200"/>
              <w:jc w:val="center"/>
              <w:rPr>
                <w:color w:val="auto"/>
                <w:sz w:val="24"/>
                <w:szCs w:val="24"/>
              </w:rPr>
            </w:pPr>
          </w:p>
        </w:tc>
        <w:tc>
          <w:tcPr>
            <w:tcW w:w="1545" w:type="dxa"/>
            <w:tcBorders>
              <w:top w:val="single" w:color="000000" w:sz="4" w:space="0"/>
              <w:left w:val="single" w:color="000000" w:sz="4" w:space="0"/>
              <w:bottom w:val="single" w:color="000000" w:sz="4" w:space="0"/>
              <w:right w:val="single" w:color="000000" w:sz="4" w:space="0"/>
            </w:tcBorders>
          </w:tcPr>
          <w:p w14:paraId="0FC0C587">
            <w:pPr>
              <w:pageBreakBefore w:val="0"/>
              <w:topLinePunct w:val="0"/>
              <w:bidi w:val="0"/>
              <w:spacing w:line="500" w:lineRule="exact"/>
              <w:ind w:left="0" w:leftChars="0" w:right="0" w:rightChars="0" w:firstLine="480" w:firstLineChars="200"/>
              <w:jc w:val="center"/>
              <w:rPr>
                <w:color w:val="auto"/>
                <w:sz w:val="24"/>
                <w:szCs w:val="24"/>
              </w:rPr>
            </w:pPr>
          </w:p>
        </w:tc>
        <w:tc>
          <w:tcPr>
            <w:tcW w:w="2330" w:type="dxa"/>
            <w:tcBorders>
              <w:top w:val="single" w:color="000000" w:sz="4" w:space="0"/>
              <w:left w:val="single" w:color="000000" w:sz="4" w:space="0"/>
              <w:bottom w:val="single" w:color="000000" w:sz="4" w:space="0"/>
              <w:right w:val="single" w:color="000000" w:sz="4" w:space="0"/>
            </w:tcBorders>
          </w:tcPr>
          <w:p w14:paraId="0B8F4FA1">
            <w:pPr>
              <w:pageBreakBefore w:val="0"/>
              <w:topLinePunct w:val="0"/>
              <w:bidi w:val="0"/>
              <w:spacing w:line="500" w:lineRule="exact"/>
              <w:ind w:left="0" w:leftChars="0" w:right="0" w:rightChars="0" w:firstLine="480" w:firstLineChars="200"/>
              <w:jc w:val="center"/>
              <w:rPr>
                <w:color w:val="auto"/>
                <w:sz w:val="24"/>
                <w:szCs w:val="24"/>
              </w:rPr>
            </w:pPr>
          </w:p>
        </w:tc>
        <w:tc>
          <w:tcPr>
            <w:tcW w:w="1288" w:type="dxa"/>
            <w:tcBorders>
              <w:top w:val="single" w:color="000000" w:sz="4" w:space="0"/>
              <w:left w:val="single" w:color="000000" w:sz="4" w:space="0"/>
              <w:bottom w:val="single" w:color="000000" w:sz="4" w:space="0"/>
              <w:right w:val="single" w:color="000000" w:sz="4" w:space="0"/>
            </w:tcBorders>
          </w:tcPr>
          <w:p w14:paraId="36666AE0">
            <w:pPr>
              <w:pageBreakBefore w:val="0"/>
              <w:topLinePunct w:val="0"/>
              <w:bidi w:val="0"/>
              <w:spacing w:line="500" w:lineRule="exact"/>
              <w:ind w:left="0" w:leftChars="0" w:right="0" w:rightChars="0" w:firstLine="480" w:firstLineChars="200"/>
              <w:jc w:val="center"/>
              <w:rPr>
                <w:color w:val="auto"/>
                <w:sz w:val="24"/>
                <w:szCs w:val="24"/>
              </w:rPr>
            </w:pPr>
          </w:p>
        </w:tc>
        <w:tc>
          <w:tcPr>
            <w:tcW w:w="1436" w:type="dxa"/>
            <w:tcBorders>
              <w:top w:val="single" w:color="000000" w:sz="4" w:space="0"/>
              <w:left w:val="single" w:color="000000" w:sz="4" w:space="0"/>
              <w:bottom w:val="single" w:color="000000" w:sz="4" w:space="0"/>
              <w:right w:val="single" w:color="000000" w:sz="4" w:space="0"/>
            </w:tcBorders>
          </w:tcPr>
          <w:p w14:paraId="5912307E">
            <w:pPr>
              <w:pageBreakBefore w:val="0"/>
              <w:topLinePunct w:val="0"/>
              <w:bidi w:val="0"/>
              <w:spacing w:line="500" w:lineRule="exact"/>
              <w:ind w:left="0" w:leftChars="0" w:right="0" w:rightChars="0" w:firstLine="480" w:firstLineChars="200"/>
              <w:jc w:val="center"/>
              <w:rPr>
                <w:color w:val="auto"/>
                <w:sz w:val="24"/>
                <w:szCs w:val="24"/>
              </w:rPr>
            </w:pPr>
          </w:p>
        </w:tc>
        <w:tc>
          <w:tcPr>
            <w:tcW w:w="1373" w:type="dxa"/>
            <w:tcBorders>
              <w:top w:val="single" w:color="000000" w:sz="4" w:space="0"/>
              <w:left w:val="single" w:color="000000" w:sz="4" w:space="0"/>
              <w:bottom w:val="single" w:color="000000" w:sz="4" w:space="0"/>
              <w:right w:val="single" w:color="000000" w:sz="4" w:space="0"/>
            </w:tcBorders>
          </w:tcPr>
          <w:p w14:paraId="44121A3E">
            <w:pPr>
              <w:pageBreakBefore w:val="0"/>
              <w:topLinePunct w:val="0"/>
              <w:bidi w:val="0"/>
              <w:spacing w:line="500" w:lineRule="exact"/>
              <w:ind w:left="0" w:leftChars="0" w:right="0" w:rightChars="0" w:firstLine="480" w:firstLineChars="200"/>
              <w:jc w:val="center"/>
              <w:rPr>
                <w:color w:val="auto"/>
                <w:sz w:val="24"/>
                <w:szCs w:val="24"/>
              </w:rPr>
            </w:pPr>
          </w:p>
        </w:tc>
        <w:tc>
          <w:tcPr>
            <w:tcW w:w="668" w:type="dxa"/>
            <w:tcBorders>
              <w:top w:val="single" w:color="000000" w:sz="4" w:space="0"/>
              <w:left w:val="single" w:color="000000" w:sz="4" w:space="0"/>
              <w:bottom w:val="single" w:color="000000" w:sz="4" w:space="0"/>
            </w:tcBorders>
          </w:tcPr>
          <w:p w14:paraId="33F24071">
            <w:pPr>
              <w:pageBreakBefore w:val="0"/>
              <w:topLinePunct w:val="0"/>
              <w:bidi w:val="0"/>
              <w:spacing w:line="500" w:lineRule="exact"/>
              <w:ind w:left="0" w:leftChars="0" w:right="0" w:rightChars="0" w:firstLine="480" w:firstLineChars="200"/>
              <w:jc w:val="center"/>
              <w:rPr>
                <w:color w:val="auto"/>
                <w:sz w:val="24"/>
                <w:szCs w:val="24"/>
              </w:rPr>
            </w:pPr>
          </w:p>
        </w:tc>
      </w:tr>
      <w:tr w14:paraId="0C25DD5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3" w:hRule="atLeast"/>
        </w:trPr>
        <w:tc>
          <w:tcPr>
            <w:tcW w:w="1080" w:type="dxa"/>
            <w:tcBorders>
              <w:top w:val="single" w:color="000000" w:sz="4" w:space="0"/>
              <w:bottom w:val="single" w:color="000000" w:sz="4" w:space="0"/>
              <w:right w:val="single" w:color="000000" w:sz="4" w:space="0"/>
            </w:tcBorders>
          </w:tcPr>
          <w:p w14:paraId="4960D0D1">
            <w:pPr>
              <w:pageBreakBefore w:val="0"/>
              <w:topLinePunct w:val="0"/>
              <w:bidi w:val="0"/>
              <w:spacing w:line="500" w:lineRule="exact"/>
              <w:ind w:left="0" w:leftChars="0" w:right="0" w:rightChars="0" w:firstLine="480" w:firstLineChars="200"/>
              <w:jc w:val="center"/>
              <w:rPr>
                <w:color w:val="auto"/>
                <w:sz w:val="24"/>
                <w:szCs w:val="24"/>
              </w:rPr>
            </w:pPr>
          </w:p>
        </w:tc>
        <w:tc>
          <w:tcPr>
            <w:tcW w:w="1545" w:type="dxa"/>
            <w:tcBorders>
              <w:top w:val="single" w:color="000000" w:sz="4" w:space="0"/>
              <w:left w:val="single" w:color="000000" w:sz="4" w:space="0"/>
              <w:bottom w:val="single" w:color="000000" w:sz="4" w:space="0"/>
              <w:right w:val="single" w:color="000000" w:sz="4" w:space="0"/>
            </w:tcBorders>
          </w:tcPr>
          <w:p w14:paraId="57B8BA37">
            <w:pPr>
              <w:pageBreakBefore w:val="0"/>
              <w:topLinePunct w:val="0"/>
              <w:bidi w:val="0"/>
              <w:spacing w:line="500" w:lineRule="exact"/>
              <w:ind w:left="0" w:leftChars="0" w:right="0" w:rightChars="0" w:firstLine="480" w:firstLineChars="200"/>
              <w:jc w:val="center"/>
              <w:rPr>
                <w:color w:val="auto"/>
                <w:sz w:val="24"/>
                <w:szCs w:val="24"/>
              </w:rPr>
            </w:pPr>
          </w:p>
        </w:tc>
        <w:tc>
          <w:tcPr>
            <w:tcW w:w="2330" w:type="dxa"/>
            <w:tcBorders>
              <w:top w:val="single" w:color="000000" w:sz="4" w:space="0"/>
              <w:left w:val="single" w:color="000000" w:sz="4" w:space="0"/>
              <w:bottom w:val="single" w:color="000000" w:sz="4" w:space="0"/>
              <w:right w:val="single" w:color="000000" w:sz="4" w:space="0"/>
            </w:tcBorders>
          </w:tcPr>
          <w:p w14:paraId="705175E1">
            <w:pPr>
              <w:pageBreakBefore w:val="0"/>
              <w:topLinePunct w:val="0"/>
              <w:bidi w:val="0"/>
              <w:spacing w:line="500" w:lineRule="exact"/>
              <w:ind w:left="0" w:leftChars="0" w:right="0" w:rightChars="0" w:firstLine="480" w:firstLineChars="200"/>
              <w:jc w:val="center"/>
              <w:rPr>
                <w:color w:val="auto"/>
                <w:sz w:val="24"/>
                <w:szCs w:val="24"/>
              </w:rPr>
            </w:pPr>
          </w:p>
        </w:tc>
        <w:tc>
          <w:tcPr>
            <w:tcW w:w="1288" w:type="dxa"/>
            <w:tcBorders>
              <w:top w:val="single" w:color="000000" w:sz="4" w:space="0"/>
              <w:left w:val="single" w:color="000000" w:sz="4" w:space="0"/>
              <w:bottom w:val="single" w:color="000000" w:sz="4" w:space="0"/>
              <w:right w:val="single" w:color="000000" w:sz="4" w:space="0"/>
            </w:tcBorders>
          </w:tcPr>
          <w:p w14:paraId="28E1115F">
            <w:pPr>
              <w:pageBreakBefore w:val="0"/>
              <w:topLinePunct w:val="0"/>
              <w:bidi w:val="0"/>
              <w:spacing w:line="500" w:lineRule="exact"/>
              <w:ind w:left="0" w:leftChars="0" w:right="0" w:rightChars="0" w:firstLine="480" w:firstLineChars="200"/>
              <w:jc w:val="center"/>
              <w:rPr>
                <w:color w:val="auto"/>
                <w:sz w:val="24"/>
                <w:szCs w:val="24"/>
              </w:rPr>
            </w:pPr>
          </w:p>
        </w:tc>
        <w:tc>
          <w:tcPr>
            <w:tcW w:w="1436" w:type="dxa"/>
            <w:tcBorders>
              <w:top w:val="single" w:color="000000" w:sz="4" w:space="0"/>
              <w:left w:val="single" w:color="000000" w:sz="4" w:space="0"/>
              <w:bottom w:val="single" w:color="000000" w:sz="4" w:space="0"/>
              <w:right w:val="single" w:color="000000" w:sz="4" w:space="0"/>
            </w:tcBorders>
          </w:tcPr>
          <w:p w14:paraId="05F81CC6">
            <w:pPr>
              <w:pageBreakBefore w:val="0"/>
              <w:topLinePunct w:val="0"/>
              <w:bidi w:val="0"/>
              <w:spacing w:line="500" w:lineRule="exact"/>
              <w:ind w:left="0" w:leftChars="0" w:right="0" w:rightChars="0" w:firstLine="480" w:firstLineChars="200"/>
              <w:jc w:val="center"/>
              <w:rPr>
                <w:color w:val="auto"/>
                <w:sz w:val="24"/>
                <w:szCs w:val="24"/>
              </w:rPr>
            </w:pPr>
          </w:p>
        </w:tc>
        <w:tc>
          <w:tcPr>
            <w:tcW w:w="1373" w:type="dxa"/>
            <w:tcBorders>
              <w:top w:val="single" w:color="000000" w:sz="4" w:space="0"/>
              <w:left w:val="single" w:color="000000" w:sz="4" w:space="0"/>
              <w:bottom w:val="single" w:color="000000" w:sz="4" w:space="0"/>
              <w:right w:val="single" w:color="000000" w:sz="4" w:space="0"/>
            </w:tcBorders>
          </w:tcPr>
          <w:p w14:paraId="66870367">
            <w:pPr>
              <w:pageBreakBefore w:val="0"/>
              <w:topLinePunct w:val="0"/>
              <w:bidi w:val="0"/>
              <w:spacing w:line="500" w:lineRule="exact"/>
              <w:ind w:left="0" w:leftChars="0" w:right="0" w:rightChars="0" w:firstLine="480" w:firstLineChars="200"/>
              <w:jc w:val="center"/>
              <w:rPr>
                <w:color w:val="auto"/>
                <w:sz w:val="24"/>
                <w:szCs w:val="24"/>
              </w:rPr>
            </w:pPr>
          </w:p>
        </w:tc>
        <w:tc>
          <w:tcPr>
            <w:tcW w:w="668" w:type="dxa"/>
            <w:tcBorders>
              <w:top w:val="single" w:color="000000" w:sz="4" w:space="0"/>
              <w:left w:val="single" w:color="000000" w:sz="4" w:space="0"/>
              <w:bottom w:val="single" w:color="000000" w:sz="4" w:space="0"/>
            </w:tcBorders>
          </w:tcPr>
          <w:p w14:paraId="169E469B">
            <w:pPr>
              <w:pageBreakBefore w:val="0"/>
              <w:topLinePunct w:val="0"/>
              <w:bidi w:val="0"/>
              <w:spacing w:line="500" w:lineRule="exact"/>
              <w:ind w:left="0" w:leftChars="0" w:right="0" w:rightChars="0" w:firstLine="480" w:firstLineChars="200"/>
              <w:jc w:val="center"/>
              <w:rPr>
                <w:color w:val="auto"/>
                <w:sz w:val="24"/>
                <w:szCs w:val="24"/>
              </w:rPr>
            </w:pPr>
          </w:p>
        </w:tc>
      </w:tr>
      <w:tr w14:paraId="3110AD4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8" w:hRule="atLeast"/>
        </w:trPr>
        <w:tc>
          <w:tcPr>
            <w:tcW w:w="1080" w:type="dxa"/>
            <w:tcBorders>
              <w:top w:val="single" w:color="000000" w:sz="4" w:space="0"/>
              <w:bottom w:val="single" w:color="000000" w:sz="4" w:space="0"/>
              <w:right w:val="single" w:color="000000" w:sz="4" w:space="0"/>
            </w:tcBorders>
          </w:tcPr>
          <w:p w14:paraId="0B520624">
            <w:pPr>
              <w:pageBreakBefore w:val="0"/>
              <w:topLinePunct w:val="0"/>
              <w:bidi w:val="0"/>
              <w:spacing w:line="500" w:lineRule="exact"/>
              <w:ind w:left="0" w:leftChars="0" w:right="0" w:rightChars="0" w:firstLine="480" w:firstLineChars="200"/>
              <w:jc w:val="center"/>
              <w:rPr>
                <w:color w:val="auto"/>
                <w:sz w:val="24"/>
                <w:szCs w:val="24"/>
              </w:rPr>
            </w:pPr>
          </w:p>
        </w:tc>
        <w:tc>
          <w:tcPr>
            <w:tcW w:w="1545" w:type="dxa"/>
            <w:tcBorders>
              <w:top w:val="single" w:color="000000" w:sz="4" w:space="0"/>
              <w:left w:val="single" w:color="000000" w:sz="4" w:space="0"/>
              <w:bottom w:val="single" w:color="000000" w:sz="4" w:space="0"/>
              <w:right w:val="single" w:color="000000" w:sz="4" w:space="0"/>
            </w:tcBorders>
          </w:tcPr>
          <w:p w14:paraId="29AB529B">
            <w:pPr>
              <w:pageBreakBefore w:val="0"/>
              <w:topLinePunct w:val="0"/>
              <w:bidi w:val="0"/>
              <w:spacing w:line="500" w:lineRule="exact"/>
              <w:ind w:left="0" w:leftChars="0" w:right="0" w:rightChars="0" w:firstLine="480" w:firstLineChars="200"/>
              <w:jc w:val="center"/>
              <w:rPr>
                <w:color w:val="auto"/>
                <w:sz w:val="24"/>
                <w:szCs w:val="24"/>
              </w:rPr>
            </w:pPr>
          </w:p>
        </w:tc>
        <w:tc>
          <w:tcPr>
            <w:tcW w:w="2330" w:type="dxa"/>
            <w:tcBorders>
              <w:top w:val="single" w:color="000000" w:sz="4" w:space="0"/>
              <w:left w:val="single" w:color="000000" w:sz="4" w:space="0"/>
              <w:bottom w:val="single" w:color="000000" w:sz="4" w:space="0"/>
              <w:right w:val="single" w:color="000000" w:sz="4" w:space="0"/>
            </w:tcBorders>
          </w:tcPr>
          <w:p w14:paraId="0C517B9E">
            <w:pPr>
              <w:pageBreakBefore w:val="0"/>
              <w:topLinePunct w:val="0"/>
              <w:bidi w:val="0"/>
              <w:spacing w:line="500" w:lineRule="exact"/>
              <w:ind w:left="0" w:leftChars="0" w:right="0" w:rightChars="0" w:firstLine="480" w:firstLineChars="200"/>
              <w:jc w:val="center"/>
              <w:rPr>
                <w:color w:val="auto"/>
                <w:sz w:val="24"/>
                <w:szCs w:val="24"/>
              </w:rPr>
            </w:pPr>
          </w:p>
        </w:tc>
        <w:tc>
          <w:tcPr>
            <w:tcW w:w="1288" w:type="dxa"/>
            <w:tcBorders>
              <w:top w:val="single" w:color="000000" w:sz="4" w:space="0"/>
              <w:left w:val="single" w:color="000000" w:sz="4" w:space="0"/>
              <w:bottom w:val="single" w:color="000000" w:sz="4" w:space="0"/>
              <w:right w:val="single" w:color="000000" w:sz="4" w:space="0"/>
            </w:tcBorders>
          </w:tcPr>
          <w:p w14:paraId="16D2E553">
            <w:pPr>
              <w:pageBreakBefore w:val="0"/>
              <w:topLinePunct w:val="0"/>
              <w:bidi w:val="0"/>
              <w:spacing w:line="500" w:lineRule="exact"/>
              <w:ind w:left="0" w:leftChars="0" w:right="0" w:rightChars="0" w:firstLine="480" w:firstLineChars="200"/>
              <w:jc w:val="center"/>
              <w:rPr>
                <w:color w:val="auto"/>
                <w:sz w:val="24"/>
                <w:szCs w:val="24"/>
              </w:rPr>
            </w:pPr>
          </w:p>
        </w:tc>
        <w:tc>
          <w:tcPr>
            <w:tcW w:w="1436" w:type="dxa"/>
            <w:tcBorders>
              <w:top w:val="single" w:color="000000" w:sz="4" w:space="0"/>
              <w:left w:val="single" w:color="000000" w:sz="4" w:space="0"/>
              <w:bottom w:val="single" w:color="000000" w:sz="4" w:space="0"/>
              <w:right w:val="single" w:color="000000" w:sz="4" w:space="0"/>
            </w:tcBorders>
          </w:tcPr>
          <w:p w14:paraId="55961F06">
            <w:pPr>
              <w:pageBreakBefore w:val="0"/>
              <w:topLinePunct w:val="0"/>
              <w:bidi w:val="0"/>
              <w:spacing w:line="500" w:lineRule="exact"/>
              <w:ind w:left="0" w:leftChars="0" w:right="0" w:rightChars="0" w:firstLine="480" w:firstLineChars="200"/>
              <w:jc w:val="center"/>
              <w:rPr>
                <w:color w:val="auto"/>
                <w:sz w:val="24"/>
                <w:szCs w:val="24"/>
              </w:rPr>
            </w:pPr>
          </w:p>
        </w:tc>
        <w:tc>
          <w:tcPr>
            <w:tcW w:w="1373" w:type="dxa"/>
            <w:tcBorders>
              <w:top w:val="single" w:color="000000" w:sz="4" w:space="0"/>
              <w:left w:val="single" w:color="000000" w:sz="4" w:space="0"/>
              <w:bottom w:val="single" w:color="000000" w:sz="4" w:space="0"/>
              <w:right w:val="single" w:color="000000" w:sz="4" w:space="0"/>
            </w:tcBorders>
          </w:tcPr>
          <w:p w14:paraId="11B94433">
            <w:pPr>
              <w:pageBreakBefore w:val="0"/>
              <w:topLinePunct w:val="0"/>
              <w:bidi w:val="0"/>
              <w:spacing w:line="500" w:lineRule="exact"/>
              <w:ind w:left="0" w:leftChars="0" w:right="0" w:rightChars="0" w:firstLine="480" w:firstLineChars="200"/>
              <w:jc w:val="center"/>
              <w:rPr>
                <w:color w:val="auto"/>
                <w:sz w:val="24"/>
                <w:szCs w:val="24"/>
              </w:rPr>
            </w:pPr>
          </w:p>
        </w:tc>
        <w:tc>
          <w:tcPr>
            <w:tcW w:w="668" w:type="dxa"/>
            <w:tcBorders>
              <w:top w:val="single" w:color="000000" w:sz="4" w:space="0"/>
              <w:left w:val="single" w:color="000000" w:sz="4" w:space="0"/>
              <w:bottom w:val="single" w:color="000000" w:sz="4" w:space="0"/>
            </w:tcBorders>
          </w:tcPr>
          <w:p w14:paraId="50B90C67">
            <w:pPr>
              <w:pageBreakBefore w:val="0"/>
              <w:topLinePunct w:val="0"/>
              <w:bidi w:val="0"/>
              <w:spacing w:line="500" w:lineRule="exact"/>
              <w:ind w:left="0" w:leftChars="0" w:right="0" w:rightChars="0" w:firstLine="480" w:firstLineChars="200"/>
              <w:jc w:val="center"/>
              <w:rPr>
                <w:color w:val="auto"/>
                <w:sz w:val="24"/>
                <w:szCs w:val="24"/>
              </w:rPr>
            </w:pPr>
          </w:p>
        </w:tc>
      </w:tr>
      <w:tr w14:paraId="349371A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4" w:hRule="atLeast"/>
        </w:trPr>
        <w:tc>
          <w:tcPr>
            <w:tcW w:w="1080" w:type="dxa"/>
            <w:tcBorders>
              <w:top w:val="single" w:color="000000" w:sz="4" w:space="0"/>
              <w:bottom w:val="single" w:color="000000" w:sz="4" w:space="0"/>
              <w:right w:val="single" w:color="000000" w:sz="4" w:space="0"/>
            </w:tcBorders>
          </w:tcPr>
          <w:p w14:paraId="2B0D8C1B">
            <w:pPr>
              <w:pageBreakBefore w:val="0"/>
              <w:topLinePunct w:val="0"/>
              <w:bidi w:val="0"/>
              <w:spacing w:line="500" w:lineRule="exact"/>
              <w:ind w:left="0" w:leftChars="0" w:right="0" w:rightChars="0" w:firstLine="480" w:firstLineChars="200"/>
              <w:jc w:val="center"/>
              <w:rPr>
                <w:color w:val="auto"/>
                <w:sz w:val="24"/>
                <w:szCs w:val="24"/>
              </w:rPr>
            </w:pPr>
          </w:p>
        </w:tc>
        <w:tc>
          <w:tcPr>
            <w:tcW w:w="1545" w:type="dxa"/>
            <w:tcBorders>
              <w:top w:val="single" w:color="000000" w:sz="4" w:space="0"/>
              <w:left w:val="single" w:color="000000" w:sz="4" w:space="0"/>
              <w:bottom w:val="single" w:color="000000" w:sz="4" w:space="0"/>
              <w:right w:val="single" w:color="000000" w:sz="4" w:space="0"/>
            </w:tcBorders>
          </w:tcPr>
          <w:p w14:paraId="774B3B2B">
            <w:pPr>
              <w:pageBreakBefore w:val="0"/>
              <w:topLinePunct w:val="0"/>
              <w:bidi w:val="0"/>
              <w:spacing w:line="500" w:lineRule="exact"/>
              <w:ind w:left="0" w:leftChars="0" w:right="0" w:rightChars="0" w:firstLine="480" w:firstLineChars="200"/>
              <w:jc w:val="center"/>
              <w:rPr>
                <w:color w:val="auto"/>
                <w:sz w:val="24"/>
                <w:szCs w:val="24"/>
              </w:rPr>
            </w:pPr>
          </w:p>
        </w:tc>
        <w:tc>
          <w:tcPr>
            <w:tcW w:w="2330" w:type="dxa"/>
            <w:tcBorders>
              <w:top w:val="single" w:color="000000" w:sz="4" w:space="0"/>
              <w:left w:val="single" w:color="000000" w:sz="4" w:space="0"/>
              <w:bottom w:val="single" w:color="000000" w:sz="4" w:space="0"/>
              <w:right w:val="single" w:color="000000" w:sz="4" w:space="0"/>
            </w:tcBorders>
          </w:tcPr>
          <w:p w14:paraId="6A06DAFF">
            <w:pPr>
              <w:pageBreakBefore w:val="0"/>
              <w:topLinePunct w:val="0"/>
              <w:bidi w:val="0"/>
              <w:spacing w:line="500" w:lineRule="exact"/>
              <w:ind w:left="0" w:leftChars="0" w:right="0" w:rightChars="0" w:firstLine="480" w:firstLineChars="200"/>
              <w:jc w:val="center"/>
              <w:rPr>
                <w:color w:val="auto"/>
                <w:sz w:val="24"/>
                <w:szCs w:val="24"/>
              </w:rPr>
            </w:pPr>
          </w:p>
        </w:tc>
        <w:tc>
          <w:tcPr>
            <w:tcW w:w="1288" w:type="dxa"/>
            <w:tcBorders>
              <w:top w:val="single" w:color="000000" w:sz="4" w:space="0"/>
              <w:left w:val="single" w:color="000000" w:sz="4" w:space="0"/>
              <w:bottom w:val="single" w:color="000000" w:sz="4" w:space="0"/>
              <w:right w:val="single" w:color="000000" w:sz="4" w:space="0"/>
            </w:tcBorders>
          </w:tcPr>
          <w:p w14:paraId="56BC0825">
            <w:pPr>
              <w:pageBreakBefore w:val="0"/>
              <w:topLinePunct w:val="0"/>
              <w:bidi w:val="0"/>
              <w:spacing w:line="500" w:lineRule="exact"/>
              <w:ind w:left="0" w:leftChars="0" w:right="0" w:rightChars="0" w:firstLine="480" w:firstLineChars="200"/>
              <w:jc w:val="center"/>
              <w:rPr>
                <w:color w:val="auto"/>
                <w:sz w:val="24"/>
                <w:szCs w:val="24"/>
              </w:rPr>
            </w:pPr>
          </w:p>
        </w:tc>
        <w:tc>
          <w:tcPr>
            <w:tcW w:w="1436" w:type="dxa"/>
            <w:tcBorders>
              <w:top w:val="single" w:color="000000" w:sz="4" w:space="0"/>
              <w:left w:val="single" w:color="000000" w:sz="4" w:space="0"/>
              <w:bottom w:val="single" w:color="000000" w:sz="4" w:space="0"/>
              <w:right w:val="single" w:color="000000" w:sz="4" w:space="0"/>
            </w:tcBorders>
          </w:tcPr>
          <w:p w14:paraId="391C1255">
            <w:pPr>
              <w:pageBreakBefore w:val="0"/>
              <w:topLinePunct w:val="0"/>
              <w:bidi w:val="0"/>
              <w:spacing w:line="500" w:lineRule="exact"/>
              <w:ind w:left="0" w:leftChars="0" w:right="0" w:rightChars="0" w:firstLine="480" w:firstLineChars="200"/>
              <w:jc w:val="center"/>
              <w:rPr>
                <w:color w:val="auto"/>
                <w:sz w:val="24"/>
                <w:szCs w:val="24"/>
              </w:rPr>
            </w:pPr>
          </w:p>
        </w:tc>
        <w:tc>
          <w:tcPr>
            <w:tcW w:w="1373" w:type="dxa"/>
            <w:tcBorders>
              <w:top w:val="single" w:color="000000" w:sz="4" w:space="0"/>
              <w:left w:val="single" w:color="000000" w:sz="4" w:space="0"/>
              <w:bottom w:val="single" w:color="000000" w:sz="4" w:space="0"/>
              <w:right w:val="single" w:color="000000" w:sz="4" w:space="0"/>
            </w:tcBorders>
          </w:tcPr>
          <w:p w14:paraId="3679CAF7">
            <w:pPr>
              <w:pageBreakBefore w:val="0"/>
              <w:topLinePunct w:val="0"/>
              <w:bidi w:val="0"/>
              <w:spacing w:line="500" w:lineRule="exact"/>
              <w:ind w:left="0" w:leftChars="0" w:right="0" w:rightChars="0" w:firstLine="480" w:firstLineChars="200"/>
              <w:jc w:val="center"/>
              <w:rPr>
                <w:color w:val="auto"/>
                <w:sz w:val="24"/>
                <w:szCs w:val="24"/>
              </w:rPr>
            </w:pPr>
          </w:p>
        </w:tc>
        <w:tc>
          <w:tcPr>
            <w:tcW w:w="668" w:type="dxa"/>
            <w:tcBorders>
              <w:top w:val="single" w:color="000000" w:sz="4" w:space="0"/>
              <w:left w:val="single" w:color="000000" w:sz="4" w:space="0"/>
              <w:bottom w:val="single" w:color="000000" w:sz="4" w:space="0"/>
            </w:tcBorders>
          </w:tcPr>
          <w:p w14:paraId="52D46D2C">
            <w:pPr>
              <w:pageBreakBefore w:val="0"/>
              <w:topLinePunct w:val="0"/>
              <w:bidi w:val="0"/>
              <w:spacing w:line="500" w:lineRule="exact"/>
              <w:ind w:left="0" w:leftChars="0" w:right="0" w:rightChars="0" w:firstLine="480" w:firstLineChars="200"/>
              <w:jc w:val="center"/>
              <w:rPr>
                <w:color w:val="auto"/>
                <w:sz w:val="24"/>
                <w:szCs w:val="24"/>
              </w:rPr>
            </w:pPr>
          </w:p>
        </w:tc>
      </w:tr>
      <w:tr w14:paraId="5C668E8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3" w:hRule="atLeast"/>
        </w:trPr>
        <w:tc>
          <w:tcPr>
            <w:tcW w:w="1080" w:type="dxa"/>
            <w:tcBorders>
              <w:top w:val="single" w:color="000000" w:sz="4" w:space="0"/>
              <w:bottom w:val="single" w:color="000000" w:sz="4" w:space="0"/>
              <w:right w:val="single" w:color="000000" w:sz="4" w:space="0"/>
            </w:tcBorders>
          </w:tcPr>
          <w:p w14:paraId="07CB15CC">
            <w:pPr>
              <w:pageBreakBefore w:val="0"/>
              <w:topLinePunct w:val="0"/>
              <w:bidi w:val="0"/>
              <w:spacing w:line="500" w:lineRule="exact"/>
              <w:ind w:left="0" w:leftChars="0" w:right="0" w:rightChars="0" w:firstLine="480" w:firstLineChars="200"/>
              <w:jc w:val="center"/>
              <w:rPr>
                <w:color w:val="auto"/>
                <w:sz w:val="24"/>
                <w:szCs w:val="24"/>
              </w:rPr>
            </w:pPr>
          </w:p>
        </w:tc>
        <w:tc>
          <w:tcPr>
            <w:tcW w:w="1545" w:type="dxa"/>
            <w:tcBorders>
              <w:top w:val="single" w:color="000000" w:sz="4" w:space="0"/>
              <w:left w:val="single" w:color="000000" w:sz="4" w:space="0"/>
              <w:bottom w:val="single" w:color="000000" w:sz="4" w:space="0"/>
              <w:right w:val="single" w:color="000000" w:sz="4" w:space="0"/>
            </w:tcBorders>
          </w:tcPr>
          <w:p w14:paraId="1E544C7B">
            <w:pPr>
              <w:pageBreakBefore w:val="0"/>
              <w:topLinePunct w:val="0"/>
              <w:bidi w:val="0"/>
              <w:spacing w:line="500" w:lineRule="exact"/>
              <w:ind w:left="0" w:leftChars="0" w:right="0" w:rightChars="0" w:firstLine="480" w:firstLineChars="200"/>
              <w:jc w:val="center"/>
              <w:rPr>
                <w:color w:val="auto"/>
                <w:sz w:val="24"/>
                <w:szCs w:val="24"/>
              </w:rPr>
            </w:pPr>
          </w:p>
        </w:tc>
        <w:tc>
          <w:tcPr>
            <w:tcW w:w="2330" w:type="dxa"/>
            <w:tcBorders>
              <w:top w:val="single" w:color="000000" w:sz="4" w:space="0"/>
              <w:left w:val="single" w:color="000000" w:sz="4" w:space="0"/>
              <w:bottom w:val="single" w:color="000000" w:sz="4" w:space="0"/>
              <w:right w:val="single" w:color="000000" w:sz="4" w:space="0"/>
            </w:tcBorders>
          </w:tcPr>
          <w:p w14:paraId="4CF0BA61">
            <w:pPr>
              <w:pageBreakBefore w:val="0"/>
              <w:topLinePunct w:val="0"/>
              <w:bidi w:val="0"/>
              <w:spacing w:line="500" w:lineRule="exact"/>
              <w:ind w:left="0" w:leftChars="0" w:right="0" w:rightChars="0" w:firstLine="480" w:firstLineChars="200"/>
              <w:jc w:val="center"/>
              <w:rPr>
                <w:color w:val="auto"/>
                <w:sz w:val="24"/>
                <w:szCs w:val="24"/>
              </w:rPr>
            </w:pPr>
          </w:p>
        </w:tc>
        <w:tc>
          <w:tcPr>
            <w:tcW w:w="1288" w:type="dxa"/>
            <w:tcBorders>
              <w:top w:val="single" w:color="000000" w:sz="4" w:space="0"/>
              <w:left w:val="single" w:color="000000" w:sz="4" w:space="0"/>
              <w:bottom w:val="single" w:color="000000" w:sz="4" w:space="0"/>
              <w:right w:val="single" w:color="000000" w:sz="4" w:space="0"/>
            </w:tcBorders>
          </w:tcPr>
          <w:p w14:paraId="0CC80044">
            <w:pPr>
              <w:pageBreakBefore w:val="0"/>
              <w:topLinePunct w:val="0"/>
              <w:bidi w:val="0"/>
              <w:spacing w:line="500" w:lineRule="exact"/>
              <w:ind w:left="0" w:leftChars="0" w:right="0" w:rightChars="0" w:firstLine="480" w:firstLineChars="200"/>
              <w:jc w:val="center"/>
              <w:rPr>
                <w:color w:val="auto"/>
                <w:sz w:val="24"/>
                <w:szCs w:val="24"/>
              </w:rPr>
            </w:pPr>
          </w:p>
        </w:tc>
        <w:tc>
          <w:tcPr>
            <w:tcW w:w="1436" w:type="dxa"/>
            <w:tcBorders>
              <w:top w:val="single" w:color="000000" w:sz="4" w:space="0"/>
              <w:left w:val="single" w:color="000000" w:sz="4" w:space="0"/>
              <w:bottom w:val="single" w:color="000000" w:sz="4" w:space="0"/>
              <w:right w:val="single" w:color="000000" w:sz="4" w:space="0"/>
            </w:tcBorders>
          </w:tcPr>
          <w:p w14:paraId="5915A542">
            <w:pPr>
              <w:pageBreakBefore w:val="0"/>
              <w:topLinePunct w:val="0"/>
              <w:bidi w:val="0"/>
              <w:spacing w:line="500" w:lineRule="exact"/>
              <w:ind w:left="0" w:leftChars="0" w:right="0" w:rightChars="0" w:firstLine="480" w:firstLineChars="200"/>
              <w:jc w:val="center"/>
              <w:rPr>
                <w:color w:val="auto"/>
                <w:sz w:val="24"/>
                <w:szCs w:val="24"/>
              </w:rPr>
            </w:pPr>
          </w:p>
        </w:tc>
        <w:tc>
          <w:tcPr>
            <w:tcW w:w="1373" w:type="dxa"/>
            <w:tcBorders>
              <w:top w:val="single" w:color="000000" w:sz="4" w:space="0"/>
              <w:left w:val="single" w:color="000000" w:sz="4" w:space="0"/>
              <w:bottom w:val="single" w:color="000000" w:sz="4" w:space="0"/>
              <w:right w:val="single" w:color="000000" w:sz="4" w:space="0"/>
            </w:tcBorders>
          </w:tcPr>
          <w:p w14:paraId="4B09E24E">
            <w:pPr>
              <w:pageBreakBefore w:val="0"/>
              <w:topLinePunct w:val="0"/>
              <w:bidi w:val="0"/>
              <w:spacing w:line="500" w:lineRule="exact"/>
              <w:ind w:left="0" w:leftChars="0" w:right="0" w:rightChars="0" w:firstLine="480" w:firstLineChars="200"/>
              <w:jc w:val="center"/>
              <w:rPr>
                <w:color w:val="auto"/>
                <w:sz w:val="24"/>
                <w:szCs w:val="24"/>
              </w:rPr>
            </w:pPr>
          </w:p>
        </w:tc>
        <w:tc>
          <w:tcPr>
            <w:tcW w:w="668" w:type="dxa"/>
            <w:tcBorders>
              <w:top w:val="single" w:color="000000" w:sz="4" w:space="0"/>
              <w:left w:val="single" w:color="000000" w:sz="4" w:space="0"/>
              <w:bottom w:val="single" w:color="000000" w:sz="4" w:space="0"/>
            </w:tcBorders>
          </w:tcPr>
          <w:p w14:paraId="6D1902A7">
            <w:pPr>
              <w:pageBreakBefore w:val="0"/>
              <w:topLinePunct w:val="0"/>
              <w:bidi w:val="0"/>
              <w:spacing w:line="500" w:lineRule="exact"/>
              <w:ind w:left="0" w:leftChars="0" w:right="0" w:rightChars="0" w:firstLine="480" w:firstLineChars="200"/>
              <w:jc w:val="center"/>
              <w:rPr>
                <w:color w:val="auto"/>
                <w:sz w:val="24"/>
                <w:szCs w:val="24"/>
              </w:rPr>
            </w:pPr>
          </w:p>
        </w:tc>
      </w:tr>
      <w:tr w14:paraId="452364D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3" w:hRule="atLeast"/>
        </w:trPr>
        <w:tc>
          <w:tcPr>
            <w:tcW w:w="1080" w:type="dxa"/>
            <w:tcBorders>
              <w:top w:val="single" w:color="000000" w:sz="4" w:space="0"/>
              <w:bottom w:val="single" w:color="000000" w:sz="4" w:space="0"/>
              <w:right w:val="single" w:color="000000" w:sz="4" w:space="0"/>
            </w:tcBorders>
          </w:tcPr>
          <w:p w14:paraId="5A2D9DEE">
            <w:pPr>
              <w:pageBreakBefore w:val="0"/>
              <w:topLinePunct w:val="0"/>
              <w:bidi w:val="0"/>
              <w:spacing w:line="500" w:lineRule="exact"/>
              <w:ind w:left="0" w:leftChars="0" w:right="0" w:rightChars="0" w:firstLine="480" w:firstLineChars="200"/>
              <w:jc w:val="center"/>
              <w:rPr>
                <w:color w:val="auto"/>
                <w:sz w:val="24"/>
                <w:szCs w:val="24"/>
              </w:rPr>
            </w:pPr>
          </w:p>
        </w:tc>
        <w:tc>
          <w:tcPr>
            <w:tcW w:w="1545" w:type="dxa"/>
            <w:tcBorders>
              <w:top w:val="single" w:color="000000" w:sz="4" w:space="0"/>
              <w:left w:val="single" w:color="000000" w:sz="4" w:space="0"/>
              <w:bottom w:val="single" w:color="000000" w:sz="4" w:space="0"/>
              <w:right w:val="single" w:color="000000" w:sz="4" w:space="0"/>
            </w:tcBorders>
          </w:tcPr>
          <w:p w14:paraId="4F2D1B58">
            <w:pPr>
              <w:pageBreakBefore w:val="0"/>
              <w:topLinePunct w:val="0"/>
              <w:bidi w:val="0"/>
              <w:spacing w:line="500" w:lineRule="exact"/>
              <w:ind w:left="0" w:leftChars="0" w:right="0" w:rightChars="0" w:firstLine="480" w:firstLineChars="200"/>
              <w:jc w:val="center"/>
              <w:rPr>
                <w:color w:val="auto"/>
                <w:sz w:val="24"/>
                <w:szCs w:val="24"/>
              </w:rPr>
            </w:pPr>
          </w:p>
        </w:tc>
        <w:tc>
          <w:tcPr>
            <w:tcW w:w="2330" w:type="dxa"/>
            <w:tcBorders>
              <w:top w:val="single" w:color="000000" w:sz="4" w:space="0"/>
              <w:left w:val="single" w:color="000000" w:sz="4" w:space="0"/>
              <w:bottom w:val="single" w:color="000000" w:sz="4" w:space="0"/>
              <w:right w:val="single" w:color="000000" w:sz="4" w:space="0"/>
            </w:tcBorders>
          </w:tcPr>
          <w:p w14:paraId="6098363B">
            <w:pPr>
              <w:pageBreakBefore w:val="0"/>
              <w:topLinePunct w:val="0"/>
              <w:bidi w:val="0"/>
              <w:spacing w:line="500" w:lineRule="exact"/>
              <w:ind w:left="0" w:leftChars="0" w:right="0" w:rightChars="0" w:firstLine="480" w:firstLineChars="200"/>
              <w:jc w:val="center"/>
              <w:rPr>
                <w:color w:val="auto"/>
                <w:sz w:val="24"/>
                <w:szCs w:val="24"/>
              </w:rPr>
            </w:pPr>
          </w:p>
        </w:tc>
        <w:tc>
          <w:tcPr>
            <w:tcW w:w="1288" w:type="dxa"/>
            <w:tcBorders>
              <w:top w:val="single" w:color="000000" w:sz="4" w:space="0"/>
              <w:left w:val="single" w:color="000000" w:sz="4" w:space="0"/>
              <w:bottom w:val="single" w:color="000000" w:sz="4" w:space="0"/>
              <w:right w:val="single" w:color="000000" w:sz="4" w:space="0"/>
            </w:tcBorders>
          </w:tcPr>
          <w:p w14:paraId="1F28095D">
            <w:pPr>
              <w:pageBreakBefore w:val="0"/>
              <w:topLinePunct w:val="0"/>
              <w:bidi w:val="0"/>
              <w:spacing w:line="500" w:lineRule="exact"/>
              <w:ind w:left="0" w:leftChars="0" w:right="0" w:rightChars="0" w:firstLine="480" w:firstLineChars="200"/>
              <w:jc w:val="center"/>
              <w:rPr>
                <w:color w:val="auto"/>
                <w:sz w:val="24"/>
                <w:szCs w:val="24"/>
              </w:rPr>
            </w:pPr>
          </w:p>
        </w:tc>
        <w:tc>
          <w:tcPr>
            <w:tcW w:w="1436" w:type="dxa"/>
            <w:tcBorders>
              <w:top w:val="single" w:color="000000" w:sz="4" w:space="0"/>
              <w:left w:val="single" w:color="000000" w:sz="4" w:space="0"/>
              <w:bottom w:val="single" w:color="000000" w:sz="4" w:space="0"/>
              <w:right w:val="single" w:color="000000" w:sz="4" w:space="0"/>
            </w:tcBorders>
          </w:tcPr>
          <w:p w14:paraId="6E85FFBA">
            <w:pPr>
              <w:pageBreakBefore w:val="0"/>
              <w:topLinePunct w:val="0"/>
              <w:bidi w:val="0"/>
              <w:spacing w:line="500" w:lineRule="exact"/>
              <w:ind w:left="0" w:leftChars="0" w:right="0" w:rightChars="0" w:firstLine="480" w:firstLineChars="200"/>
              <w:jc w:val="center"/>
              <w:rPr>
                <w:color w:val="auto"/>
                <w:sz w:val="24"/>
                <w:szCs w:val="24"/>
              </w:rPr>
            </w:pPr>
          </w:p>
        </w:tc>
        <w:tc>
          <w:tcPr>
            <w:tcW w:w="1373" w:type="dxa"/>
            <w:tcBorders>
              <w:top w:val="single" w:color="000000" w:sz="4" w:space="0"/>
              <w:left w:val="single" w:color="000000" w:sz="4" w:space="0"/>
              <w:bottom w:val="single" w:color="000000" w:sz="4" w:space="0"/>
              <w:right w:val="single" w:color="000000" w:sz="4" w:space="0"/>
            </w:tcBorders>
          </w:tcPr>
          <w:p w14:paraId="6F3EA3C5">
            <w:pPr>
              <w:pageBreakBefore w:val="0"/>
              <w:topLinePunct w:val="0"/>
              <w:bidi w:val="0"/>
              <w:spacing w:line="500" w:lineRule="exact"/>
              <w:ind w:left="0" w:leftChars="0" w:right="0" w:rightChars="0" w:firstLine="480" w:firstLineChars="200"/>
              <w:jc w:val="center"/>
              <w:rPr>
                <w:color w:val="auto"/>
                <w:sz w:val="24"/>
                <w:szCs w:val="24"/>
              </w:rPr>
            </w:pPr>
          </w:p>
        </w:tc>
        <w:tc>
          <w:tcPr>
            <w:tcW w:w="668" w:type="dxa"/>
            <w:tcBorders>
              <w:top w:val="single" w:color="000000" w:sz="4" w:space="0"/>
              <w:left w:val="single" w:color="000000" w:sz="4" w:space="0"/>
              <w:bottom w:val="single" w:color="000000" w:sz="4" w:space="0"/>
            </w:tcBorders>
          </w:tcPr>
          <w:p w14:paraId="43596289">
            <w:pPr>
              <w:pageBreakBefore w:val="0"/>
              <w:topLinePunct w:val="0"/>
              <w:bidi w:val="0"/>
              <w:spacing w:line="500" w:lineRule="exact"/>
              <w:ind w:left="0" w:leftChars="0" w:right="0" w:rightChars="0" w:firstLine="480" w:firstLineChars="200"/>
              <w:jc w:val="center"/>
              <w:rPr>
                <w:color w:val="auto"/>
                <w:sz w:val="24"/>
                <w:szCs w:val="24"/>
              </w:rPr>
            </w:pPr>
          </w:p>
        </w:tc>
      </w:tr>
      <w:tr w14:paraId="7898CF4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3" w:hRule="atLeast"/>
        </w:trPr>
        <w:tc>
          <w:tcPr>
            <w:tcW w:w="1080" w:type="dxa"/>
            <w:tcBorders>
              <w:top w:val="single" w:color="000000" w:sz="4" w:space="0"/>
              <w:bottom w:val="single" w:color="000000" w:sz="4" w:space="0"/>
              <w:right w:val="single" w:color="000000" w:sz="4" w:space="0"/>
            </w:tcBorders>
          </w:tcPr>
          <w:p w14:paraId="437764B0">
            <w:pPr>
              <w:pageBreakBefore w:val="0"/>
              <w:topLinePunct w:val="0"/>
              <w:bidi w:val="0"/>
              <w:spacing w:line="500" w:lineRule="exact"/>
              <w:ind w:left="0" w:leftChars="0" w:right="0" w:rightChars="0" w:firstLine="480" w:firstLineChars="200"/>
              <w:jc w:val="center"/>
              <w:rPr>
                <w:color w:val="auto"/>
                <w:sz w:val="24"/>
                <w:szCs w:val="24"/>
              </w:rPr>
            </w:pPr>
          </w:p>
        </w:tc>
        <w:tc>
          <w:tcPr>
            <w:tcW w:w="1545" w:type="dxa"/>
            <w:tcBorders>
              <w:top w:val="single" w:color="000000" w:sz="4" w:space="0"/>
              <w:left w:val="single" w:color="000000" w:sz="4" w:space="0"/>
              <w:bottom w:val="single" w:color="000000" w:sz="4" w:space="0"/>
              <w:right w:val="single" w:color="000000" w:sz="4" w:space="0"/>
            </w:tcBorders>
          </w:tcPr>
          <w:p w14:paraId="1297B821">
            <w:pPr>
              <w:pageBreakBefore w:val="0"/>
              <w:topLinePunct w:val="0"/>
              <w:bidi w:val="0"/>
              <w:spacing w:line="500" w:lineRule="exact"/>
              <w:ind w:left="0" w:leftChars="0" w:right="0" w:rightChars="0" w:firstLine="480" w:firstLineChars="200"/>
              <w:jc w:val="center"/>
              <w:rPr>
                <w:color w:val="auto"/>
                <w:sz w:val="24"/>
                <w:szCs w:val="24"/>
              </w:rPr>
            </w:pPr>
          </w:p>
        </w:tc>
        <w:tc>
          <w:tcPr>
            <w:tcW w:w="2330" w:type="dxa"/>
            <w:tcBorders>
              <w:top w:val="single" w:color="000000" w:sz="4" w:space="0"/>
              <w:left w:val="single" w:color="000000" w:sz="4" w:space="0"/>
              <w:bottom w:val="single" w:color="000000" w:sz="4" w:space="0"/>
              <w:right w:val="single" w:color="000000" w:sz="4" w:space="0"/>
            </w:tcBorders>
          </w:tcPr>
          <w:p w14:paraId="7D81BE04">
            <w:pPr>
              <w:pageBreakBefore w:val="0"/>
              <w:topLinePunct w:val="0"/>
              <w:bidi w:val="0"/>
              <w:spacing w:line="500" w:lineRule="exact"/>
              <w:ind w:left="0" w:leftChars="0" w:right="0" w:rightChars="0" w:firstLine="480" w:firstLineChars="200"/>
              <w:jc w:val="center"/>
              <w:rPr>
                <w:color w:val="auto"/>
                <w:sz w:val="24"/>
                <w:szCs w:val="24"/>
              </w:rPr>
            </w:pPr>
          </w:p>
        </w:tc>
        <w:tc>
          <w:tcPr>
            <w:tcW w:w="1288" w:type="dxa"/>
            <w:tcBorders>
              <w:top w:val="single" w:color="000000" w:sz="4" w:space="0"/>
              <w:left w:val="single" w:color="000000" w:sz="4" w:space="0"/>
              <w:bottom w:val="single" w:color="000000" w:sz="4" w:space="0"/>
              <w:right w:val="single" w:color="000000" w:sz="4" w:space="0"/>
            </w:tcBorders>
          </w:tcPr>
          <w:p w14:paraId="138BCF0B">
            <w:pPr>
              <w:pageBreakBefore w:val="0"/>
              <w:topLinePunct w:val="0"/>
              <w:bidi w:val="0"/>
              <w:spacing w:line="500" w:lineRule="exact"/>
              <w:ind w:left="0" w:leftChars="0" w:right="0" w:rightChars="0" w:firstLine="480" w:firstLineChars="200"/>
              <w:jc w:val="center"/>
              <w:rPr>
                <w:color w:val="auto"/>
                <w:sz w:val="24"/>
                <w:szCs w:val="24"/>
              </w:rPr>
            </w:pPr>
          </w:p>
        </w:tc>
        <w:tc>
          <w:tcPr>
            <w:tcW w:w="1436" w:type="dxa"/>
            <w:tcBorders>
              <w:top w:val="single" w:color="000000" w:sz="4" w:space="0"/>
              <w:left w:val="single" w:color="000000" w:sz="4" w:space="0"/>
              <w:bottom w:val="single" w:color="000000" w:sz="4" w:space="0"/>
              <w:right w:val="single" w:color="000000" w:sz="4" w:space="0"/>
            </w:tcBorders>
          </w:tcPr>
          <w:p w14:paraId="56DE9D58">
            <w:pPr>
              <w:pageBreakBefore w:val="0"/>
              <w:topLinePunct w:val="0"/>
              <w:bidi w:val="0"/>
              <w:spacing w:line="500" w:lineRule="exact"/>
              <w:ind w:left="0" w:leftChars="0" w:right="0" w:rightChars="0" w:firstLine="480" w:firstLineChars="200"/>
              <w:jc w:val="center"/>
              <w:rPr>
                <w:color w:val="auto"/>
                <w:sz w:val="24"/>
                <w:szCs w:val="24"/>
              </w:rPr>
            </w:pPr>
          </w:p>
        </w:tc>
        <w:tc>
          <w:tcPr>
            <w:tcW w:w="1373" w:type="dxa"/>
            <w:tcBorders>
              <w:top w:val="single" w:color="000000" w:sz="4" w:space="0"/>
              <w:left w:val="single" w:color="000000" w:sz="4" w:space="0"/>
              <w:bottom w:val="single" w:color="000000" w:sz="4" w:space="0"/>
              <w:right w:val="single" w:color="000000" w:sz="4" w:space="0"/>
            </w:tcBorders>
          </w:tcPr>
          <w:p w14:paraId="2439541E">
            <w:pPr>
              <w:pageBreakBefore w:val="0"/>
              <w:topLinePunct w:val="0"/>
              <w:bidi w:val="0"/>
              <w:spacing w:line="500" w:lineRule="exact"/>
              <w:ind w:left="0" w:leftChars="0" w:right="0" w:rightChars="0" w:firstLine="480" w:firstLineChars="200"/>
              <w:jc w:val="center"/>
              <w:rPr>
                <w:color w:val="auto"/>
                <w:sz w:val="24"/>
                <w:szCs w:val="24"/>
              </w:rPr>
            </w:pPr>
          </w:p>
        </w:tc>
        <w:tc>
          <w:tcPr>
            <w:tcW w:w="668" w:type="dxa"/>
            <w:tcBorders>
              <w:top w:val="single" w:color="000000" w:sz="4" w:space="0"/>
              <w:left w:val="single" w:color="000000" w:sz="4" w:space="0"/>
              <w:bottom w:val="single" w:color="000000" w:sz="4" w:space="0"/>
            </w:tcBorders>
          </w:tcPr>
          <w:p w14:paraId="79BFA0DF">
            <w:pPr>
              <w:pageBreakBefore w:val="0"/>
              <w:topLinePunct w:val="0"/>
              <w:bidi w:val="0"/>
              <w:spacing w:line="500" w:lineRule="exact"/>
              <w:ind w:left="0" w:leftChars="0" w:right="0" w:rightChars="0" w:firstLine="480" w:firstLineChars="200"/>
              <w:jc w:val="center"/>
              <w:rPr>
                <w:color w:val="auto"/>
                <w:sz w:val="24"/>
                <w:szCs w:val="24"/>
              </w:rPr>
            </w:pPr>
          </w:p>
        </w:tc>
      </w:tr>
      <w:tr w14:paraId="1E929F2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9" w:hRule="atLeast"/>
        </w:trPr>
        <w:tc>
          <w:tcPr>
            <w:tcW w:w="1080" w:type="dxa"/>
            <w:tcBorders>
              <w:top w:val="single" w:color="000000" w:sz="4" w:space="0"/>
              <w:bottom w:val="single" w:color="000000" w:sz="4" w:space="0"/>
              <w:right w:val="single" w:color="000000" w:sz="4" w:space="0"/>
            </w:tcBorders>
          </w:tcPr>
          <w:p w14:paraId="4B4253AE">
            <w:pPr>
              <w:pageBreakBefore w:val="0"/>
              <w:topLinePunct w:val="0"/>
              <w:bidi w:val="0"/>
              <w:spacing w:line="500" w:lineRule="exact"/>
              <w:ind w:left="0" w:leftChars="0" w:right="0" w:rightChars="0" w:firstLine="480" w:firstLineChars="200"/>
              <w:jc w:val="center"/>
              <w:rPr>
                <w:color w:val="auto"/>
                <w:sz w:val="24"/>
                <w:szCs w:val="24"/>
              </w:rPr>
            </w:pPr>
          </w:p>
        </w:tc>
        <w:tc>
          <w:tcPr>
            <w:tcW w:w="1545" w:type="dxa"/>
            <w:tcBorders>
              <w:top w:val="single" w:color="000000" w:sz="4" w:space="0"/>
              <w:left w:val="single" w:color="000000" w:sz="4" w:space="0"/>
              <w:bottom w:val="single" w:color="000000" w:sz="4" w:space="0"/>
              <w:right w:val="single" w:color="000000" w:sz="4" w:space="0"/>
            </w:tcBorders>
          </w:tcPr>
          <w:p w14:paraId="2CD977DB">
            <w:pPr>
              <w:pageBreakBefore w:val="0"/>
              <w:topLinePunct w:val="0"/>
              <w:bidi w:val="0"/>
              <w:spacing w:line="500" w:lineRule="exact"/>
              <w:ind w:left="0" w:leftChars="0" w:right="0" w:rightChars="0" w:firstLine="480" w:firstLineChars="200"/>
              <w:jc w:val="center"/>
              <w:rPr>
                <w:color w:val="auto"/>
                <w:sz w:val="24"/>
                <w:szCs w:val="24"/>
              </w:rPr>
            </w:pPr>
          </w:p>
        </w:tc>
        <w:tc>
          <w:tcPr>
            <w:tcW w:w="2330" w:type="dxa"/>
            <w:tcBorders>
              <w:top w:val="single" w:color="000000" w:sz="4" w:space="0"/>
              <w:left w:val="single" w:color="000000" w:sz="4" w:space="0"/>
              <w:bottom w:val="single" w:color="000000" w:sz="4" w:space="0"/>
              <w:right w:val="single" w:color="000000" w:sz="4" w:space="0"/>
            </w:tcBorders>
          </w:tcPr>
          <w:p w14:paraId="6B48189C">
            <w:pPr>
              <w:pageBreakBefore w:val="0"/>
              <w:topLinePunct w:val="0"/>
              <w:bidi w:val="0"/>
              <w:spacing w:line="500" w:lineRule="exact"/>
              <w:ind w:left="0" w:leftChars="0" w:right="0" w:rightChars="0" w:firstLine="480" w:firstLineChars="200"/>
              <w:jc w:val="center"/>
              <w:rPr>
                <w:color w:val="auto"/>
                <w:sz w:val="24"/>
                <w:szCs w:val="24"/>
              </w:rPr>
            </w:pPr>
          </w:p>
        </w:tc>
        <w:tc>
          <w:tcPr>
            <w:tcW w:w="1288" w:type="dxa"/>
            <w:tcBorders>
              <w:top w:val="single" w:color="000000" w:sz="4" w:space="0"/>
              <w:left w:val="single" w:color="000000" w:sz="4" w:space="0"/>
              <w:bottom w:val="single" w:color="000000" w:sz="4" w:space="0"/>
              <w:right w:val="single" w:color="000000" w:sz="4" w:space="0"/>
            </w:tcBorders>
          </w:tcPr>
          <w:p w14:paraId="382755AC">
            <w:pPr>
              <w:pageBreakBefore w:val="0"/>
              <w:topLinePunct w:val="0"/>
              <w:bidi w:val="0"/>
              <w:spacing w:line="500" w:lineRule="exact"/>
              <w:ind w:left="0" w:leftChars="0" w:right="0" w:rightChars="0" w:firstLine="480" w:firstLineChars="200"/>
              <w:jc w:val="center"/>
              <w:rPr>
                <w:color w:val="auto"/>
                <w:sz w:val="24"/>
                <w:szCs w:val="24"/>
              </w:rPr>
            </w:pPr>
          </w:p>
        </w:tc>
        <w:tc>
          <w:tcPr>
            <w:tcW w:w="1436" w:type="dxa"/>
            <w:tcBorders>
              <w:top w:val="single" w:color="000000" w:sz="4" w:space="0"/>
              <w:left w:val="single" w:color="000000" w:sz="4" w:space="0"/>
              <w:bottom w:val="single" w:color="000000" w:sz="4" w:space="0"/>
              <w:right w:val="single" w:color="000000" w:sz="4" w:space="0"/>
            </w:tcBorders>
          </w:tcPr>
          <w:p w14:paraId="523E9677">
            <w:pPr>
              <w:pageBreakBefore w:val="0"/>
              <w:topLinePunct w:val="0"/>
              <w:bidi w:val="0"/>
              <w:spacing w:line="500" w:lineRule="exact"/>
              <w:ind w:left="0" w:leftChars="0" w:right="0" w:rightChars="0" w:firstLine="480" w:firstLineChars="200"/>
              <w:jc w:val="center"/>
              <w:rPr>
                <w:color w:val="auto"/>
                <w:sz w:val="24"/>
                <w:szCs w:val="24"/>
              </w:rPr>
            </w:pPr>
          </w:p>
        </w:tc>
        <w:tc>
          <w:tcPr>
            <w:tcW w:w="1373" w:type="dxa"/>
            <w:tcBorders>
              <w:top w:val="single" w:color="000000" w:sz="4" w:space="0"/>
              <w:left w:val="single" w:color="000000" w:sz="4" w:space="0"/>
              <w:bottom w:val="single" w:color="000000" w:sz="4" w:space="0"/>
              <w:right w:val="single" w:color="000000" w:sz="4" w:space="0"/>
            </w:tcBorders>
          </w:tcPr>
          <w:p w14:paraId="54753FBA">
            <w:pPr>
              <w:pageBreakBefore w:val="0"/>
              <w:topLinePunct w:val="0"/>
              <w:bidi w:val="0"/>
              <w:spacing w:line="500" w:lineRule="exact"/>
              <w:ind w:left="0" w:leftChars="0" w:right="0" w:rightChars="0" w:firstLine="480" w:firstLineChars="200"/>
              <w:jc w:val="center"/>
              <w:rPr>
                <w:color w:val="auto"/>
                <w:sz w:val="24"/>
                <w:szCs w:val="24"/>
              </w:rPr>
            </w:pPr>
          </w:p>
        </w:tc>
        <w:tc>
          <w:tcPr>
            <w:tcW w:w="668" w:type="dxa"/>
            <w:tcBorders>
              <w:top w:val="single" w:color="000000" w:sz="4" w:space="0"/>
              <w:left w:val="single" w:color="000000" w:sz="4" w:space="0"/>
              <w:bottom w:val="single" w:color="000000" w:sz="4" w:space="0"/>
            </w:tcBorders>
          </w:tcPr>
          <w:p w14:paraId="690D025E">
            <w:pPr>
              <w:pageBreakBefore w:val="0"/>
              <w:topLinePunct w:val="0"/>
              <w:bidi w:val="0"/>
              <w:spacing w:line="500" w:lineRule="exact"/>
              <w:ind w:left="0" w:leftChars="0" w:right="0" w:rightChars="0" w:firstLine="480" w:firstLineChars="200"/>
              <w:jc w:val="center"/>
              <w:rPr>
                <w:color w:val="auto"/>
                <w:sz w:val="24"/>
                <w:szCs w:val="24"/>
              </w:rPr>
            </w:pPr>
          </w:p>
        </w:tc>
      </w:tr>
      <w:tr w14:paraId="33C4DB4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8" w:hRule="atLeast"/>
        </w:trPr>
        <w:tc>
          <w:tcPr>
            <w:tcW w:w="1080" w:type="dxa"/>
            <w:tcBorders>
              <w:top w:val="single" w:color="000000" w:sz="4" w:space="0"/>
              <w:right w:val="single" w:color="000000" w:sz="4" w:space="0"/>
            </w:tcBorders>
          </w:tcPr>
          <w:p w14:paraId="63DD7490">
            <w:pPr>
              <w:pageBreakBefore w:val="0"/>
              <w:topLinePunct w:val="0"/>
              <w:bidi w:val="0"/>
              <w:spacing w:line="500" w:lineRule="exact"/>
              <w:ind w:left="0" w:leftChars="0" w:right="0" w:rightChars="0" w:firstLine="480" w:firstLineChars="200"/>
              <w:jc w:val="center"/>
              <w:rPr>
                <w:color w:val="auto"/>
                <w:sz w:val="24"/>
                <w:szCs w:val="24"/>
              </w:rPr>
            </w:pPr>
          </w:p>
        </w:tc>
        <w:tc>
          <w:tcPr>
            <w:tcW w:w="1545" w:type="dxa"/>
            <w:tcBorders>
              <w:top w:val="single" w:color="000000" w:sz="4" w:space="0"/>
              <w:left w:val="single" w:color="000000" w:sz="4" w:space="0"/>
              <w:right w:val="single" w:color="000000" w:sz="4" w:space="0"/>
            </w:tcBorders>
          </w:tcPr>
          <w:p w14:paraId="6BF0017E">
            <w:pPr>
              <w:pageBreakBefore w:val="0"/>
              <w:topLinePunct w:val="0"/>
              <w:bidi w:val="0"/>
              <w:spacing w:line="500" w:lineRule="exact"/>
              <w:ind w:left="0" w:leftChars="0" w:right="0" w:rightChars="0" w:firstLine="480" w:firstLineChars="200"/>
              <w:jc w:val="center"/>
              <w:rPr>
                <w:color w:val="auto"/>
                <w:sz w:val="24"/>
                <w:szCs w:val="24"/>
              </w:rPr>
            </w:pPr>
          </w:p>
        </w:tc>
        <w:tc>
          <w:tcPr>
            <w:tcW w:w="2330" w:type="dxa"/>
            <w:tcBorders>
              <w:top w:val="single" w:color="000000" w:sz="4" w:space="0"/>
              <w:left w:val="single" w:color="000000" w:sz="4" w:space="0"/>
              <w:right w:val="single" w:color="000000" w:sz="4" w:space="0"/>
            </w:tcBorders>
          </w:tcPr>
          <w:p w14:paraId="29FF816E">
            <w:pPr>
              <w:pageBreakBefore w:val="0"/>
              <w:topLinePunct w:val="0"/>
              <w:bidi w:val="0"/>
              <w:spacing w:line="500" w:lineRule="exact"/>
              <w:ind w:left="0" w:leftChars="0" w:right="0" w:rightChars="0" w:firstLine="480" w:firstLineChars="200"/>
              <w:jc w:val="center"/>
              <w:rPr>
                <w:color w:val="auto"/>
                <w:sz w:val="24"/>
                <w:szCs w:val="24"/>
              </w:rPr>
            </w:pPr>
          </w:p>
        </w:tc>
        <w:tc>
          <w:tcPr>
            <w:tcW w:w="1288" w:type="dxa"/>
            <w:tcBorders>
              <w:top w:val="single" w:color="000000" w:sz="4" w:space="0"/>
              <w:left w:val="single" w:color="000000" w:sz="4" w:space="0"/>
              <w:right w:val="single" w:color="000000" w:sz="4" w:space="0"/>
            </w:tcBorders>
          </w:tcPr>
          <w:p w14:paraId="4FA30121">
            <w:pPr>
              <w:pageBreakBefore w:val="0"/>
              <w:topLinePunct w:val="0"/>
              <w:bidi w:val="0"/>
              <w:spacing w:line="500" w:lineRule="exact"/>
              <w:ind w:left="0" w:leftChars="0" w:right="0" w:rightChars="0" w:firstLine="480" w:firstLineChars="200"/>
              <w:jc w:val="center"/>
              <w:rPr>
                <w:color w:val="auto"/>
                <w:sz w:val="24"/>
                <w:szCs w:val="24"/>
              </w:rPr>
            </w:pPr>
          </w:p>
        </w:tc>
        <w:tc>
          <w:tcPr>
            <w:tcW w:w="1436" w:type="dxa"/>
            <w:tcBorders>
              <w:top w:val="single" w:color="000000" w:sz="4" w:space="0"/>
              <w:left w:val="single" w:color="000000" w:sz="4" w:space="0"/>
              <w:right w:val="single" w:color="000000" w:sz="4" w:space="0"/>
            </w:tcBorders>
          </w:tcPr>
          <w:p w14:paraId="50B20E73">
            <w:pPr>
              <w:pageBreakBefore w:val="0"/>
              <w:topLinePunct w:val="0"/>
              <w:bidi w:val="0"/>
              <w:spacing w:line="500" w:lineRule="exact"/>
              <w:ind w:left="0" w:leftChars="0" w:right="0" w:rightChars="0" w:firstLine="480" w:firstLineChars="200"/>
              <w:jc w:val="center"/>
              <w:rPr>
                <w:color w:val="auto"/>
                <w:sz w:val="24"/>
                <w:szCs w:val="24"/>
              </w:rPr>
            </w:pPr>
          </w:p>
        </w:tc>
        <w:tc>
          <w:tcPr>
            <w:tcW w:w="1373" w:type="dxa"/>
            <w:tcBorders>
              <w:top w:val="single" w:color="000000" w:sz="4" w:space="0"/>
              <w:left w:val="single" w:color="000000" w:sz="4" w:space="0"/>
              <w:right w:val="single" w:color="000000" w:sz="4" w:space="0"/>
            </w:tcBorders>
          </w:tcPr>
          <w:p w14:paraId="578D2989">
            <w:pPr>
              <w:pageBreakBefore w:val="0"/>
              <w:topLinePunct w:val="0"/>
              <w:bidi w:val="0"/>
              <w:spacing w:line="500" w:lineRule="exact"/>
              <w:ind w:left="0" w:leftChars="0" w:right="0" w:rightChars="0" w:firstLine="480" w:firstLineChars="200"/>
              <w:jc w:val="center"/>
              <w:rPr>
                <w:color w:val="auto"/>
                <w:sz w:val="24"/>
                <w:szCs w:val="24"/>
              </w:rPr>
            </w:pPr>
          </w:p>
        </w:tc>
        <w:tc>
          <w:tcPr>
            <w:tcW w:w="668" w:type="dxa"/>
            <w:tcBorders>
              <w:top w:val="single" w:color="000000" w:sz="4" w:space="0"/>
              <w:left w:val="single" w:color="000000" w:sz="4" w:space="0"/>
            </w:tcBorders>
          </w:tcPr>
          <w:p w14:paraId="380CC8A1">
            <w:pPr>
              <w:pageBreakBefore w:val="0"/>
              <w:topLinePunct w:val="0"/>
              <w:bidi w:val="0"/>
              <w:spacing w:line="500" w:lineRule="exact"/>
              <w:ind w:left="0" w:leftChars="0" w:right="0" w:rightChars="0" w:firstLine="480" w:firstLineChars="200"/>
              <w:jc w:val="center"/>
              <w:rPr>
                <w:color w:val="auto"/>
                <w:sz w:val="24"/>
                <w:szCs w:val="24"/>
              </w:rPr>
            </w:pPr>
          </w:p>
        </w:tc>
      </w:tr>
    </w:tbl>
    <w:p w14:paraId="40D4C753">
      <w:pPr>
        <w:pageBreakBefore w:val="0"/>
        <w:topLinePunct w:val="0"/>
        <w:bidi w:val="0"/>
        <w:spacing w:line="500" w:lineRule="exact"/>
        <w:ind w:left="0" w:leftChars="0" w:right="0" w:rightChars="0" w:firstLine="480" w:firstLineChars="200"/>
        <w:rPr>
          <w:color w:val="auto"/>
          <w:sz w:val="24"/>
          <w:szCs w:val="24"/>
        </w:rPr>
      </w:pPr>
      <w:r>
        <w:rPr>
          <w:rFonts w:hint="eastAsia"/>
          <w:color w:val="auto"/>
          <w:sz w:val="24"/>
          <w:szCs w:val="24"/>
        </w:rPr>
        <w:t>说明：1</w:t>
      </w:r>
      <w:r>
        <w:rPr>
          <w:rFonts w:hint="eastAsia"/>
          <w:color w:val="auto"/>
          <w:sz w:val="24"/>
          <w:szCs w:val="24"/>
          <w:lang w:val="en-US" w:eastAsia="zh-CN"/>
        </w:rPr>
        <w:t>.</w:t>
      </w:r>
      <w:r>
        <w:rPr>
          <w:rFonts w:hint="eastAsia"/>
          <w:color w:val="auto"/>
          <w:sz w:val="24"/>
          <w:szCs w:val="24"/>
        </w:rPr>
        <w:t>需提供合同</w:t>
      </w:r>
      <w:r>
        <w:rPr>
          <w:rFonts w:hint="eastAsia"/>
          <w:color w:val="auto"/>
          <w:sz w:val="24"/>
          <w:szCs w:val="24"/>
          <w:lang w:val="en-US" w:eastAsia="zh-CN"/>
        </w:rPr>
        <w:t>和</w:t>
      </w:r>
      <w:r>
        <w:rPr>
          <w:rFonts w:hint="eastAsia"/>
          <w:color w:val="auto"/>
          <w:sz w:val="24"/>
          <w:szCs w:val="24"/>
        </w:rPr>
        <w:t>中标通知书证明材料（</w:t>
      </w:r>
      <w:r>
        <w:rPr>
          <w:rFonts w:hint="eastAsia"/>
          <w:color w:val="auto"/>
          <w:sz w:val="24"/>
          <w:szCs w:val="24"/>
          <w:lang w:val="en-US"/>
        </w:rPr>
        <w:t>复印件加盖电子签章</w:t>
      </w:r>
      <w:r>
        <w:rPr>
          <w:rFonts w:hint="eastAsia"/>
          <w:color w:val="auto"/>
          <w:sz w:val="24"/>
          <w:szCs w:val="24"/>
        </w:rPr>
        <w:t>）。</w:t>
      </w:r>
    </w:p>
    <w:p w14:paraId="587502F7">
      <w:pPr>
        <w:pageBreakBefore w:val="0"/>
        <w:topLinePunct w:val="0"/>
        <w:bidi w:val="0"/>
        <w:spacing w:line="500" w:lineRule="exact"/>
        <w:ind w:left="0" w:leftChars="0" w:right="0" w:rightChars="0" w:firstLine="480" w:firstLineChars="200"/>
        <w:rPr>
          <w:color w:val="auto"/>
          <w:sz w:val="24"/>
          <w:szCs w:val="24"/>
        </w:rPr>
      </w:pPr>
      <w:r>
        <w:rPr>
          <w:rFonts w:hint="eastAsia"/>
          <w:color w:val="auto"/>
          <w:sz w:val="24"/>
          <w:szCs w:val="24"/>
        </w:rPr>
        <w:t>2</w:t>
      </w:r>
      <w:r>
        <w:rPr>
          <w:rFonts w:hint="eastAsia"/>
          <w:color w:val="auto"/>
          <w:sz w:val="24"/>
          <w:szCs w:val="24"/>
          <w:lang w:val="en-US" w:eastAsia="zh-CN"/>
        </w:rPr>
        <w:t>.</w:t>
      </w:r>
      <w:r>
        <w:rPr>
          <w:rFonts w:hint="eastAsia"/>
          <w:color w:val="auto"/>
          <w:sz w:val="24"/>
          <w:szCs w:val="24"/>
          <w:lang w:eastAsia="zh-CN"/>
        </w:rPr>
        <w:t>供应商</w:t>
      </w:r>
      <w:r>
        <w:rPr>
          <w:rFonts w:hint="eastAsia"/>
          <w:color w:val="auto"/>
          <w:sz w:val="24"/>
          <w:szCs w:val="24"/>
        </w:rPr>
        <w:t>应如实列出以上情况，如有隐瞒，一经查实将导致其</w:t>
      </w:r>
      <w:r>
        <w:rPr>
          <w:rFonts w:hint="eastAsia"/>
          <w:color w:val="auto"/>
          <w:sz w:val="24"/>
          <w:szCs w:val="24"/>
          <w:lang w:eastAsia="zh-CN"/>
        </w:rPr>
        <w:t>投标文件</w:t>
      </w:r>
      <w:r>
        <w:rPr>
          <w:rFonts w:hint="eastAsia"/>
          <w:color w:val="auto"/>
          <w:sz w:val="24"/>
          <w:szCs w:val="24"/>
        </w:rPr>
        <w:t>被拒绝。</w:t>
      </w:r>
    </w:p>
    <w:p w14:paraId="4E604522">
      <w:pPr>
        <w:pageBreakBefore w:val="0"/>
        <w:topLinePunct w:val="0"/>
        <w:bidi w:val="0"/>
        <w:spacing w:line="500" w:lineRule="exact"/>
        <w:ind w:left="0" w:leftChars="0" w:right="0" w:rightChars="0" w:firstLine="480" w:firstLineChars="200"/>
        <w:rPr>
          <w:color w:val="auto"/>
          <w:sz w:val="24"/>
          <w:szCs w:val="24"/>
        </w:rPr>
      </w:pPr>
      <w:r>
        <w:rPr>
          <w:rFonts w:hint="eastAsia"/>
          <w:color w:val="auto"/>
          <w:sz w:val="24"/>
          <w:szCs w:val="24"/>
        </w:rPr>
        <w:t>3</w:t>
      </w:r>
      <w:r>
        <w:rPr>
          <w:rFonts w:hint="eastAsia"/>
          <w:color w:val="auto"/>
          <w:sz w:val="24"/>
          <w:szCs w:val="24"/>
          <w:lang w:val="en-US" w:eastAsia="zh-CN"/>
        </w:rPr>
        <w:t>.</w:t>
      </w:r>
      <w:r>
        <w:rPr>
          <w:rFonts w:hint="eastAsia"/>
          <w:color w:val="auto"/>
          <w:sz w:val="24"/>
          <w:szCs w:val="24"/>
        </w:rPr>
        <w:t>未按上述要求提供、填写的，评标时不予以考虑。</w:t>
      </w:r>
    </w:p>
    <w:p w14:paraId="298DCB38">
      <w:pPr>
        <w:pageBreakBefore w:val="0"/>
        <w:topLinePunct w:val="0"/>
        <w:bidi w:val="0"/>
        <w:spacing w:line="500" w:lineRule="exact"/>
        <w:ind w:left="0" w:leftChars="0" w:right="0" w:rightChars="0" w:firstLine="480" w:firstLineChars="200"/>
        <w:rPr>
          <w:rFonts w:hint="eastAsia"/>
          <w:color w:val="auto"/>
          <w:sz w:val="24"/>
          <w:szCs w:val="24"/>
          <w:lang w:eastAsia="zh-CN"/>
        </w:rPr>
      </w:pPr>
    </w:p>
    <w:p w14:paraId="0EC260BD">
      <w:pPr>
        <w:pageBreakBefore w:val="0"/>
        <w:topLinePunct w:val="0"/>
        <w:bidi w:val="0"/>
        <w:spacing w:line="500" w:lineRule="exact"/>
        <w:ind w:left="0" w:leftChars="0" w:right="0" w:rightChars="0" w:firstLine="480" w:firstLineChars="200"/>
        <w:jc w:val="both"/>
        <w:rPr>
          <w:rFonts w:hint="eastAsia"/>
          <w:color w:val="auto"/>
          <w:sz w:val="24"/>
          <w:szCs w:val="24"/>
          <w:lang w:val="en-US"/>
        </w:rPr>
      </w:pPr>
      <w:r>
        <w:rPr>
          <w:rFonts w:hint="eastAsia"/>
          <w:color w:val="auto"/>
          <w:sz w:val="24"/>
          <w:szCs w:val="24"/>
          <w:lang w:eastAsia="zh-CN"/>
        </w:rPr>
        <w:t>供应商（</w:t>
      </w:r>
      <w:r>
        <w:rPr>
          <w:rFonts w:hint="eastAsia"/>
          <w:color w:val="auto"/>
          <w:sz w:val="24"/>
          <w:szCs w:val="24"/>
          <w:lang w:val="en-US" w:eastAsia="zh-CN"/>
        </w:rPr>
        <w:t>公章</w:t>
      </w:r>
      <w:r>
        <w:rPr>
          <w:rFonts w:hint="eastAsia"/>
          <w:color w:val="auto"/>
          <w:sz w:val="24"/>
          <w:szCs w:val="24"/>
          <w:lang w:eastAsia="zh-CN"/>
        </w:rPr>
        <w:t>）：</w:t>
      </w:r>
    </w:p>
    <w:p w14:paraId="012A53D4">
      <w:pPr>
        <w:pageBreakBefore w:val="0"/>
        <w:topLinePunct w:val="0"/>
        <w:bidi w:val="0"/>
        <w:spacing w:line="500" w:lineRule="exact"/>
        <w:ind w:left="0" w:leftChars="0" w:right="0" w:rightChars="0" w:firstLine="480" w:firstLineChars="200"/>
        <w:jc w:val="both"/>
        <w:rPr>
          <w:rFonts w:hint="eastAsia"/>
          <w:color w:val="auto"/>
          <w:sz w:val="24"/>
          <w:szCs w:val="24"/>
          <w:lang w:val="zh-CN" w:eastAsia="zh-CN"/>
        </w:rPr>
      </w:pPr>
      <w:r>
        <w:rPr>
          <w:rFonts w:hint="eastAsia"/>
          <w:color w:val="auto"/>
          <w:sz w:val="24"/>
          <w:szCs w:val="24"/>
          <w:lang w:val="en-US" w:eastAsia="zh-CN"/>
        </w:rPr>
        <w:t>法定代表人或授权委托人（签字或盖章）：</w:t>
      </w:r>
    </w:p>
    <w:p w14:paraId="53AE2FBA">
      <w:pPr>
        <w:pStyle w:val="12"/>
        <w:pageBreakBefore w:val="0"/>
        <w:tabs>
          <w:tab w:val="left" w:pos="3998"/>
          <w:tab w:val="left" w:pos="6318"/>
        </w:tabs>
        <w:topLinePunct w:val="0"/>
        <w:bidi w:val="0"/>
        <w:spacing w:line="500" w:lineRule="exact"/>
        <w:ind w:left="0" w:leftChars="0" w:right="0" w:rightChars="0" w:firstLine="480" w:firstLineChars="200"/>
        <w:rPr>
          <w:rFonts w:hint="eastAsia"/>
          <w:color w:val="auto"/>
          <w:sz w:val="24"/>
          <w:szCs w:val="24"/>
        </w:rPr>
      </w:pPr>
      <w:r>
        <w:rPr>
          <w:rFonts w:hint="eastAsia"/>
          <w:color w:val="auto"/>
          <w:sz w:val="24"/>
          <w:szCs w:val="24"/>
          <w:lang w:val="en-US" w:eastAsia="zh-CN"/>
        </w:rPr>
        <w:t>日期：</w:t>
      </w:r>
      <w:r>
        <w:rPr>
          <w:rFonts w:hint="eastAsia"/>
          <w:color w:val="auto"/>
          <w:sz w:val="24"/>
          <w:szCs w:val="24"/>
        </w:rPr>
        <w:t xml:space="preserve">年 </w:t>
      </w:r>
      <w:r>
        <w:rPr>
          <w:rFonts w:hint="eastAsia"/>
          <w:color w:val="auto"/>
          <w:sz w:val="24"/>
          <w:szCs w:val="24"/>
          <w:lang w:val="en-US" w:eastAsia="zh-CN"/>
        </w:rPr>
        <w:t xml:space="preserve">  </w:t>
      </w:r>
      <w:r>
        <w:rPr>
          <w:rFonts w:hint="eastAsia"/>
          <w:color w:val="auto"/>
          <w:sz w:val="24"/>
          <w:szCs w:val="24"/>
        </w:rPr>
        <w:t xml:space="preserve">月 </w:t>
      </w:r>
      <w:r>
        <w:rPr>
          <w:rFonts w:hint="eastAsia"/>
          <w:color w:val="auto"/>
          <w:sz w:val="24"/>
          <w:szCs w:val="24"/>
          <w:lang w:val="en-US" w:eastAsia="zh-CN"/>
        </w:rPr>
        <w:t xml:space="preserve">  </w:t>
      </w:r>
      <w:r>
        <w:rPr>
          <w:rFonts w:hint="eastAsia"/>
          <w:color w:val="auto"/>
          <w:sz w:val="24"/>
          <w:szCs w:val="24"/>
        </w:rPr>
        <w:t>日</w:t>
      </w:r>
    </w:p>
    <w:p w14:paraId="291093E9">
      <w:pPr>
        <w:pageBreakBefore w:val="0"/>
        <w:topLinePunct w:val="0"/>
        <w:bidi w:val="0"/>
        <w:spacing w:line="500" w:lineRule="exact"/>
        <w:ind w:left="0" w:leftChars="0" w:right="0" w:rightChars="0" w:firstLine="440" w:firstLineChars="200"/>
        <w:rPr>
          <w:color w:val="auto"/>
        </w:rPr>
      </w:pPr>
    </w:p>
    <w:p w14:paraId="7D81C24C">
      <w:pPr>
        <w:pStyle w:val="8"/>
        <w:pageBreakBefore w:val="0"/>
        <w:topLinePunct w:val="0"/>
        <w:bidi w:val="0"/>
        <w:spacing w:line="500" w:lineRule="exact"/>
        <w:ind w:left="0" w:leftChars="0" w:right="0" w:rightChars="0" w:firstLine="0" w:firstLineChars="0"/>
        <w:rPr>
          <w:color w:val="auto"/>
        </w:rPr>
      </w:pPr>
    </w:p>
    <w:p w14:paraId="4E2A06BA">
      <w:pPr>
        <w:pStyle w:val="8"/>
        <w:pageBreakBefore w:val="0"/>
        <w:topLinePunct w:val="0"/>
        <w:bidi w:val="0"/>
        <w:spacing w:line="500" w:lineRule="exact"/>
        <w:ind w:left="0" w:leftChars="0" w:right="0" w:rightChars="0" w:firstLine="0" w:firstLineChars="0"/>
        <w:rPr>
          <w:color w:val="auto"/>
        </w:rPr>
      </w:pPr>
    </w:p>
    <w:p w14:paraId="2CC5914A">
      <w:pPr>
        <w:pageBreakBefore w:val="0"/>
        <w:topLinePunct w:val="0"/>
        <w:bidi w:val="0"/>
        <w:spacing w:line="500" w:lineRule="exact"/>
        <w:ind w:left="0" w:leftChars="0" w:right="0" w:rightChars="0" w:firstLine="482" w:firstLineChars="200"/>
        <w:rPr>
          <w:b/>
          <w:color w:val="auto"/>
          <w:sz w:val="24"/>
          <w:szCs w:val="24"/>
        </w:rPr>
      </w:pPr>
      <w:r>
        <w:rPr>
          <w:b/>
          <w:color w:val="auto"/>
          <w:sz w:val="24"/>
          <w:szCs w:val="24"/>
        </w:rPr>
        <w:t>附表 2</w:t>
      </w:r>
    </w:p>
    <w:p w14:paraId="7D480A5D">
      <w:pPr>
        <w:pageBreakBefore w:val="0"/>
        <w:topLinePunct w:val="0"/>
        <w:bidi w:val="0"/>
        <w:spacing w:line="500" w:lineRule="exact"/>
        <w:ind w:left="0" w:leftChars="0" w:right="0" w:rightChars="0" w:firstLine="482" w:firstLineChars="200"/>
        <w:jc w:val="center"/>
        <w:rPr>
          <w:color w:val="auto"/>
          <w:sz w:val="24"/>
          <w:szCs w:val="24"/>
          <w:lang w:val="en-US"/>
        </w:rPr>
      </w:pPr>
      <w:r>
        <w:rPr>
          <w:rFonts w:hint="eastAsia"/>
          <w:b/>
          <w:bCs/>
          <w:color w:val="auto"/>
          <w:sz w:val="24"/>
          <w:szCs w:val="24"/>
          <w:lang w:val="en-US"/>
        </w:rPr>
        <w:t>食品安全承诺书</w:t>
      </w:r>
    </w:p>
    <w:p w14:paraId="7CAEA861">
      <w:pPr>
        <w:pageBreakBefore w:val="0"/>
        <w:topLinePunct w:val="0"/>
        <w:bidi w:val="0"/>
        <w:spacing w:line="500" w:lineRule="exact"/>
        <w:ind w:left="0" w:leftChars="0" w:right="0" w:rightChars="0" w:firstLine="480" w:firstLineChars="200"/>
        <w:rPr>
          <w:rFonts w:hint="eastAsia"/>
          <w:color w:val="auto"/>
          <w:sz w:val="24"/>
          <w:szCs w:val="24"/>
          <w:lang w:val="en-US"/>
        </w:rPr>
      </w:pPr>
    </w:p>
    <w:p w14:paraId="0098FF82">
      <w:pPr>
        <w:pageBreakBefore w:val="0"/>
        <w:topLinePunct w:val="0"/>
        <w:bidi w:val="0"/>
        <w:spacing w:line="360" w:lineRule="auto"/>
        <w:ind w:left="0" w:leftChars="0" w:right="0" w:rightChars="0" w:firstLine="480" w:firstLineChars="200"/>
        <w:rPr>
          <w:color w:val="auto"/>
          <w:sz w:val="24"/>
          <w:szCs w:val="24"/>
          <w:lang w:val="en-US"/>
        </w:rPr>
      </w:pPr>
      <w:r>
        <w:rPr>
          <w:rFonts w:hint="eastAsia"/>
          <w:color w:val="auto"/>
          <w:sz w:val="24"/>
          <w:szCs w:val="24"/>
          <w:lang w:val="en-US"/>
        </w:rPr>
        <w:t>汉滨区教育体</w:t>
      </w:r>
      <w:r>
        <w:rPr>
          <w:rFonts w:hint="eastAsia"/>
          <w:color w:val="auto"/>
          <w:sz w:val="24"/>
          <w:szCs w:val="24"/>
          <w:lang w:val="en-US" w:eastAsia="zh-CN"/>
        </w:rPr>
        <w:t>育</w:t>
      </w:r>
      <w:r>
        <w:rPr>
          <w:rFonts w:hint="eastAsia"/>
          <w:color w:val="auto"/>
          <w:sz w:val="24"/>
          <w:szCs w:val="24"/>
          <w:lang w:val="en-US"/>
        </w:rPr>
        <w:t>局：</w:t>
      </w:r>
    </w:p>
    <w:p w14:paraId="1634FD2D">
      <w:pPr>
        <w:pageBreakBefore w:val="0"/>
        <w:topLinePunct w:val="0"/>
        <w:bidi w:val="0"/>
        <w:spacing w:line="360" w:lineRule="auto"/>
        <w:ind w:left="0" w:leftChars="0" w:right="0" w:rightChars="0" w:firstLine="480" w:firstLineChars="200"/>
        <w:rPr>
          <w:color w:val="auto"/>
          <w:sz w:val="24"/>
          <w:szCs w:val="24"/>
          <w:lang w:val="en-US"/>
        </w:rPr>
      </w:pPr>
      <w:r>
        <w:rPr>
          <w:rFonts w:hint="eastAsia"/>
          <w:color w:val="auto"/>
          <w:sz w:val="24"/>
          <w:szCs w:val="24"/>
          <w:lang w:val="en-US"/>
        </w:rPr>
        <w:t>根据《中华人民共和国食品安全法》（以下简称食品安全法）规定，保证食品安全，本企业郑重承诺：</w:t>
      </w:r>
    </w:p>
    <w:p w14:paraId="1D203A24">
      <w:pPr>
        <w:pageBreakBefore w:val="0"/>
        <w:topLinePunct w:val="0"/>
        <w:bidi w:val="0"/>
        <w:spacing w:line="360" w:lineRule="auto"/>
        <w:ind w:left="0" w:leftChars="0" w:right="0" w:rightChars="0" w:firstLine="480" w:firstLineChars="200"/>
        <w:rPr>
          <w:color w:val="auto"/>
          <w:sz w:val="24"/>
          <w:szCs w:val="24"/>
          <w:lang w:val="en-US"/>
        </w:rPr>
      </w:pPr>
      <w:r>
        <w:rPr>
          <w:rFonts w:hint="eastAsia"/>
          <w:color w:val="auto"/>
          <w:sz w:val="24"/>
          <w:szCs w:val="24"/>
          <w:lang w:val="en-US"/>
        </w:rPr>
        <w:t>（一）认真履行食品经营者必须承担的食品安全“第一责任人”职责，对本企业配送的食品安全负责。</w:t>
      </w:r>
    </w:p>
    <w:p w14:paraId="40C38C13">
      <w:pPr>
        <w:pageBreakBefore w:val="0"/>
        <w:topLinePunct w:val="0"/>
        <w:bidi w:val="0"/>
        <w:spacing w:line="360" w:lineRule="auto"/>
        <w:ind w:left="0" w:leftChars="0" w:right="0" w:rightChars="0" w:firstLine="480" w:firstLineChars="200"/>
        <w:rPr>
          <w:color w:val="auto"/>
          <w:sz w:val="24"/>
          <w:szCs w:val="24"/>
          <w:lang w:val="en-US"/>
        </w:rPr>
      </w:pPr>
      <w:r>
        <w:rPr>
          <w:rFonts w:hint="eastAsia"/>
          <w:color w:val="auto"/>
          <w:sz w:val="24"/>
          <w:szCs w:val="24"/>
          <w:lang w:val="en-US"/>
        </w:rPr>
        <w:t>依据《</w:t>
      </w:r>
      <w:r>
        <w:rPr>
          <w:rFonts w:hint="eastAsia"/>
          <w:color w:val="auto"/>
          <w:sz w:val="24"/>
          <w:szCs w:val="24"/>
          <w:lang w:val="en-US" w:eastAsia="zh-CN"/>
        </w:rPr>
        <w:t>中华人民共和国食品安全法</w:t>
      </w:r>
      <w:r>
        <w:rPr>
          <w:rFonts w:hint="eastAsia"/>
          <w:color w:val="auto"/>
          <w:sz w:val="24"/>
          <w:szCs w:val="24"/>
          <w:lang w:val="en-US"/>
        </w:rPr>
        <w:t>》的规定，有食品经营许可证制度。</w:t>
      </w:r>
    </w:p>
    <w:p w14:paraId="4E995538">
      <w:pPr>
        <w:pageBreakBefore w:val="0"/>
        <w:topLinePunct w:val="0"/>
        <w:bidi w:val="0"/>
        <w:spacing w:line="360" w:lineRule="auto"/>
        <w:ind w:left="0" w:leftChars="0" w:right="0" w:rightChars="0" w:firstLine="480" w:firstLineChars="200"/>
        <w:rPr>
          <w:color w:val="auto"/>
          <w:sz w:val="24"/>
          <w:szCs w:val="24"/>
          <w:lang w:val="en-US"/>
        </w:rPr>
      </w:pPr>
      <w:r>
        <w:rPr>
          <w:rFonts w:hint="eastAsia"/>
          <w:color w:val="auto"/>
          <w:sz w:val="24"/>
          <w:szCs w:val="24"/>
          <w:lang w:val="en-US"/>
        </w:rPr>
        <w:t>依据《</w:t>
      </w:r>
      <w:r>
        <w:rPr>
          <w:rFonts w:hint="eastAsia"/>
          <w:color w:val="auto"/>
          <w:sz w:val="24"/>
          <w:szCs w:val="24"/>
          <w:lang w:val="en-US" w:eastAsia="zh-CN"/>
        </w:rPr>
        <w:t>中华人民共和国食品安全法</w:t>
      </w:r>
      <w:r>
        <w:rPr>
          <w:rFonts w:hint="eastAsia"/>
          <w:color w:val="auto"/>
          <w:sz w:val="24"/>
          <w:szCs w:val="24"/>
          <w:lang w:val="en-US"/>
        </w:rPr>
        <w:t>》的规定建立食品安全</w:t>
      </w:r>
      <w:r>
        <w:rPr>
          <w:rFonts w:hint="eastAsia"/>
          <w:color w:val="auto"/>
          <w:sz w:val="24"/>
          <w:szCs w:val="24"/>
          <w:lang w:val="en-US" w:eastAsia="zh-CN"/>
        </w:rPr>
        <w:t>管理</w:t>
      </w:r>
      <w:r>
        <w:rPr>
          <w:rFonts w:hint="eastAsia"/>
          <w:color w:val="auto"/>
          <w:sz w:val="24"/>
          <w:szCs w:val="24"/>
          <w:lang w:val="en-US"/>
        </w:rPr>
        <w:t>组织，设立专职食品安全员。</w:t>
      </w:r>
    </w:p>
    <w:p w14:paraId="48E4BD10">
      <w:pPr>
        <w:pageBreakBefore w:val="0"/>
        <w:topLinePunct w:val="0"/>
        <w:bidi w:val="0"/>
        <w:spacing w:line="360" w:lineRule="auto"/>
        <w:ind w:left="0" w:leftChars="0" w:right="0" w:rightChars="0" w:firstLine="480" w:firstLineChars="200"/>
        <w:rPr>
          <w:color w:val="auto"/>
          <w:sz w:val="24"/>
          <w:szCs w:val="24"/>
          <w:lang w:val="en-US"/>
        </w:rPr>
      </w:pPr>
      <w:r>
        <w:rPr>
          <w:rFonts w:hint="eastAsia"/>
          <w:color w:val="auto"/>
          <w:sz w:val="24"/>
          <w:szCs w:val="24"/>
          <w:lang w:val="en-US"/>
        </w:rPr>
        <w:t>依据《</w:t>
      </w:r>
      <w:r>
        <w:rPr>
          <w:rFonts w:hint="eastAsia"/>
          <w:color w:val="auto"/>
          <w:sz w:val="24"/>
          <w:szCs w:val="24"/>
          <w:lang w:val="en-US" w:eastAsia="zh-CN"/>
        </w:rPr>
        <w:t>中华人民共和国食品安全法</w:t>
      </w:r>
      <w:r>
        <w:rPr>
          <w:rFonts w:hint="eastAsia"/>
          <w:color w:val="auto"/>
          <w:sz w:val="24"/>
          <w:szCs w:val="24"/>
          <w:lang w:val="en-US"/>
        </w:rPr>
        <w:t>》的规定制定经营环节卫生管理制度和食品安全制度，从业人员熟知并严格执行。</w:t>
      </w:r>
    </w:p>
    <w:p w14:paraId="285EE3CA">
      <w:pPr>
        <w:pageBreakBefore w:val="0"/>
        <w:topLinePunct w:val="0"/>
        <w:bidi w:val="0"/>
        <w:spacing w:line="360" w:lineRule="auto"/>
        <w:ind w:left="0" w:leftChars="0" w:right="0" w:rightChars="0" w:firstLine="480" w:firstLineChars="200"/>
        <w:rPr>
          <w:color w:val="auto"/>
          <w:sz w:val="24"/>
          <w:szCs w:val="24"/>
          <w:lang w:val="en-US"/>
        </w:rPr>
      </w:pPr>
      <w:r>
        <w:rPr>
          <w:rFonts w:hint="eastAsia"/>
          <w:color w:val="auto"/>
          <w:sz w:val="24"/>
          <w:szCs w:val="24"/>
          <w:lang w:val="en-US"/>
        </w:rPr>
        <w:t>依据《</w:t>
      </w:r>
      <w:r>
        <w:rPr>
          <w:rFonts w:hint="eastAsia"/>
          <w:color w:val="auto"/>
          <w:sz w:val="24"/>
          <w:szCs w:val="24"/>
          <w:lang w:val="en-US" w:eastAsia="zh-CN"/>
        </w:rPr>
        <w:t>中华人民共和国食品安全法</w:t>
      </w:r>
      <w:r>
        <w:rPr>
          <w:rFonts w:hint="eastAsia"/>
          <w:color w:val="auto"/>
          <w:sz w:val="24"/>
          <w:szCs w:val="24"/>
          <w:lang w:val="en-US"/>
        </w:rPr>
        <w:t>》的规定组织职工参加食品安全培训，并建立培训档案， 负责人和负责食品安全管理人员必须在接受食品安全法律、法规和食品安全知识培训并考试合格后，方可从事食品安全管理工作。</w:t>
      </w:r>
    </w:p>
    <w:p w14:paraId="34C010DC">
      <w:pPr>
        <w:pageBreakBefore w:val="0"/>
        <w:topLinePunct w:val="0"/>
        <w:bidi w:val="0"/>
        <w:spacing w:line="360" w:lineRule="auto"/>
        <w:ind w:left="0" w:leftChars="0" w:right="0" w:rightChars="0" w:firstLine="480" w:firstLineChars="200"/>
        <w:rPr>
          <w:color w:val="auto"/>
          <w:sz w:val="24"/>
          <w:szCs w:val="24"/>
          <w:lang w:val="en-US"/>
        </w:rPr>
      </w:pPr>
      <w:r>
        <w:rPr>
          <w:rFonts w:hint="eastAsia"/>
          <w:color w:val="auto"/>
          <w:sz w:val="24"/>
          <w:szCs w:val="24"/>
          <w:lang w:val="en-US"/>
        </w:rPr>
        <w:t>依据《</w:t>
      </w:r>
      <w:r>
        <w:rPr>
          <w:rFonts w:hint="eastAsia"/>
          <w:color w:val="auto"/>
          <w:sz w:val="24"/>
          <w:szCs w:val="24"/>
          <w:lang w:val="en-US" w:eastAsia="zh-CN"/>
        </w:rPr>
        <w:t>中华人民共和国食品安全法</w:t>
      </w:r>
      <w:r>
        <w:rPr>
          <w:rFonts w:hint="eastAsia"/>
          <w:color w:val="auto"/>
          <w:sz w:val="24"/>
          <w:szCs w:val="24"/>
          <w:lang w:val="en-US"/>
        </w:rPr>
        <w:t>》的规定建立并执行从业人员的健康检查制度和健康档案制度，严禁患有《</w:t>
      </w:r>
      <w:r>
        <w:rPr>
          <w:rFonts w:hint="eastAsia"/>
          <w:color w:val="auto"/>
          <w:sz w:val="24"/>
          <w:szCs w:val="24"/>
          <w:lang w:val="en-US" w:eastAsia="zh-CN"/>
        </w:rPr>
        <w:t>中华人民共和国食品安全法</w:t>
      </w:r>
      <w:r>
        <w:rPr>
          <w:rFonts w:hint="eastAsia"/>
          <w:color w:val="auto"/>
          <w:sz w:val="24"/>
          <w:szCs w:val="24"/>
          <w:lang w:val="en-US"/>
        </w:rPr>
        <w:t>》规定不得从事接触直接入口食品工作的疾病从业人员从事接触直接入口的工作。</w:t>
      </w:r>
    </w:p>
    <w:p w14:paraId="1D477213">
      <w:pPr>
        <w:pageBreakBefore w:val="0"/>
        <w:topLinePunct w:val="0"/>
        <w:bidi w:val="0"/>
        <w:spacing w:line="360" w:lineRule="auto"/>
        <w:ind w:left="0" w:leftChars="0" w:right="0" w:rightChars="0" w:firstLine="480" w:firstLineChars="200"/>
        <w:rPr>
          <w:rFonts w:hint="eastAsia"/>
          <w:color w:val="auto"/>
          <w:sz w:val="24"/>
          <w:szCs w:val="24"/>
          <w:lang w:val="en-US" w:eastAsia="zh-CN"/>
        </w:rPr>
      </w:pPr>
      <w:r>
        <w:rPr>
          <w:rFonts w:hint="eastAsia"/>
          <w:color w:val="auto"/>
          <w:sz w:val="24"/>
          <w:szCs w:val="24"/>
          <w:lang w:val="en-US"/>
        </w:rPr>
        <w:t>依据《</w:t>
      </w:r>
      <w:r>
        <w:rPr>
          <w:rFonts w:hint="eastAsia"/>
          <w:color w:val="auto"/>
          <w:sz w:val="24"/>
          <w:szCs w:val="24"/>
          <w:lang w:val="en-US" w:eastAsia="zh-CN"/>
        </w:rPr>
        <w:t>中华人民共和国食品安全法</w:t>
      </w:r>
      <w:r>
        <w:rPr>
          <w:rFonts w:hint="eastAsia"/>
          <w:color w:val="auto"/>
          <w:sz w:val="24"/>
          <w:szCs w:val="24"/>
          <w:lang w:val="en-US"/>
        </w:rPr>
        <w:t>》的规定坚决不</w:t>
      </w:r>
      <w:r>
        <w:rPr>
          <w:rFonts w:hint="eastAsia"/>
          <w:color w:val="auto"/>
          <w:sz w:val="24"/>
          <w:szCs w:val="24"/>
          <w:lang w:val="en-US" w:eastAsia="zh-CN"/>
        </w:rPr>
        <w:t>食用</w:t>
      </w:r>
      <w:r>
        <w:rPr>
          <w:rFonts w:hint="eastAsia"/>
          <w:color w:val="auto"/>
          <w:sz w:val="24"/>
          <w:szCs w:val="24"/>
          <w:lang w:val="en-US"/>
        </w:rPr>
        <w:t>不合格的食品</w:t>
      </w:r>
      <w:r>
        <w:rPr>
          <w:rFonts w:hint="eastAsia"/>
          <w:color w:val="auto"/>
          <w:sz w:val="24"/>
          <w:szCs w:val="24"/>
          <w:lang w:val="en-US" w:eastAsia="zh-CN"/>
        </w:rPr>
        <w:t>。</w:t>
      </w:r>
    </w:p>
    <w:p w14:paraId="07C71687">
      <w:pPr>
        <w:pageBreakBefore w:val="0"/>
        <w:topLinePunct w:val="0"/>
        <w:bidi w:val="0"/>
        <w:spacing w:line="360" w:lineRule="auto"/>
        <w:ind w:left="0" w:leftChars="0" w:right="0" w:rightChars="0" w:firstLine="480" w:firstLineChars="200"/>
        <w:rPr>
          <w:color w:val="auto"/>
          <w:sz w:val="24"/>
          <w:szCs w:val="24"/>
          <w:lang w:val="en-US"/>
        </w:rPr>
      </w:pPr>
      <w:r>
        <w:rPr>
          <w:rFonts w:hint="eastAsia"/>
          <w:color w:val="auto"/>
          <w:sz w:val="24"/>
          <w:szCs w:val="24"/>
          <w:lang w:val="en-US"/>
        </w:rPr>
        <w:t>依据《</w:t>
      </w:r>
      <w:r>
        <w:rPr>
          <w:rFonts w:hint="eastAsia"/>
          <w:color w:val="auto"/>
          <w:sz w:val="24"/>
          <w:szCs w:val="24"/>
          <w:lang w:val="en-US" w:eastAsia="zh-CN"/>
        </w:rPr>
        <w:t>中华人民共和国食品安全法</w:t>
      </w:r>
      <w:r>
        <w:rPr>
          <w:rFonts w:hint="eastAsia"/>
          <w:color w:val="auto"/>
          <w:sz w:val="24"/>
          <w:szCs w:val="24"/>
          <w:lang w:val="en-US"/>
        </w:rPr>
        <w:t>》的规定定期维护食品储存，陈列等设施，设备定期清洗， 校验，保温设施。</w:t>
      </w:r>
    </w:p>
    <w:p w14:paraId="7B89460B">
      <w:pPr>
        <w:pageBreakBefore w:val="0"/>
        <w:topLinePunct w:val="0"/>
        <w:bidi w:val="0"/>
        <w:spacing w:line="360" w:lineRule="auto"/>
        <w:ind w:left="0" w:leftChars="0" w:right="0" w:rightChars="0" w:firstLine="480" w:firstLineChars="200"/>
        <w:rPr>
          <w:color w:val="auto"/>
          <w:sz w:val="24"/>
          <w:szCs w:val="24"/>
          <w:lang w:val="en-US"/>
        </w:rPr>
      </w:pPr>
      <w:r>
        <w:rPr>
          <w:rFonts w:hint="eastAsia"/>
          <w:color w:val="auto"/>
          <w:sz w:val="24"/>
          <w:szCs w:val="24"/>
          <w:lang w:val="en-US"/>
        </w:rPr>
        <w:t>公示监督投诉电话</w:t>
      </w:r>
    </w:p>
    <w:p w14:paraId="030A0AAA">
      <w:pPr>
        <w:pageBreakBefore w:val="0"/>
        <w:topLinePunct w:val="0"/>
        <w:bidi w:val="0"/>
        <w:spacing w:line="360" w:lineRule="auto"/>
        <w:ind w:left="0" w:leftChars="0" w:right="0" w:rightChars="0" w:firstLine="480" w:firstLineChars="200"/>
        <w:rPr>
          <w:color w:val="auto"/>
          <w:sz w:val="24"/>
          <w:szCs w:val="24"/>
          <w:lang w:val="en-US"/>
        </w:rPr>
      </w:pPr>
      <w:r>
        <w:rPr>
          <w:rFonts w:hint="eastAsia"/>
          <w:color w:val="auto"/>
          <w:sz w:val="24"/>
          <w:szCs w:val="24"/>
          <w:lang w:val="en-US"/>
        </w:rPr>
        <w:t>（二）依法建立健全食品进货检查验收和索证索票制度，认真查验供货商的供货资格，产品合格证明，产品标识和食品质量是否符合要求，严把进货关。</w:t>
      </w:r>
    </w:p>
    <w:p w14:paraId="2CE18FFD">
      <w:pPr>
        <w:pageBreakBefore w:val="0"/>
        <w:topLinePunct w:val="0"/>
        <w:bidi w:val="0"/>
        <w:spacing w:line="360" w:lineRule="auto"/>
        <w:ind w:left="0" w:leftChars="0" w:right="0" w:rightChars="0" w:firstLine="480" w:firstLineChars="200"/>
        <w:rPr>
          <w:color w:val="auto"/>
          <w:sz w:val="24"/>
          <w:szCs w:val="24"/>
          <w:lang w:val="en-US"/>
        </w:rPr>
      </w:pPr>
      <w:r>
        <w:rPr>
          <w:rFonts w:hint="eastAsia"/>
          <w:color w:val="auto"/>
          <w:sz w:val="24"/>
          <w:szCs w:val="24"/>
          <w:lang w:val="en-US"/>
        </w:rPr>
        <w:t>（三）依法建立健全食品进货台账制度，如实记录、保存食品进货的各种信息， 保证本企业配送食品的可追溯性，以防范和控制食品安全风险。</w:t>
      </w:r>
    </w:p>
    <w:p w14:paraId="28364340">
      <w:pPr>
        <w:pageBreakBefore w:val="0"/>
        <w:topLinePunct w:val="0"/>
        <w:bidi w:val="0"/>
        <w:spacing w:line="360" w:lineRule="auto"/>
        <w:ind w:left="0" w:leftChars="0" w:right="0" w:rightChars="0" w:firstLine="480" w:firstLineChars="200"/>
        <w:rPr>
          <w:rFonts w:hint="eastAsia"/>
          <w:color w:val="auto"/>
          <w:sz w:val="24"/>
          <w:szCs w:val="24"/>
          <w:lang w:val="en-US"/>
        </w:rPr>
      </w:pPr>
      <w:r>
        <w:rPr>
          <w:rFonts w:hint="eastAsia"/>
          <w:color w:val="auto"/>
          <w:sz w:val="24"/>
          <w:szCs w:val="24"/>
          <w:lang w:val="en-US"/>
        </w:rPr>
        <w:t>（四）建立健全并落实食品安全的日常管理措施，及时发现配送食品的安全隐患，不销售不符合法律要求的食品，过期食品、变质食品和存在安全隐患的食品。发现问题食品立即停止配送并立即向相关部门报告并拿出处理方案。</w:t>
      </w:r>
    </w:p>
    <w:p w14:paraId="753E5BD9">
      <w:pPr>
        <w:pageBreakBefore w:val="0"/>
        <w:topLinePunct w:val="0"/>
        <w:bidi w:val="0"/>
        <w:spacing w:line="360" w:lineRule="auto"/>
        <w:ind w:left="0" w:leftChars="0" w:right="0" w:rightChars="0" w:firstLine="480" w:firstLineChars="200"/>
        <w:rPr>
          <w:rFonts w:hint="eastAsia"/>
          <w:color w:val="auto"/>
          <w:sz w:val="24"/>
          <w:szCs w:val="24"/>
          <w:lang w:val="en-US"/>
        </w:rPr>
      </w:pPr>
    </w:p>
    <w:p w14:paraId="260DB1D1">
      <w:pPr>
        <w:pageBreakBefore w:val="0"/>
        <w:numPr>
          <w:ilvl w:val="0"/>
          <w:numId w:val="15"/>
        </w:numPr>
        <w:topLinePunct w:val="0"/>
        <w:bidi w:val="0"/>
        <w:spacing w:line="360" w:lineRule="auto"/>
        <w:ind w:left="0" w:leftChars="0" w:right="0" w:rightChars="0" w:firstLine="480" w:firstLineChars="200"/>
        <w:rPr>
          <w:rFonts w:hint="eastAsia"/>
          <w:color w:val="auto"/>
          <w:sz w:val="24"/>
          <w:szCs w:val="24"/>
          <w:lang w:val="en-US"/>
        </w:rPr>
      </w:pPr>
      <w:r>
        <w:rPr>
          <w:rFonts w:hint="eastAsia"/>
          <w:color w:val="auto"/>
          <w:sz w:val="24"/>
          <w:szCs w:val="24"/>
          <w:lang w:val="en-US"/>
        </w:rPr>
        <w:t>自觉接受相关管理部门监督检查，自愿按照《</w:t>
      </w:r>
      <w:r>
        <w:rPr>
          <w:rFonts w:hint="eastAsia"/>
          <w:color w:val="auto"/>
          <w:sz w:val="24"/>
          <w:szCs w:val="24"/>
          <w:lang w:val="en-US" w:eastAsia="zh-CN"/>
        </w:rPr>
        <w:t>中华人民共和国食品安全法</w:t>
      </w:r>
      <w:r>
        <w:rPr>
          <w:rFonts w:hint="eastAsia"/>
          <w:color w:val="auto"/>
          <w:sz w:val="24"/>
          <w:szCs w:val="24"/>
          <w:lang w:val="en-US"/>
        </w:rPr>
        <w:t>》等法律法规规定接受处理。</w:t>
      </w:r>
    </w:p>
    <w:p w14:paraId="6E1B0100">
      <w:pPr>
        <w:pageBreakBefore w:val="0"/>
        <w:widowControl w:val="0"/>
        <w:numPr>
          <w:ilvl w:val="0"/>
          <w:numId w:val="0"/>
        </w:numPr>
        <w:topLinePunct w:val="0"/>
        <w:autoSpaceDE w:val="0"/>
        <w:autoSpaceDN w:val="0"/>
        <w:bidi w:val="0"/>
        <w:spacing w:line="360" w:lineRule="auto"/>
        <w:ind w:right="0" w:rightChars="0"/>
        <w:rPr>
          <w:rFonts w:hint="eastAsia"/>
          <w:color w:val="auto"/>
          <w:sz w:val="24"/>
          <w:szCs w:val="24"/>
          <w:lang w:val="en-US"/>
        </w:rPr>
      </w:pPr>
    </w:p>
    <w:p w14:paraId="591C1475">
      <w:pPr>
        <w:pageBreakBefore w:val="0"/>
        <w:widowControl w:val="0"/>
        <w:numPr>
          <w:ilvl w:val="0"/>
          <w:numId w:val="0"/>
        </w:numPr>
        <w:topLinePunct w:val="0"/>
        <w:autoSpaceDE w:val="0"/>
        <w:autoSpaceDN w:val="0"/>
        <w:bidi w:val="0"/>
        <w:spacing w:line="360" w:lineRule="auto"/>
        <w:ind w:right="0" w:rightChars="0"/>
        <w:rPr>
          <w:rFonts w:hint="eastAsia"/>
          <w:color w:val="auto"/>
          <w:sz w:val="24"/>
          <w:szCs w:val="24"/>
          <w:lang w:val="en-US"/>
        </w:rPr>
      </w:pPr>
    </w:p>
    <w:p w14:paraId="4BB50EFA">
      <w:pPr>
        <w:pageBreakBefore w:val="0"/>
        <w:topLinePunct w:val="0"/>
        <w:bidi w:val="0"/>
        <w:spacing w:line="480" w:lineRule="auto"/>
        <w:ind w:left="0" w:leftChars="0" w:right="0" w:rightChars="0" w:firstLine="480" w:firstLineChars="200"/>
        <w:rPr>
          <w:color w:val="auto"/>
          <w:sz w:val="24"/>
          <w:szCs w:val="24"/>
          <w:lang w:val="en-US"/>
        </w:rPr>
      </w:pPr>
      <w:r>
        <w:rPr>
          <w:rFonts w:hint="eastAsia"/>
          <w:color w:val="auto"/>
          <w:sz w:val="24"/>
          <w:szCs w:val="24"/>
          <w:lang w:val="en-US"/>
        </w:rPr>
        <w:t>承诺单位法定代表人（签字）：</w:t>
      </w:r>
      <w:r>
        <w:rPr>
          <w:rFonts w:hint="eastAsia"/>
          <w:color w:val="auto"/>
          <w:sz w:val="24"/>
          <w:szCs w:val="24"/>
          <w:u w:val="single"/>
          <w:lang w:val="en-US"/>
        </w:rPr>
        <w:t xml:space="preserve">         </w:t>
      </w:r>
      <w:r>
        <w:rPr>
          <w:rFonts w:hint="eastAsia"/>
          <w:color w:val="auto"/>
          <w:sz w:val="24"/>
          <w:szCs w:val="24"/>
          <w:lang w:val="en-US"/>
        </w:rPr>
        <w:tab/>
      </w:r>
      <w:r>
        <w:rPr>
          <w:rFonts w:hint="eastAsia"/>
          <w:color w:val="auto"/>
          <w:sz w:val="24"/>
          <w:szCs w:val="24"/>
          <w:lang w:val="en-US"/>
        </w:rPr>
        <w:tab/>
      </w:r>
      <w:r>
        <w:rPr>
          <w:rFonts w:hint="eastAsia"/>
          <w:color w:val="auto"/>
          <w:sz w:val="24"/>
          <w:szCs w:val="24"/>
          <w:lang w:val="en-US"/>
        </w:rPr>
        <w:t xml:space="preserve"> </w:t>
      </w:r>
    </w:p>
    <w:p w14:paraId="6FCC106D">
      <w:pPr>
        <w:pageBreakBefore w:val="0"/>
        <w:topLinePunct w:val="0"/>
        <w:bidi w:val="0"/>
        <w:spacing w:line="480" w:lineRule="auto"/>
        <w:ind w:left="0" w:leftChars="0" w:right="0" w:rightChars="0" w:firstLine="480" w:firstLineChars="200"/>
        <w:rPr>
          <w:color w:val="auto"/>
          <w:sz w:val="24"/>
          <w:szCs w:val="24"/>
          <w:u w:val="single"/>
          <w:lang w:val="en-US"/>
        </w:rPr>
      </w:pPr>
      <w:r>
        <w:rPr>
          <w:rFonts w:hint="eastAsia"/>
          <w:color w:val="auto"/>
          <w:sz w:val="24"/>
          <w:szCs w:val="24"/>
          <w:lang w:val="en-US"/>
        </w:rPr>
        <w:t>承诺单位（盖章）</w:t>
      </w:r>
      <w:r>
        <w:rPr>
          <w:rFonts w:hint="eastAsia"/>
          <w:color w:val="auto"/>
          <w:sz w:val="24"/>
          <w:szCs w:val="24"/>
          <w:u w:val="single"/>
          <w:lang w:val="en-US"/>
        </w:rPr>
        <w:t xml:space="preserve"> </w:t>
      </w:r>
      <w:r>
        <w:rPr>
          <w:rFonts w:hint="eastAsia"/>
          <w:color w:val="auto"/>
          <w:sz w:val="24"/>
          <w:szCs w:val="24"/>
          <w:u w:val="single"/>
          <w:lang w:val="en-US"/>
        </w:rPr>
        <w:tab/>
      </w:r>
      <w:r>
        <w:rPr>
          <w:rFonts w:hint="eastAsia"/>
          <w:color w:val="auto"/>
          <w:sz w:val="24"/>
          <w:szCs w:val="24"/>
          <w:u w:val="single"/>
          <w:lang w:val="en-US"/>
        </w:rPr>
        <w:tab/>
      </w:r>
      <w:r>
        <w:rPr>
          <w:rFonts w:hint="eastAsia"/>
          <w:color w:val="auto"/>
          <w:sz w:val="24"/>
          <w:szCs w:val="24"/>
          <w:u w:val="single"/>
          <w:lang w:val="en-US"/>
        </w:rPr>
        <w:t xml:space="preserve"> </w:t>
      </w:r>
    </w:p>
    <w:p w14:paraId="51584A06">
      <w:pPr>
        <w:pageBreakBefore w:val="0"/>
        <w:topLinePunct w:val="0"/>
        <w:bidi w:val="0"/>
        <w:spacing w:line="480" w:lineRule="auto"/>
        <w:ind w:left="0" w:leftChars="0" w:right="0" w:rightChars="0" w:firstLine="480" w:firstLineChars="200"/>
        <w:rPr>
          <w:rFonts w:ascii="Times New Roman" w:eastAsia="Times New Roman"/>
          <w:color w:val="auto"/>
          <w:sz w:val="24"/>
          <w:szCs w:val="24"/>
        </w:rPr>
        <w:sectPr>
          <w:headerReference r:id="rId18" w:type="default"/>
          <w:footerReference r:id="rId19" w:type="default"/>
          <w:type w:val="continuous"/>
          <w:pgSz w:w="11910" w:h="16840"/>
          <w:pgMar w:top="1020" w:right="1304" w:bottom="1020" w:left="1304" w:header="720" w:footer="720" w:gutter="0"/>
          <w:pgNumType w:fmt="decimal"/>
          <w:cols w:space="720" w:num="1"/>
        </w:sectPr>
      </w:pPr>
      <w:r>
        <w:rPr>
          <w:rFonts w:hint="eastAsia"/>
          <w:color w:val="auto"/>
          <w:sz w:val="24"/>
          <w:szCs w:val="24"/>
          <w:lang w:val="en-US"/>
        </w:rPr>
        <w:t>承诺时间：</w:t>
      </w:r>
      <w:r>
        <w:rPr>
          <w:rFonts w:hint="eastAsia"/>
          <w:color w:val="auto"/>
          <w:sz w:val="24"/>
          <w:szCs w:val="24"/>
          <w:u w:val="single"/>
          <w:lang w:val="en-US"/>
        </w:rPr>
        <w:t xml:space="preserve">        </w:t>
      </w:r>
      <w:r>
        <w:rPr>
          <w:rFonts w:hint="eastAsia"/>
          <w:color w:val="auto"/>
          <w:sz w:val="24"/>
          <w:szCs w:val="24"/>
          <w:u w:val="single"/>
          <w:lang w:val="en-US"/>
        </w:rPr>
        <w:tab/>
      </w:r>
    </w:p>
    <w:p w14:paraId="402F3382">
      <w:pPr>
        <w:pStyle w:val="4"/>
        <w:pageBreakBefore w:val="0"/>
        <w:numPr>
          <w:ilvl w:val="0"/>
          <w:numId w:val="16"/>
        </w:numPr>
        <w:tabs>
          <w:tab w:val="left" w:pos="1605"/>
        </w:tabs>
        <w:topLinePunct w:val="0"/>
        <w:bidi w:val="0"/>
        <w:spacing w:before="0" w:line="500" w:lineRule="exact"/>
        <w:ind w:left="0" w:leftChars="0" w:right="0" w:rightChars="0" w:firstLine="643" w:firstLineChars="200"/>
        <w:rPr>
          <w:color w:val="auto"/>
        </w:rPr>
      </w:pPr>
      <w:r>
        <w:rPr>
          <w:color w:val="auto"/>
        </w:rPr>
        <w:t>投标</w:t>
      </w:r>
      <w:r>
        <w:rPr>
          <w:rFonts w:hint="eastAsia"/>
          <w:color w:val="auto"/>
          <w:lang w:eastAsia="zh-CN"/>
        </w:rPr>
        <w:t>人</w:t>
      </w:r>
      <w:r>
        <w:rPr>
          <w:color w:val="auto"/>
        </w:rPr>
        <w:t>资质证明文件</w:t>
      </w:r>
    </w:p>
    <w:p w14:paraId="47B779BB">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40" w:lineRule="exact"/>
        <w:ind w:left="0" w:right="0" w:firstLine="560" w:firstLineChars="200"/>
        <w:jc w:val="both"/>
        <w:textAlignment w:val="auto"/>
        <w:rPr>
          <w:rFonts w:hint="eastAsia" w:ascii="宋体" w:hAnsi="宋体" w:eastAsia="宋体" w:cs="宋体"/>
          <w:color w:val="auto"/>
          <w:kern w:val="2"/>
          <w:sz w:val="28"/>
          <w:szCs w:val="28"/>
          <w:lang w:val="en-US" w:eastAsia="zh-CN" w:bidi="ar-SA"/>
        </w:rPr>
      </w:pPr>
      <w:r>
        <w:rPr>
          <w:rFonts w:hint="eastAsia" w:cs="宋体"/>
          <w:color w:val="auto"/>
          <w:kern w:val="2"/>
          <w:sz w:val="28"/>
          <w:szCs w:val="28"/>
          <w:lang w:val="en-US" w:eastAsia="zh-CN" w:bidi="ar-SA"/>
        </w:rPr>
        <w:t>1.招标</w:t>
      </w:r>
      <w:r>
        <w:rPr>
          <w:rFonts w:hint="eastAsia" w:ascii="宋体" w:hAnsi="宋体" w:eastAsia="宋体" w:cs="宋体"/>
          <w:color w:val="auto"/>
          <w:kern w:val="2"/>
          <w:sz w:val="28"/>
          <w:szCs w:val="28"/>
          <w:lang w:val="en-US" w:eastAsia="zh-CN" w:bidi="ar-SA"/>
        </w:rPr>
        <w:t>文件中</w:t>
      </w:r>
      <w:r>
        <w:rPr>
          <w:rFonts w:hint="eastAsia" w:ascii="宋体" w:hAnsi="宋体" w:eastAsia="宋体" w:cs="宋体"/>
          <w:b/>
          <w:bCs/>
          <w:color w:val="auto"/>
          <w:kern w:val="2"/>
          <w:sz w:val="28"/>
          <w:szCs w:val="28"/>
          <w:lang w:val="en-US" w:eastAsia="zh-CN" w:bidi="ar-SA"/>
        </w:rPr>
        <w:t>合同包一/二/三</w:t>
      </w:r>
      <w:r>
        <w:rPr>
          <w:rFonts w:hint="eastAsia" w:ascii="宋体" w:hAnsi="宋体" w:eastAsia="宋体" w:cs="宋体"/>
          <w:color w:val="auto"/>
          <w:kern w:val="2"/>
          <w:sz w:val="28"/>
          <w:szCs w:val="28"/>
          <w:lang w:val="en-US" w:eastAsia="zh-CN" w:bidi="ar-SA"/>
        </w:rPr>
        <w:t>规定的资格证明文件；</w:t>
      </w:r>
    </w:p>
    <w:p w14:paraId="735C8ECD">
      <w:pPr>
        <w:spacing w:line="48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kern w:val="2"/>
          <w:sz w:val="28"/>
          <w:szCs w:val="28"/>
          <w:lang w:val="en-US" w:eastAsia="zh-CN" w:bidi="ar-SA"/>
        </w:rPr>
        <w:t>2.投标单位认为有必要提供的其他证明资料。</w:t>
      </w:r>
    </w:p>
    <w:p w14:paraId="69E938A4">
      <w:pPr>
        <w:pageBreakBefore w:val="0"/>
        <w:topLinePunct w:val="0"/>
        <w:bidi w:val="0"/>
        <w:spacing w:line="500" w:lineRule="exact"/>
        <w:ind w:left="0" w:leftChars="0" w:right="0" w:rightChars="0" w:firstLine="602" w:firstLineChars="200"/>
        <w:jc w:val="center"/>
        <w:rPr>
          <w:rFonts w:hint="eastAsia" w:ascii="Times New Roman" w:hAnsi="Times New Roman" w:cs="Times New Roman"/>
          <w:b/>
          <w:color w:val="auto"/>
          <w:sz w:val="30"/>
          <w:szCs w:val="30"/>
          <w:lang w:val="en-US"/>
        </w:rPr>
      </w:pPr>
    </w:p>
    <w:p w14:paraId="03AAD784">
      <w:pPr>
        <w:pageBreakBefore w:val="0"/>
        <w:topLinePunct w:val="0"/>
        <w:bidi w:val="0"/>
        <w:spacing w:line="500" w:lineRule="exact"/>
        <w:ind w:left="0" w:leftChars="0" w:right="0" w:rightChars="0" w:firstLine="602" w:firstLineChars="200"/>
        <w:jc w:val="center"/>
        <w:rPr>
          <w:rFonts w:hint="eastAsia" w:ascii="Times New Roman" w:hAnsi="Times New Roman" w:cs="Times New Roman"/>
          <w:b/>
          <w:color w:val="auto"/>
          <w:sz w:val="30"/>
          <w:szCs w:val="30"/>
          <w:lang w:val="en-US"/>
        </w:rPr>
      </w:pPr>
    </w:p>
    <w:p w14:paraId="6240C2F4">
      <w:pPr>
        <w:pageBreakBefore w:val="0"/>
        <w:topLinePunct w:val="0"/>
        <w:bidi w:val="0"/>
        <w:spacing w:line="500" w:lineRule="exact"/>
        <w:ind w:left="0" w:leftChars="0" w:right="0" w:rightChars="0" w:firstLine="602" w:firstLineChars="200"/>
        <w:jc w:val="center"/>
        <w:rPr>
          <w:rFonts w:hint="eastAsia" w:ascii="Times New Roman" w:hAnsi="Times New Roman" w:cs="Times New Roman"/>
          <w:b/>
          <w:color w:val="auto"/>
          <w:sz w:val="30"/>
          <w:szCs w:val="30"/>
          <w:lang w:val="en-US"/>
        </w:rPr>
      </w:pPr>
    </w:p>
    <w:p w14:paraId="4D9413A2">
      <w:pPr>
        <w:pageBreakBefore w:val="0"/>
        <w:topLinePunct w:val="0"/>
        <w:bidi w:val="0"/>
        <w:spacing w:line="500" w:lineRule="exact"/>
        <w:ind w:left="0" w:leftChars="0" w:right="0" w:rightChars="0" w:firstLine="602" w:firstLineChars="200"/>
        <w:jc w:val="center"/>
        <w:rPr>
          <w:rFonts w:hint="eastAsia" w:ascii="Times New Roman" w:hAnsi="Times New Roman" w:cs="Times New Roman"/>
          <w:b/>
          <w:color w:val="auto"/>
          <w:sz w:val="30"/>
          <w:szCs w:val="30"/>
          <w:lang w:val="en-US"/>
        </w:rPr>
      </w:pPr>
    </w:p>
    <w:p w14:paraId="6FCC354A">
      <w:pPr>
        <w:pageBreakBefore w:val="0"/>
        <w:topLinePunct w:val="0"/>
        <w:bidi w:val="0"/>
        <w:spacing w:line="500" w:lineRule="exact"/>
        <w:ind w:left="0" w:leftChars="0" w:right="0" w:rightChars="0" w:firstLine="602" w:firstLineChars="200"/>
        <w:jc w:val="center"/>
        <w:rPr>
          <w:rFonts w:hint="eastAsia" w:ascii="Times New Roman" w:hAnsi="Times New Roman" w:cs="Times New Roman"/>
          <w:b/>
          <w:color w:val="auto"/>
          <w:sz w:val="30"/>
          <w:szCs w:val="30"/>
          <w:lang w:val="en-US"/>
        </w:rPr>
      </w:pPr>
    </w:p>
    <w:p w14:paraId="6567675D">
      <w:pPr>
        <w:pageBreakBefore w:val="0"/>
        <w:topLinePunct w:val="0"/>
        <w:bidi w:val="0"/>
        <w:spacing w:line="500" w:lineRule="exact"/>
        <w:ind w:left="0" w:leftChars="0" w:right="0" w:rightChars="0" w:firstLine="602" w:firstLineChars="200"/>
        <w:jc w:val="center"/>
        <w:rPr>
          <w:rFonts w:hint="eastAsia" w:ascii="Times New Roman" w:hAnsi="Times New Roman" w:cs="Times New Roman"/>
          <w:b/>
          <w:color w:val="auto"/>
          <w:sz w:val="30"/>
          <w:szCs w:val="30"/>
          <w:lang w:val="en-US"/>
        </w:rPr>
      </w:pPr>
    </w:p>
    <w:p w14:paraId="26CA560A">
      <w:pPr>
        <w:pageBreakBefore w:val="0"/>
        <w:topLinePunct w:val="0"/>
        <w:bidi w:val="0"/>
        <w:spacing w:line="500" w:lineRule="exact"/>
        <w:ind w:left="0" w:leftChars="0" w:right="0" w:rightChars="0" w:firstLine="602" w:firstLineChars="200"/>
        <w:jc w:val="center"/>
        <w:rPr>
          <w:rFonts w:hint="eastAsia" w:ascii="Times New Roman" w:hAnsi="Times New Roman" w:cs="Times New Roman"/>
          <w:b/>
          <w:color w:val="auto"/>
          <w:sz w:val="30"/>
          <w:szCs w:val="30"/>
          <w:lang w:val="en-US"/>
        </w:rPr>
      </w:pPr>
    </w:p>
    <w:p w14:paraId="48C758BE">
      <w:pPr>
        <w:pageBreakBefore w:val="0"/>
        <w:topLinePunct w:val="0"/>
        <w:bidi w:val="0"/>
        <w:spacing w:line="500" w:lineRule="exact"/>
        <w:ind w:left="0" w:leftChars="0" w:right="0" w:rightChars="0" w:firstLine="602" w:firstLineChars="200"/>
        <w:jc w:val="center"/>
        <w:rPr>
          <w:rFonts w:hint="eastAsia" w:ascii="Times New Roman" w:hAnsi="Times New Roman" w:cs="Times New Roman"/>
          <w:b/>
          <w:color w:val="auto"/>
          <w:sz w:val="30"/>
          <w:szCs w:val="30"/>
          <w:lang w:val="en-US"/>
        </w:rPr>
      </w:pPr>
    </w:p>
    <w:p w14:paraId="3B4F86AA">
      <w:pPr>
        <w:pageBreakBefore w:val="0"/>
        <w:topLinePunct w:val="0"/>
        <w:bidi w:val="0"/>
        <w:spacing w:line="500" w:lineRule="exact"/>
        <w:ind w:left="0" w:leftChars="0" w:right="0" w:rightChars="0" w:firstLine="602" w:firstLineChars="200"/>
        <w:jc w:val="center"/>
        <w:rPr>
          <w:rFonts w:hint="eastAsia" w:ascii="Times New Roman" w:hAnsi="Times New Roman" w:cs="Times New Roman"/>
          <w:b/>
          <w:color w:val="auto"/>
          <w:sz w:val="30"/>
          <w:szCs w:val="30"/>
          <w:lang w:val="en-US"/>
        </w:rPr>
      </w:pPr>
    </w:p>
    <w:p w14:paraId="4B717B33">
      <w:pPr>
        <w:rPr>
          <w:rFonts w:hint="eastAsia" w:ascii="Times New Roman" w:hAnsi="Times New Roman" w:cs="Times New Roman"/>
          <w:b/>
          <w:color w:val="auto"/>
          <w:sz w:val="30"/>
          <w:szCs w:val="30"/>
          <w:lang w:val="en-US"/>
        </w:rPr>
      </w:pPr>
      <w:r>
        <w:rPr>
          <w:rFonts w:hint="eastAsia" w:ascii="Times New Roman" w:hAnsi="Times New Roman" w:cs="Times New Roman"/>
          <w:b/>
          <w:color w:val="auto"/>
          <w:sz w:val="30"/>
          <w:szCs w:val="30"/>
          <w:lang w:val="en-US"/>
        </w:rPr>
        <w:br w:type="page"/>
      </w:r>
    </w:p>
    <w:p w14:paraId="27EDA5D0">
      <w:pPr>
        <w:pageBreakBefore w:val="0"/>
        <w:topLinePunct w:val="0"/>
        <w:bidi w:val="0"/>
        <w:spacing w:line="500" w:lineRule="exact"/>
        <w:ind w:left="0" w:leftChars="0" w:right="0" w:rightChars="0" w:firstLine="602" w:firstLineChars="200"/>
        <w:jc w:val="center"/>
        <w:rPr>
          <w:rFonts w:ascii="Times New Roman" w:hAnsi="Times New Roman" w:cs="Times New Roman"/>
          <w:b/>
          <w:color w:val="auto"/>
          <w:sz w:val="30"/>
          <w:szCs w:val="30"/>
        </w:rPr>
      </w:pPr>
      <w:r>
        <w:rPr>
          <w:rFonts w:hint="eastAsia" w:ascii="Times New Roman" w:hAnsi="Times New Roman" w:cs="Times New Roman"/>
          <w:b/>
          <w:color w:val="auto"/>
          <w:sz w:val="30"/>
          <w:szCs w:val="30"/>
          <w:lang w:val="en-US"/>
        </w:rPr>
        <w:t>4</w:t>
      </w:r>
      <w:r>
        <w:rPr>
          <w:rFonts w:hint="eastAsia" w:ascii="Times New Roman" w:hAnsi="Times New Roman" w:cs="Times New Roman"/>
          <w:b/>
          <w:color w:val="auto"/>
          <w:sz w:val="30"/>
          <w:szCs w:val="30"/>
        </w:rPr>
        <w:t>.1法定代表人证明书</w:t>
      </w:r>
    </w:p>
    <w:p w14:paraId="63C26C99">
      <w:pPr>
        <w:pageBreakBefore w:val="0"/>
        <w:tabs>
          <w:tab w:val="left" w:pos="210"/>
        </w:tabs>
        <w:topLinePunct w:val="0"/>
        <w:bidi w:val="0"/>
        <w:spacing w:line="500" w:lineRule="exact"/>
        <w:ind w:left="0" w:leftChars="0" w:right="0" w:rightChars="0" w:firstLine="643" w:firstLineChars="200"/>
        <w:jc w:val="center"/>
        <w:rPr>
          <w:b/>
          <w:color w:val="auto"/>
          <w:sz w:val="32"/>
          <w:szCs w:val="32"/>
        </w:rPr>
      </w:pPr>
    </w:p>
    <w:tbl>
      <w:tblPr>
        <w:tblStyle w:val="23"/>
        <w:tblW w:w="94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8"/>
        <w:gridCol w:w="2064"/>
        <w:gridCol w:w="2058"/>
        <w:gridCol w:w="177"/>
        <w:gridCol w:w="2059"/>
        <w:gridCol w:w="1947"/>
      </w:tblGrid>
      <w:tr w14:paraId="404C3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483" w:type="dxa"/>
            <w:gridSpan w:val="6"/>
            <w:vAlign w:val="center"/>
          </w:tcPr>
          <w:p w14:paraId="237E6877">
            <w:pPr>
              <w:pageBreakBefore w:val="0"/>
              <w:topLinePunct w:val="0"/>
              <w:bidi w:val="0"/>
              <w:spacing w:line="500" w:lineRule="exact"/>
              <w:ind w:left="0" w:leftChars="0" w:right="0" w:rightChars="0" w:firstLine="480" w:firstLineChars="200"/>
              <w:rPr>
                <w:color w:val="auto"/>
                <w:sz w:val="24"/>
              </w:rPr>
            </w:pPr>
            <w:r>
              <w:rPr>
                <w:rFonts w:hint="eastAsia"/>
                <w:color w:val="auto"/>
                <w:sz w:val="24"/>
              </w:rPr>
              <w:t>致：</w:t>
            </w:r>
          </w:p>
        </w:tc>
      </w:tr>
      <w:tr w14:paraId="7B9A3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178" w:type="dxa"/>
            <w:vMerge w:val="restart"/>
            <w:vAlign w:val="center"/>
          </w:tcPr>
          <w:p w14:paraId="02870715">
            <w:pPr>
              <w:pageBreakBefore w:val="0"/>
              <w:tabs>
                <w:tab w:val="left" w:pos="210"/>
              </w:tabs>
              <w:topLinePunct w:val="0"/>
              <w:bidi w:val="0"/>
              <w:spacing w:line="500" w:lineRule="exact"/>
              <w:ind w:right="0" w:rightChars="0"/>
              <w:jc w:val="center"/>
              <w:rPr>
                <w:color w:val="auto"/>
                <w:sz w:val="24"/>
              </w:rPr>
            </w:pPr>
            <w:r>
              <w:rPr>
                <w:rFonts w:hint="eastAsia"/>
                <w:color w:val="auto"/>
                <w:sz w:val="24"/>
              </w:rPr>
              <w:t>企</w:t>
            </w:r>
          </w:p>
          <w:p w14:paraId="4A69BBB2">
            <w:pPr>
              <w:pageBreakBefore w:val="0"/>
              <w:tabs>
                <w:tab w:val="left" w:pos="210"/>
              </w:tabs>
              <w:topLinePunct w:val="0"/>
              <w:bidi w:val="0"/>
              <w:spacing w:line="500" w:lineRule="exact"/>
              <w:ind w:left="0" w:leftChars="0" w:right="0" w:rightChars="0" w:firstLine="480" w:firstLineChars="200"/>
              <w:jc w:val="center"/>
              <w:rPr>
                <w:color w:val="auto"/>
                <w:sz w:val="24"/>
              </w:rPr>
            </w:pPr>
          </w:p>
          <w:p w14:paraId="4ECFD2CC">
            <w:pPr>
              <w:pageBreakBefore w:val="0"/>
              <w:tabs>
                <w:tab w:val="left" w:pos="210"/>
              </w:tabs>
              <w:topLinePunct w:val="0"/>
              <w:bidi w:val="0"/>
              <w:spacing w:line="500" w:lineRule="exact"/>
              <w:ind w:right="0" w:rightChars="0"/>
              <w:jc w:val="center"/>
              <w:rPr>
                <w:color w:val="auto"/>
                <w:sz w:val="24"/>
              </w:rPr>
            </w:pPr>
            <w:r>
              <w:rPr>
                <w:rFonts w:hint="eastAsia"/>
                <w:color w:val="auto"/>
                <w:sz w:val="24"/>
              </w:rPr>
              <w:t>业</w:t>
            </w:r>
          </w:p>
          <w:p w14:paraId="18DEC606">
            <w:pPr>
              <w:pageBreakBefore w:val="0"/>
              <w:tabs>
                <w:tab w:val="left" w:pos="210"/>
              </w:tabs>
              <w:topLinePunct w:val="0"/>
              <w:bidi w:val="0"/>
              <w:spacing w:line="500" w:lineRule="exact"/>
              <w:ind w:left="0" w:leftChars="0" w:right="0" w:rightChars="0" w:firstLine="480" w:firstLineChars="200"/>
              <w:jc w:val="center"/>
              <w:rPr>
                <w:color w:val="auto"/>
                <w:sz w:val="24"/>
              </w:rPr>
            </w:pPr>
          </w:p>
          <w:p w14:paraId="2C90035C">
            <w:pPr>
              <w:pageBreakBefore w:val="0"/>
              <w:tabs>
                <w:tab w:val="left" w:pos="210"/>
              </w:tabs>
              <w:topLinePunct w:val="0"/>
              <w:bidi w:val="0"/>
              <w:spacing w:line="500" w:lineRule="exact"/>
              <w:ind w:right="0" w:rightChars="0"/>
              <w:jc w:val="center"/>
              <w:rPr>
                <w:color w:val="auto"/>
                <w:sz w:val="24"/>
              </w:rPr>
            </w:pPr>
            <w:r>
              <w:rPr>
                <w:rFonts w:hint="eastAsia"/>
                <w:color w:val="auto"/>
                <w:sz w:val="24"/>
              </w:rPr>
              <w:t>法</w:t>
            </w:r>
          </w:p>
          <w:p w14:paraId="126BC298">
            <w:pPr>
              <w:pageBreakBefore w:val="0"/>
              <w:tabs>
                <w:tab w:val="left" w:pos="210"/>
              </w:tabs>
              <w:topLinePunct w:val="0"/>
              <w:bidi w:val="0"/>
              <w:spacing w:line="500" w:lineRule="exact"/>
              <w:ind w:left="0" w:leftChars="0" w:right="0" w:rightChars="0" w:firstLine="480" w:firstLineChars="200"/>
              <w:jc w:val="center"/>
              <w:rPr>
                <w:color w:val="auto"/>
                <w:sz w:val="24"/>
              </w:rPr>
            </w:pPr>
          </w:p>
          <w:p w14:paraId="63601FFE">
            <w:pPr>
              <w:pageBreakBefore w:val="0"/>
              <w:tabs>
                <w:tab w:val="left" w:pos="210"/>
              </w:tabs>
              <w:topLinePunct w:val="0"/>
              <w:bidi w:val="0"/>
              <w:spacing w:line="500" w:lineRule="exact"/>
              <w:ind w:right="0" w:rightChars="0"/>
              <w:jc w:val="center"/>
              <w:rPr>
                <w:color w:val="auto"/>
                <w:sz w:val="24"/>
              </w:rPr>
            </w:pPr>
            <w:r>
              <w:rPr>
                <w:rFonts w:hint="eastAsia"/>
                <w:color w:val="auto"/>
                <w:sz w:val="24"/>
              </w:rPr>
              <w:t>人</w:t>
            </w:r>
          </w:p>
        </w:tc>
        <w:tc>
          <w:tcPr>
            <w:tcW w:w="2064" w:type="dxa"/>
            <w:vAlign w:val="center"/>
          </w:tcPr>
          <w:p w14:paraId="5521A085">
            <w:pPr>
              <w:pageBreakBefore w:val="0"/>
              <w:tabs>
                <w:tab w:val="left" w:pos="210"/>
              </w:tabs>
              <w:topLinePunct w:val="0"/>
              <w:bidi w:val="0"/>
              <w:spacing w:line="500" w:lineRule="exact"/>
              <w:ind w:left="0" w:leftChars="0" w:right="0" w:rightChars="0" w:firstLine="480" w:firstLineChars="200"/>
              <w:jc w:val="both"/>
              <w:rPr>
                <w:color w:val="auto"/>
                <w:sz w:val="24"/>
              </w:rPr>
            </w:pPr>
            <w:r>
              <w:rPr>
                <w:rFonts w:hint="eastAsia"/>
                <w:color w:val="auto"/>
                <w:sz w:val="24"/>
              </w:rPr>
              <w:t>企业名称</w:t>
            </w:r>
          </w:p>
        </w:tc>
        <w:tc>
          <w:tcPr>
            <w:tcW w:w="6241" w:type="dxa"/>
            <w:gridSpan w:val="4"/>
            <w:vAlign w:val="center"/>
          </w:tcPr>
          <w:p w14:paraId="713B1DF7">
            <w:pPr>
              <w:pageBreakBefore w:val="0"/>
              <w:tabs>
                <w:tab w:val="left" w:pos="210"/>
              </w:tabs>
              <w:topLinePunct w:val="0"/>
              <w:bidi w:val="0"/>
              <w:spacing w:line="500" w:lineRule="exact"/>
              <w:ind w:left="0" w:leftChars="0" w:right="0" w:rightChars="0" w:firstLine="480" w:firstLineChars="200"/>
              <w:jc w:val="center"/>
              <w:rPr>
                <w:color w:val="auto"/>
                <w:sz w:val="24"/>
              </w:rPr>
            </w:pPr>
          </w:p>
        </w:tc>
      </w:tr>
      <w:tr w14:paraId="372CE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178" w:type="dxa"/>
            <w:vMerge w:val="continue"/>
            <w:vAlign w:val="center"/>
          </w:tcPr>
          <w:p w14:paraId="6FEA4466">
            <w:pPr>
              <w:pageBreakBefore w:val="0"/>
              <w:tabs>
                <w:tab w:val="left" w:pos="210"/>
              </w:tabs>
              <w:topLinePunct w:val="0"/>
              <w:bidi w:val="0"/>
              <w:spacing w:line="500" w:lineRule="exact"/>
              <w:ind w:left="0" w:leftChars="0" w:right="0" w:rightChars="0" w:firstLine="480" w:firstLineChars="200"/>
              <w:jc w:val="center"/>
              <w:rPr>
                <w:color w:val="auto"/>
                <w:sz w:val="24"/>
              </w:rPr>
            </w:pPr>
          </w:p>
        </w:tc>
        <w:tc>
          <w:tcPr>
            <w:tcW w:w="2064" w:type="dxa"/>
            <w:vAlign w:val="center"/>
          </w:tcPr>
          <w:p w14:paraId="60CFDAB5">
            <w:pPr>
              <w:pageBreakBefore w:val="0"/>
              <w:tabs>
                <w:tab w:val="left" w:pos="210"/>
              </w:tabs>
              <w:topLinePunct w:val="0"/>
              <w:bidi w:val="0"/>
              <w:spacing w:line="500" w:lineRule="exact"/>
              <w:ind w:left="0" w:leftChars="0" w:right="0" w:rightChars="0" w:firstLine="480" w:firstLineChars="200"/>
              <w:jc w:val="both"/>
              <w:rPr>
                <w:color w:val="auto"/>
                <w:sz w:val="24"/>
              </w:rPr>
            </w:pPr>
            <w:r>
              <w:rPr>
                <w:rFonts w:hint="eastAsia"/>
                <w:color w:val="auto"/>
                <w:sz w:val="24"/>
              </w:rPr>
              <w:t>法定地址</w:t>
            </w:r>
          </w:p>
        </w:tc>
        <w:tc>
          <w:tcPr>
            <w:tcW w:w="6241" w:type="dxa"/>
            <w:gridSpan w:val="4"/>
            <w:vAlign w:val="center"/>
          </w:tcPr>
          <w:p w14:paraId="4F1B3ACB">
            <w:pPr>
              <w:pageBreakBefore w:val="0"/>
              <w:tabs>
                <w:tab w:val="left" w:pos="210"/>
              </w:tabs>
              <w:topLinePunct w:val="0"/>
              <w:bidi w:val="0"/>
              <w:spacing w:line="500" w:lineRule="exact"/>
              <w:ind w:left="0" w:leftChars="0" w:right="0" w:rightChars="0" w:firstLine="480" w:firstLineChars="200"/>
              <w:jc w:val="center"/>
              <w:rPr>
                <w:color w:val="auto"/>
                <w:sz w:val="24"/>
              </w:rPr>
            </w:pPr>
          </w:p>
        </w:tc>
      </w:tr>
      <w:tr w14:paraId="7E679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178" w:type="dxa"/>
            <w:vMerge w:val="continue"/>
            <w:vAlign w:val="center"/>
          </w:tcPr>
          <w:p w14:paraId="314A8FDA">
            <w:pPr>
              <w:pageBreakBefore w:val="0"/>
              <w:tabs>
                <w:tab w:val="left" w:pos="210"/>
              </w:tabs>
              <w:topLinePunct w:val="0"/>
              <w:bidi w:val="0"/>
              <w:spacing w:line="500" w:lineRule="exact"/>
              <w:ind w:left="0" w:leftChars="0" w:right="0" w:rightChars="0" w:firstLine="480" w:firstLineChars="200"/>
              <w:jc w:val="center"/>
              <w:rPr>
                <w:color w:val="auto"/>
                <w:sz w:val="24"/>
              </w:rPr>
            </w:pPr>
          </w:p>
        </w:tc>
        <w:tc>
          <w:tcPr>
            <w:tcW w:w="2064" w:type="dxa"/>
            <w:vAlign w:val="center"/>
          </w:tcPr>
          <w:p w14:paraId="0D60AF23">
            <w:pPr>
              <w:pageBreakBefore w:val="0"/>
              <w:tabs>
                <w:tab w:val="left" w:pos="210"/>
              </w:tabs>
              <w:topLinePunct w:val="0"/>
              <w:bidi w:val="0"/>
              <w:spacing w:line="500" w:lineRule="exact"/>
              <w:ind w:left="0" w:leftChars="0" w:right="0" w:rightChars="0" w:firstLine="480" w:firstLineChars="200"/>
              <w:jc w:val="both"/>
              <w:rPr>
                <w:color w:val="auto"/>
                <w:sz w:val="24"/>
              </w:rPr>
            </w:pPr>
            <w:r>
              <w:rPr>
                <w:rFonts w:hint="eastAsia"/>
                <w:color w:val="auto"/>
                <w:sz w:val="24"/>
              </w:rPr>
              <w:t>邮政编码</w:t>
            </w:r>
          </w:p>
        </w:tc>
        <w:tc>
          <w:tcPr>
            <w:tcW w:w="6241" w:type="dxa"/>
            <w:gridSpan w:val="4"/>
            <w:vAlign w:val="center"/>
          </w:tcPr>
          <w:p w14:paraId="7E234175">
            <w:pPr>
              <w:pageBreakBefore w:val="0"/>
              <w:tabs>
                <w:tab w:val="left" w:pos="210"/>
              </w:tabs>
              <w:topLinePunct w:val="0"/>
              <w:bidi w:val="0"/>
              <w:spacing w:line="500" w:lineRule="exact"/>
              <w:ind w:left="0" w:leftChars="0" w:right="0" w:rightChars="0" w:firstLine="480" w:firstLineChars="200"/>
              <w:jc w:val="center"/>
              <w:rPr>
                <w:color w:val="auto"/>
                <w:sz w:val="24"/>
              </w:rPr>
            </w:pPr>
          </w:p>
        </w:tc>
      </w:tr>
      <w:tr w14:paraId="4E270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178" w:type="dxa"/>
            <w:vMerge w:val="continue"/>
            <w:vAlign w:val="center"/>
          </w:tcPr>
          <w:p w14:paraId="1A1B8109">
            <w:pPr>
              <w:pageBreakBefore w:val="0"/>
              <w:tabs>
                <w:tab w:val="left" w:pos="210"/>
              </w:tabs>
              <w:topLinePunct w:val="0"/>
              <w:bidi w:val="0"/>
              <w:spacing w:line="500" w:lineRule="exact"/>
              <w:ind w:left="0" w:leftChars="0" w:right="0" w:rightChars="0" w:firstLine="480" w:firstLineChars="200"/>
              <w:jc w:val="center"/>
              <w:rPr>
                <w:color w:val="auto"/>
                <w:sz w:val="24"/>
              </w:rPr>
            </w:pPr>
          </w:p>
        </w:tc>
        <w:tc>
          <w:tcPr>
            <w:tcW w:w="2064" w:type="dxa"/>
            <w:vAlign w:val="center"/>
          </w:tcPr>
          <w:p w14:paraId="09EFAB81">
            <w:pPr>
              <w:pageBreakBefore w:val="0"/>
              <w:tabs>
                <w:tab w:val="left" w:pos="210"/>
              </w:tabs>
              <w:topLinePunct w:val="0"/>
              <w:bidi w:val="0"/>
              <w:spacing w:line="500" w:lineRule="exact"/>
              <w:ind w:right="0" w:rightChars="0" w:firstLine="240" w:firstLineChars="100"/>
              <w:jc w:val="both"/>
              <w:rPr>
                <w:color w:val="auto"/>
                <w:sz w:val="24"/>
              </w:rPr>
            </w:pPr>
            <w:r>
              <w:rPr>
                <w:rFonts w:hint="eastAsia"/>
                <w:color w:val="auto"/>
                <w:sz w:val="24"/>
              </w:rPr>
              <w:t>工商登记机关</w:t>
            </w:r>
          </w:p>
        </w:tc>
        <w:tc>
          <w:tcPr>
            <w:tcW w:w="6241" w:type="dxa"/>
            <w:gridSpan w:val="4"/>
            <w:vAlign w:val="center"/>
          </w:tcPr>
          <w:p w14:paraId="76BA35BA">
            <w:pPr>
              <w:pageBreakBefore w:val="0"/>
              <w:tabs>
                <w:tab w:val="left" w:pos="210"/>
              </w:tabs>
              <w:topLinePunct w:val="0"/>
              <w:bidi w:val="0"/>
              <w:spacing w:line="500" w:lineRule="exact"/>
              <w:ind w:left="0" w:leftChars="0" w:right="0" w:rightChars="0" w:firstLine="480" w:firstLineChars="200"/>
              <w:jc w:val="center"/>
              <w:rPr>
                <w:color w:val="auto"/>
                <w:sz w:val="24"/>
              </w:rPr>
            </w:pPr>
          </w:p>
        </w:tc>
      </w:tr>
      <w:tr w14:paraId="0A943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1178" w:type="dxa"/>
            <w:vMerge w:val="continue"/>
            <w:vAlign w:val="center"/>
          </w:tcPr>
          <w:p w14:paraId="04460C72">
            <w:pPr>
              <w:pageBreakBefore w:val="0"/>
              <w:tabs>
                <w:tab w:val="left" w:pos="210"/>
              </w:tabs>
              <w:topLinePunct w:val="0"/>
              <w:bidi w:val="0"/>
              <w:spacing w:line="500" w:lineRule="exact"/>
              <w:ind w:left="0" w:leftChars="0" w:right="0" w:rightChars="0" w:firstLine="480" w:firstLineChars="200"/>
              <w:jc w:val="center"/>
              <w:rPr>
                <w:color w:val="auto"/>
                <w:sz w:val="24"/>
              </w:rPr>
            </w:pPr>
          </w:p>
        </w:tc>
        <w:tc>
          <w:tcPr>
            <w:tcW w:w="2064" w:type="dxa"/>
            <w:vAlign w:val="center"/>
          </w:tcPr>
          <w:p w14:paraId="09632D3A">
            <w:pPr>
              <w:pageBreakBefore w:val="0"/>
              <w:tabs>
                <w:tab w:val="left" w:pos="210"/>
              </w:tabs>
              <w:topLinePunct w:val="0"/>
              <w:bidi w:val="0"/>
              <w:spacing w:line="500" w:lineRule="exact"/>
              <w:ind w:right="0" w:rightChars="0" w:firstLine="240" w:firstLineChars="100"/>
              <w:jc w:val="both"/>
              <w:rPr>
                <w:color w:val="auto"/>
                <w:sz w:val="24"/>
              </w:rPr>
            </w:pPr>
            <w:r>
              <w:rPr>
                <w:rFonts w:hint="eastAsia"/>
                <w:color w:val="auto"/>
                <w:sz w:val="24"/>
              </w:rPr>
              <w:t>税务登记机关</w:t>
            </w:r>
          </w:p>
        </w:tc>
        <w:tc>
          <w:tcPr>
            <w:tcW w:w="6241" w:type="dxa"/>
            <w:gridSpan w:val="4"/>
            <w:vAlign w:val="center"/>
          </w:tcPr>
          <w:p w14:paraId="083AD0E1">
            <w:pPr>
              <w:pageBreakBefore w:val="0"/>
              <w:tabs>
                <w:tab w:val="left" w:pos="210"/>
              </w:tabs>
              <w:topLinePunct w:val="0"/>
              <w:bidi w:val="0"/>
              <w:spacing w:line="500" w:lineRule="exact"/>
              <w:ind w:left="0" w:leftChars="0" w:right="0" w:rightChars="0" w:firstLine="480" w:firstLineChars="200"/>
              <w:rPr>
                <w:color w:val="auto"/>
                <w:sz w:val="24"/>
              </w:rPr>
            </w:pPr>
          </w:p>
        </w:tc>
      </w:tr>
      <w:tr w14:paraId="234CB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178" w:type="dxa"/>
            <w:vMerge w:val="continue"/>
            <w:vAlign w:val="center"/>
          </w:tcPr>
          <w:p w14:paraId="637C6FB3">
            <w:pPr>
              <w:pageBreakBefore w:val="0"/>
              <w:tabs>
                <w:tab w:val="left" w:pos="210"/>
              </w:tabs>
              <w:topLinePunct w:val="0"/>
              <w:bidi w:val="0"/>
              <w:spacing w:line="500" w:lineRule="exact"/>
              <w:ind w:left="0" w:leftChars="0" w:right="0" w:rightChars="0" w:firstLine="480" w:firstLineChars="200"/>
              <w:jc w:val="center"/>
              <w:rPr>
                <w:color w:val="auto"/>
                <w:sz w:val="24"/>
              </w:rPr>
            </w:pPr>
          </w:p>
        </w:tc>
        <w:tc>
          <w:tcPr>
            <w:tcW w:w="2064" w:type="dxa"/>
            <w:vAlign w:val="center"/>
          </w:tcPr>
          <w:p w14:paraId="02D2E47D">
            <w:pPr>
              <w:pageBreakBefore w:val="0"/>
              <w:tabs>
                <w:tab w:val="left" w:pos="210"/>
              </w:tabs>
              <w:topLinePunct w:val="0"/>
              <w:bidi w:val="0"/>
              <w:spacing w:line="500" w:lineRule="exact"/>
              <w:ind w:right="0" w:rightChars="0" w:firstLine="240" w:firstLineChars="100"/>
              <w:jc w:val="both"/>
              <w:rPr>
                <w:color w:val="auto"/>
                <w:sz w:val="24"/>
              </w:rPr>
            </w:pPr>
            <w:r>
              <w:rPr>
                <w:rFonts w:hint="eastAsia"/>
                <w:color w:val="auto"/>
                <w:sz w:val="24"/>
              </w:rPr>
              <w:t>机构代码证号</w:t>
            </w:r>
          </w:p>
        </w:tc>
        <w:tc>
          <w:tcPr>
            <w:tcW w:w="6241" w:type="dxa"/>
            <w:gridSpan w:val="4"/>
            <w:vAlign w:val="center"/>
          </w:tcPr>
          <w:p w14:paraId="0C8160C2">
            <w:pPr>
              <w:pageBreakBefore w:val="0"/>
              <w:tabs>
                <w:tab w:val="left" w:pos="210"/>
              </w:tabs>
              <w:topLinePunct w:val="0"/>
              <w:bidi w:val="0"/>
              <w:spacing w:line="500" w:lineRule="exact"/>
              <w:ind w:left="0" w:leftChars="0" w:right="0" w:rightChars="0" w:firstLine="480" w:firstLineChars="200"/>
              <w:jc w:val="center"/>
              <w:rPr>
                <w:color w:val="auto"/>
                <w:sz w:val="24"/>
              </w:rPr>
            </w:pPr>
          </w:p>
        </w:tc>
      </w:tr>
      <w:tr w14:paraId="38E06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178" w:type="dxa"/>
            <w:vMerge w:val="restart"/>
            <w:vAlign w:val="center"/>
          </w:tcPr>
          <w:p w14:paraId="3BD4EF3A">
            <w:pPr>
              <w:pageBreakBefore w:val="0"/>
              <w:tabs>
                <w:tab w:val="left" w:pos="210"/>
              </w:tabs>
              <w:topLinePunct w:val="0"/>
              <w:bidi w:val="0"/>
              <w:spacing w:line="500" w:lineRule="exact"/>
              <w:ind w:right="0" w:rightChars="0"/>
              <w:jc w:val="center"/>
              <w:rPr>
                <w:color w:val="auto"/>
                <w:sz w:val="24"/>
              </w:rPr>
            </w:pPr>
            <w:r>
              <w:rPr>
                <w:rFonts w:hint="eastAsia"/>
                <w:color w:val="auto"/>
                <w:sz w:val="24"/>
              </w:rPr>
              <w:t>法定代表人</w:t>
            </w:r>
          </w:p>
        </w:tc>
        <w:tc>
          <w:tcPr>
            <w:tcW w:w="2064" w:type="dxa"/>
            <w:vAlign w:val="center"/>
          </w:tcPr>
          <w:p w14:paraId="320182CD">
            <w:pPr>
              <w:pageBreakBefore w:val="0"/>
              <w:tabs>
                <w:tab w:val="left" w:pos="210"/>
              </w:tabs>
              <w:topLinePunct w:val="0"/>
              <w:bidi w:val="0"/>
              <w:spacing w:line="500" w:lineRule="exact"/>
              <w:ind w:left="0" w:leftChars="0" w:right="0" w:rightChars="0" w:firstLine="480" w:firstLineChars="200"/>
              <w:jc w:val="both"/>
              <w:rPr>
                <w:color w:val="auto"/>
                <w:sz w:val="24"/>
              </w:rPr>
            </w:pPr>
            <w:r>
              <w:rPr>
                <w:rFonts w:hint="eastAsia"/>
                <w:color w:val="auto"/>
                <w:sz w:val="24"/>
              </w:rPr>
              <w:t>姓名</w:t>
            </w:r>
          </w:p>
        </w:tc>
        <w:tc>
          <w:tcPr>
            <w:tcW w:w="2235" w:type="dxa"/>
            <w:gridSpan w:val="2"/>
            <w:vAlign w:val="center"/>
          </w:tcPr>
          <w:p w14:paraId="7555B3CF">
            <w:pPr>
              <w:pageBreakBefore w:val="0"/>
              <w:tabs>
                <w:tab w:val="left" w:pos="210"/>
              </w:tabs>
              <w:topLinePunct w:val="0"/>
              <w:bidi w:val="0"/>
              <w:spacing w:line="500" w:lineRule="exact"/>
              <w:ind w:left="0" w:leftChars="0" w:right="0" w:rightChars="0" w:firstLine="480" w:firstLineChars="200"/>
              <w:jc w:val="center"/>
              <w:rPr>
                <w:color w:val="auto"/>
                <w:sz w:val="24"/>
              </w:rPr>
            </w:pPr>
          </w:p>
        </w:tc>
        <w:tc>
          <w:tcPr>
            <w:tcW w:w="2059" w:type="dxa"/>
            <w:vAlign w:val="center"/>
          </w:tcPr>
          <w:p w14:paraId="4E0AC51B">
            <w:pPr>
              <w:pageBreakBefore w:val="0"/>
              <w:tabs>
                <w:tab w:val="left" w:pos="210"/>
              </w:tabs>
              <w:topLinePunct w:val="0"/>
              <w:bidi w:val="0"/>
              <w:spacing w:line="500" w:lineRule="exact"/>
              <w:ind w:left="0" w:leftChars="0" w:right="0" w:rightChars="0" w:firstLine="720" w:firstLineChars="300"/>
              <w:jc w:val="both"/>
              <w:rPr>
                <w:color w:val="auto"/>
                <w:sz w:val="24"/>
              </w:rPr>
            </w:pPr>
            <w:r>
              <w:rPr>
                <w:rFonts w:hint="eastAsia"/>
                <w:color w:val="auto"/>
                <w:sz w:val="24"/>
              </w:rPr>
              <w:t>性别</w:t>
            </w:r>
          </w:p>
        </w:tc>
        <w:tc>
          <w:tcPr>
            <w:tcW w:w="1947" w:type="dxa"/>
            <w:vAlign w:val="center"/>
          </w:tcPr>
          <w:p w14:paraId="6D75F906">
            <w:pPr>
              <w:pageBreakBefore w:val="0"/>
              <w:tabs>
                <w:tab w:val="left" w:pos="210"/>
              </w:tabs>
              <w:topLinePunct w:val="0"/>
              <w:bidi w:val="0"/>
              <w:spacing w:line="500" w:lineRule="exact"/>
              <w:ind w:left="0" w:leftChars="0" w:right="0" w:rightChars="0" w:firstLine="480" w:firstLineChars="200"/>
              <w:jc w:val="center"/>
              <w:rPr>
                <w:color w:val="auto"/>
                <w:sz w:val="24"/>
              </w:rPr>
            </w:pPr>
          </w:p>
        </w:tc>
      </w:tr>
      <w:tr w14:paraId="11EFB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178" w:type="dxa"/>
            <w:vMerge w:val="continue"/>
            <w:vAlign w:val="center"/>
          </w:tcPr>
          <w:p w14:paraId="3667B43C">
            <w:pPr>
              <w:pageBreakBefore w:val="0"/>
              <w:tabs>
                <w:tab w:val="left" w:pos="210"/>
              </w:tabs>
              <w:topLinePunct w:val="0"/>
              <w:bidi w:val="0"/>
              <w:spacing w:line="500" w:lineRule="exact"/>
              <w:ind w:left="0" w:leftChars="0" w:right="0" w:rightChars="0" w:firstLine="480" w:firstLineChars="200"/>
              <w:jc w:val="center"/>
              <w:rPr>
                <w:color w:val="auto"/>
                <w:sz w:val="24"/>
              </w:rPr>
            </w:pPr>
          </w:p>
        </w:tc>
        <w:tc>
          <w:tcPr>
            <w:tcW w:w="2064" w:type="dxa"/>
            <w:vAlign w:val="center"/>
          </w:tcPr>
          <w:p w14:paraId="26A00D4A">
            <w:pPr>
              <w:pageBreakBefore w:val="0"/>
              <w:tabs>
                <w:tab w:val="left" w:pos="210"/>
              </w:tabs>
              <w:topLinePunct w:val="0"/>
              <w:bidi w:val="0"/>
              <w:spacing w:line="500" w:lineRule="exact"/>
              <w:ind w:left="0" w:leftChars="0" w:right="0" w:rightChars="0" w:firstLine="480" w:firstLineChars="200"/>
              <w:jc w:val="both"/>
              <w:rPr>
                <w:color w:val="auto"/>
                <w:sz w:val="24"/>
              </w:rPr>
            </w:pPr>
            <w:r>
              <w:rPr>
                <w:rFonts w:hint="eastAsia"/>
                <w:color w:val="auto"/>
                <w:sz w:val="24"/>
              </w:rPr>
              <w:t>职务</w:t>
            </w:r>
          </w:p>
        </w:tc>
        <w:tc>
          <w:tcPr>
            <w:tcW w:w="2235" w:type="dxa"/>
            <w:gridSpan w:val="2"/>
            <w:vAlign w:val="center"/>
          </w:tcPr>
          <w:p w14:paraId="043B6BF5">
            <w:pPr>
              <w:pageBreakBefore w:val="0"/>
              <w:tabs>
                <w:tab w:val="left" w:pos="210"/>
              </w:tabs>
              <w:topLinePunct w:val="0"/>
              <w:bidi w:val="0"/>
              <w:spacing w:line="500" w:lineRule="exact"/>
              <w:ind w:left="0" w:leftChars="0" w:right="0" w:rightChars="0" w:firstLine="480" w:firstLineChars="200"/>
              <w:jc w:val="center"/>
              <w:rPr>
                <w:color w:val="auto"/>
                <w:sz w:val="24"/>
              </w:rPr>
            </w:pPr>
          </w:p>
        </w:tc>
        <w:tc>
          <w:tcPr>
            <w:tcW w:w="2059" w:type="dxa"/>
            <w:vAlign w:val="center"/>
          </w:tcPr>
          <w:p w14:paraId="66725FD0">
            <w:pPr>
              <w:pageBreakBefore w:val="0"/>
              <w:tabs>
                <w:tab w:val="left" w:pos="210"/>
              </w:tabs>
              <w:topLinePunct w:val="0"/>
              <w:bidi w:val="0"/>
              <w:spacing w:line="500" w:lineRule="exact"/>
              <w:ind w:right="0" w:rightChars="0" w:firstLine="480" w:firstLineChars="200"/>
              <w:jc w:val="both"/>
              <w:rPr>
                <w:color w:val="auto"/>
                <w:sz w:val="24"/>
              </w:rPr>
            </w:pPr>
            <w:r>
              <w:rPr>
                <w:rFonts w:hint="eastAsia"/>
                <w:color w:val="auto"/>
                <w:sz w:val="24"/>
              </w:rPr>
              <w:t>联系电话</w:t>
            </w:r>
          </w:p>
        </w:tc>
        <w:tc>
          <w:tcPr>
            <w:tcW w:w="1947" w:type="dxa"/>
            <w:vAlign w:val="center"/>
          </w:tcPr>
          <w:p w14:paraId="3BBA0686">
            <w:pPr>
              <w:pageBreakBefore w:val="0"/>
              <w:tabs>
                <w:tab w:val="left" w:pos="210"/>
              </w:tabs>
              <w:topLinePunct w:val="0"/>
              <w:bidi w:val="0"/>
              <w:spacing w:line="500" w:lineRule="exact"/>
              <w:ind w:left="0" w:leftChars="0" w:right="0" w:rightChars="0" w:firstLine="480" w:firstLineChars="200"/>
              <w:jc w:val="center"/>
              <w:rPr>
                <w:color w:val="auto"/>
                <w:sz w:val="24"/>
              </w:rPr>
            </w:pPr>
          </w:p>
        </w:tc>
      </w:tr>
      <w:tr w14:paraId="78B88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178" w:type="dxa"/>
            <w:vMerge w:val="continue"/>
            <w:vAlign w:val="center"/>
          </w:tcPr>
          <w:p w14:paraId="45F6BC2D">
            <w:pPr>
              <w:pageBreakBefore w:val="0"/>
              <w:tabs>
                <w:tab w:val="left" w:pos="210"/>
              </w:tabs>
              <w:topLinePunct w:val="0"/>
              <w:bidi w:val="0"/>
              <w:spacing w:line="500" w:lineRule="exact"/>
              <w:ind w:left="0" w:leftChars="0" w:right="0" w:rightChars="0" w:firstLine="480" w:firstLineChars="200"/>
              <w:jc w:val="center"/>
              <w:rPr>
                <w:color w:val="auto"/>
                <w:sz w:val="24"/>
              </w:rPr>
            </w:pPr>
          </w:p>
        </w:tc>
        <w:tc>
          <w:tcPr>
            <w:tcW w:w="2064" w:type="dxa"/>
            <w:vAlign w:val="center"/>
          </w:tcPr>
          <w:p w14:paraId="60B39544">
            <w:pPr>
              <w:pageBreakBefore w:val="0"/>
              <w:tabs>
                <w:tab w:val="left" w:pos="210"/>
              </w:tabs>
              <w:topLinePunct w:val="0"/>
              <w:bidi w:val="0"/>
              <w:spacing w:line="500" w:lineRule="exact"/>
              <w:ind w:left="0" w:leftChars="0" w:right="0" w:rightChars="0" w:firstLine="480" w:firstLineChars="200"/>
              <w:jc w:val="both"/>
              <w:rPr>
                <w:color w:val="auto"/>
                <w:sz w:val="24"/>
              </w:rPr>
            </w:pPr>
            <w:r>
              <w:rPr>
                <w:rFonts w:hint="eastAsia"/>
                <w:color w:val="auto"/>
                <w:sz w:val="24"/>
              </w:rPr>
              <w:t>传真</w:t>
            </w:r>
          </w:p>
        </w:tc>
        <w:tc>
          <w:tcPr>
            <w:tcW w:w="6241" w:type="dxa"/>
            <w:gridSpan w:val="4"/>
            <w:vAlign w:val="center"/>
          </w:tcPr>
          <w:p w14:paraId="6825AD3D">
            <w:pPr>
              <w:pageBreakBefore w:val="0"/>
              <w:tabs>
                <w:tab w:val="left" w:pos="210"/>
              </w:tabs>
              <w:topLinePunct w:val="0"/>
              <w:bidi w:val="0"/>
              <w:spacing w:line="500" w:lineRule="exact"/>
              <w:ind w:left="0" w:leftChars="0" w:right="0" w:rightChars="0" w:firstLine="480" w:firstLineChars="200"/>
              <w:jc w:val="center"/>
              <w:rPr>
                <w:color w:val="auto"/>
                <w:sz w:val="24"/>
              </w:rPr>
            </w:pPr>
          </w:p>
        </w:tc>
      </w:tr>
      <w:tr w14:paraId="3284A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1" w:hRule="atLeast"/>
          <w:jc w:val="center"/>
        </w:trPr>
        <w:tc>
          <w:tcPr>
            <w:tcW w:w="1178" w:type="dxa"/>
            <w:vMerge w:val="restart"/>
            <w:vAlign w:val="center"/>
          </w:tcPr>
          <w:p w14:paraId="014BDB10">
            <w:pPr>
              <w:pageBreakBefore w:val="0"/>
              <w:tabs>
                <w:tab w:val="left" w:pos="210"/>
              </w:tabs>
              <w:topLinePunct w:val="0"/>
              <w:bidi w:val="0"/>
              <w:spacing w:line="500" w:lineRule="exact"/>
              <w:ind w:right="0" w:rightChars="0"/>
              <w:jc w:val="both"/>
              <w:rPr>
                <w:color w:val="auto"/>
                <w:sz w:val="24"/>
              </w:rPr>
            </w:pPr>
            <w:r>
              <w:rPr>
                <w:rFonts w:hint="eastAsia"/>
                <w:color w:val="auto"/>
                <w:sz w:val="24"/>
              </w:rPr>
              <w:t>法定代表人身份证复印件</w:t>
            </w:r>
          </w:p>
        </w:tc>
        <w:tc>
          <w:tcPr>
            <w:tcW w:w="4122" w:type="dxa"/>
            <w:gridSpan w:val="2"/>
            <w:vMerge w:val="restart"/>
            <w:vAlign w:val="center"/>
          </w:tcPr>
          <w:p w14:paraId="518A1B8D">
            <w:pPr>
              <w:pageBreakBefore w:val="0"/>
              <w:tabs>
                <w:tab w:val="left" w:pos="210"/>
              </w:tabs>
              <w:topLinePunct w:val="0"/>
              <w:bidi w:val="0"/>
              <w:spacing w:line="500" w:lineRule="exact"/>
              <w:ind w:left="0" w:leftChars="0" w:right="0" w:rightChars="0" w:firstLine="480" w:firstLineChars="200"/>
              <w:jc w:val="center"/>
              <w:rPr>
                <w:color w:val="auto"/>
                <w:sz w:val="24"/>
              </w:rPr>
            </w:pPr>
            <w:r>
              <w:rPr>
                <w:rFonts w:hint="eastAsia"/>
                <w:color w:val="auto"/>
                <w:sz w:val="24"/>
              </w:rPr>
              <w:t>（粘贴处）</w:t>
            </w:r>
          </w:p>
        </w:tc>
        <w:tc>
          <w:tcPr>
            <w:tcW w:w="4183" w:type="dxa"/>
            <w:gridSpan w:val="3"/>
            <w:vAlign w:val="center"/>
          </w:tcPr>
          <w:p w14:paraId="67B6BB4B">
            <w:pPr>
              <w:pageBreakBefore w:val="0"/>
              <w:tabs>
                <w:tab w:val="left" w:pos="210"/>
              </w:tabs>
              <w:topLinePunct w:val="0"/>
              <w:bidi w:val="0"/>
              <w:spacing w:line="500" w:lineRule="exact"/>
              <w:ind w:left="0" w:leftChars="0" w:right="0" w:rightChars="0" w:firstLine="480" w:firstLineChars="200"/>
              <w:jc w:val="center"/>
              <w:rPr>
                <w:color w:val="auto"/>
                <w:sz w:val="24"/>
              </w:rPr>
            </w:pPr>
            <w:r>
              <w:rPr>
                <w:rFonts w:hint="eastAsia"/>
                <w:color w:val="auto"/>
                <w:sz w:val="24"/>
              </w:rPr>
              <w:t>法定代表人（签章）</w:t>
            </w:r>
          </w:p>
        </w:tc>
      </w:tr>
      <w:tr w14:paraId="2D9E6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3" w:hRule="atLeast"/>
          <w:jc w:val="center"/>
        </w:trPr>
        <w:tc>
          <w:tcPr>
            <w:tcW w:w="1178" w:type="dxa"/>
            <w:vMerge w:val="continue"/>
            <w:vAlign w:val="center"/>
          </w:tcPr>
          <w:p w14:paraId="0233B406">
            <w:pPr>
              <w:pageBreakBefore w:val="0"/>
              <w:tabs>
                <w:tab w:val="left" w:pos="210"/>
              </w:tabs>
              <w:topLinePunct w:val="0"/>
              <w:bidi w:val="0"/>
              <w:spacing w:line="500" w:lineRule="exact"/>
              <w:ind w:left="0" w:leftChars="0" w:right="0" w:rightChars="0" w:firstLine="480" w:firstLineChars="200"/>
              <w:jc w:val="center"/>
              <w:rPr>
                <w:color w:val="auto"/>
                <w:sz w:val="24"/>
              </w:rPr>
            </w:pPr>
          </w:p>
        </w:tc>
        <w:tc>
          <w:tcPr>
            <w:tcW w:w="4122" w:type="dxa"/>
            <w:gridSpan w:val="2"/>
            <w:vMerge w:val="continue"/>
            <w:vAlign w:val="center"/>
          </w:tcPr>
          <w:p w14:paraId="1691ED6D">
            <w:pPr>
              <w:pageBreakBefore w:val="0"/>
              <w:tabs>
                <w:tab w:val="left" w:pos="210"/>
              </w:tabs>
              <w:topLinePunct w:val="0"/>
              <w:bidi w:val="0"/>
              <w:spacing w:line="500" w:lineRule="exact"/>
              <w:ind w:left="0" w:leftChars="0" w:right="0" w:rightChars="0" w:firstLine="480" w:firstLineChars="200"/>
              <w:jc w:val="center"/>
              <w:rPr>
                <w:color w:val="auto"/>
                <w:sz w:val="24"/>
              </w:rPr>
            </w:pPr>
          </w:p>
        </w:tc>
        <w:tc>
          <w:tcPr>
            <w:tcW w:w="4183" w:type="dxa"/>
            <w:gridSpan w:val="3"/>
            <w:vAlign w:val="bottom"/>
          </w:tcPr>
          <w:p w14:paraId="249F7697">
            <w:pPr>
              <w:pageBreakBefore w:val="0"/>
              <w:tabs>
                <w:tab w:val="left" w:pos="210"/>
              </w:tabs>
              <w:topLinePunct w:val="0"/>
              <w:bidi w:val="0"/>
              <w:spacing w:line="500" w:lineRule="exact"/>
              <w:ind w:left="0" w:leftChars="0" w:right="0" w:rightChars="0" w:firstLine="480" w:firstLineChars="200"/>
              <w:jc w:val="center"/>
              <w:rPr>
                <w:color w:val="auto"/>
                <w:sz w:val="24"/>
              </w:rPr>
            </w:pPr>
            <w:r>
              <w:rPr>
                <w:rFonts w:hint="eastAsia"/>
                <w:color w:val="auto"/>
                <w:sz w:val="24"/>
              </w:rPr>
              <w:t>（公章）</w:t>
            </w:r>
          </w:p>
          <w:p w14:paraId="07E9F389">
            <w:pPr>
              <w:pageBreakBefore w:val="0"/>
              <w:tabs>
                <w:tab w:val="left" w:pos="210"/>
              </w:tabs>
              <w:topLinePunct w:val="0"/>
              <w:bidi w:val="0"/>
              <w:spacing w:line="500" w:lineRule="exact"/>
              <w:ind w:left="0" w:leftChars="0" w:right="0" w:rightChars="0" w:firstLine="480" w:firstLineChars="200"/>
              <w:jc w:val="center"/>
              <w:rPr>
                <w:color w:val="auto"/>
                <w:sz w:val="24"/>
              </w:rPr>
            </w:pPr>
          </w:p>
          <w:p w14:paraId="31A07264">
            <w:pPr>
              <w:pageBreakBefore w:val="0"/>
              <w:tabs>
                <w:tab w:val="left" w:pos="210"/>
              </w:tabs>
              <w:topLinePunct w:val="0"/>
              <w:bidi w:val="0"/>
              <w:spacing w:line="500" w:lineRule="exact"/>
              <w:ind w:left="0" w:leftChars="0" w:right="0" w:rightChars="0" w:firstLine="480" w:firstLineChars="200"/>
              <w:jc w:val="center"/>
              <w:rPr>
                <w:color w:val="auto"/>
                <w:sz w:val="24"/>
              </w:rPr>
            </w:pPr>
          </w:p>
          <w:p w14:paraId="4048EC6A">
            <w:pPr>
              <w:pageBreakBefore w:val="0"/>
              <w:tabs>
                <w:tab w:val="left" w:pos="210"/>
              </w:tabs>
              <w:topLinePunct w:val="0"/>
              <w:bidi w:val="0"/>
              <w:spacing w:line="500" w:lineRule="exact"/>
              <w:ind w:left="0" w:leftChars="0" w:right="0" w:rightChars="0" w:firstLine="480" w:firstLineChars="200"/>
              <w:jc w:val="center"/>
              <w:rPr>
                <w:color w:val="auto"/>
                <w:sz w:val="24"/>
              </w:rPr>
            </w:pPr>
          </w:p>
          <w:p w14:paraId="7AE49709">
            <w:pPr>
              <w:pageBreakBefore w:val="0"/>
              <w:tabs>
                <w:tab w:val="left" w:pos="210"/>
              </w:tabs>
              <w:topLinePunct w:val="0"/>
              <w:bidi w:val="0"/>
              <w:spacing w:line="500" w:lineRule="exact"/>
              <w:ind w:left="0" w:leftChars="0" w:right="0" w:rightChars="0" w:firstLine="480" w:firstLineChars="200"/>
              <w:jc w:val="right"/>
              <w:rPr>
                <w:color w:val="auto"/>
                <w:sz w:val="24"/>
              </w:rPr>
            </w:pPr>
            <w:r>
              <w:rPr>
                <w:rFonts w:hint="eastAsia"/>
                <w:color w:val="auto"/>
                <w:sz w:val="24"/>
              </w:rPr>
              <w:t xml:space="preserve">年  月  日 </w:t>
            </w:r>
          </w:p>
        </w:tc>
      </w:tr>
    </w:tbl>
    <w:p w14:paraId="0079C0DB">
      <w:pPr>
        <w:pageBreakBefore w:val="0"/>
        <w:topLinePunct w:val="0"/>
        <w:bidi w:val="0"/>
        <w:adjustRightInd w:val="0"/>
        <w:snapToGrid w:val="0"/>
        <w:spacing w:line="500" w:lineRule="exact"/>
        <w:ind w:left="0" w:leftChars="0" w:right="0" w:rightChars="0" w:firstLine="480" w:firstLineChars="200"/>
        <w:rPr>
          <w:color w:val="auto"/>
          <w:sz w:val="24"/>
        </w:rPr>
      </w:pPr>
    </w:p>
    <w:p w14:paraId="66E9974C">
      <w:pPr>
        <w:pageBreakBefore w:val="0"/>
        <w:topLinePunct w:val="0"/>
        <w:bidi w:val="0"/>
        <w:adjustRightInd w:val="0"/>
        <w:snapToGrid w:val="0"/>
        <w:spacing w:line="500" w:lineRule="exact"/>
        <w:ind w:left="0" w:leftChars="0" w:right="0" w:rightChars="0" w:firstLine="480" w:firstLineChars="200"/>
        <w:rPr>
          <w:b/>
          <w:color w:val="auto"/>
          <w:sz w:val="24"/>
        </w:rPr>
      </w:pPr>
      <w:r>
        <w:rPr>
          <w:rFonts w:hint="eastAsia"/>
          <w:color w:val="auto"/>
          <w:sz w:val="24"/>
        </w:rPr>
        <w:t>（注：参会人员非公司法定代表人的，适用法定代表人授权委托书；参会人员为公司法定代表人的，适用法定代表人证明书。）</w:t>
      </w:r>
      <w:r>
        <w:rPr>
          <w:rFonts w:hint="eastAsia"/>
          <w:b/>
          <w:color w:val="auto"/>
          <w:sz w:val="24"/>
        </w:rPr>
        <w:t xml:space="preserve">                </w:t>
      </w:r>
    </w:p>
    <w:p w14:paraId="0D7F480C">
      <w:pPr>
        <w:pStyle w:val="8"/>
        <w:pageBreakBefore w:val="0"/>
        <w:topLinePunct w:val="0"/>
        <w:bidi w:val="0"/>
        <w:spacing w:line="500" w:lineRule="exact"/>
        <w:ind w:left="0" w:leftChars="0" w:right="0" w:rightChars="0" w:firstLine="400" w:firstLineChars="200"/>
        <w:jc w:val="center"/>
        <w:rPr>
          <w:color w:val="auto"/>
        </w:rPr>
      </w:pPr>
      <w:r>
        <w:rPr>
          <w:color w:val="auto"/>
        </w:rPr>
        <w:br w:type="page"/>
      </w:r>
    </w:p>
    <w:p w14:paraId="3576874F">
      <w:pPr>
        <w:pStyle w:val="8"/>
        <w:pageBreakBefore w:val="0"/>
        <w:topLinePunct w:val="0"/>
        <w:bidi w:val="0"/>
        <w:spacing w:line="500" w:lineRule="exact"/>
        <w:ind w:left="0" w:leftChars="0" w:right="0" w:rightChars="0" w:firstLine="602" w:firstLineChars="200"/>
        <w:jc w:val="center"/>
        <w:rPr>
          <w:b/>
          <w:color w:val="auto"/>
          <w:sz w:val="24"/>
        </w:rPr>
      </w:pPr>
      <w:r>
        <w:rPr>
          <w:rFonts w:hint="eastAsia" w:ascii="Times New Roman" w:hAnsi="Times New Roman" w:cs="Times New Roman"/>
          <w:b/>
          <w:color w:val="auto"/>
          <w:kern w:val="2"/>
          <w:sz w:val="30"/>
          <w:szCs w:val="30"/>
          <w:lang w:val="en-US" w:bidi="ar-SA"/>
        </w:rPr>
        <w:t>4.2 法</w:t>
      </w:r>
      <w:r>
        <w:rPr>
          <w:rFonts w:hint="eastAsia" w:ascii="Times New Roman" w:hAnsi="Times New Roman" w:cs="Times New Roman"/>
          <w:b/>
          <w:color w:val="auto"/>
          <w:kern w:val="2"/>
          <w:sz w:val="30"/>
          <w:szCs w:val="30"/>
          <w:lang w:val="en-US" w:eastAsia="zh-CN" w:bidi="ar-SA"/>
        </w:rPr>
        <w:t>定代表</w:t>
      </w:r>
      <w:r>
        <w:rPr>
          <w:rFonts w:hint="eastAsia" w:ascii="Times New Roman" w:hAnsi="Times New Roman" w:cs="Times New Roman"/>
          <w:b/>
          <w:color w:val="auto"/>
          <w:kern w:val="2"/>
          <w:sz w:val="30"/>
          <w:szCs w:val="30"/>
          <w:lang w:val="en-US" w:bidi="ar-SA"/>
        </w:rPr>
        <w:t>人授权书（格式）</w:t>
      </w:r>
    </w:p>
    <w:p w14:paraId="22C62FC4">
      <w:pPr>
        <w:pageBreakBefore w:val="0"/>
        <w:topLinePunct w:val="0"/>
        <w:bidi w:val="0"/>
        <w:spacing w:line="500" w:lineRule="exact"/>
        <w:ind w:left="0" w:leftChars="0" w:right="0" w:rightChars="0" w:firstLine="480" w:firstLineChars="200"/>
        <w:rPr>
          <w:color w:val="auto"/>
          <w:sz w:val="24"/>
          <w:szCs w:val="24"/>
        </w:rPr>
      </w:pPr>
      <w:r>
        <w:rPr>
          <w:rFonts w:hint="eastAsia"/>
          <w:color w:val="auto"/>
          <w:sz w:val="24"/>
          <w:szCs w:val="24"/>
        </w:rPr>
        <w:t>本人</w:t>
      </w:r>
      <w:r>
        <w:rPr>
          <w:rFonts w:hint="eastAsia"/>
          <w:color w:val="auto"/>
          <w:sz w:val="24"/>
          <w:szCs w:val="24"/>
          <w:u w:val="single"/>
        </w:rPr>
        <w:t xml:space="preserve">          </w:t>
      </w:r>
      <w:r>
        <w:rPr>
          <w:rFonts w:hint="eastAsia"/>
          <w:color w:val="auto"/>
          <w:sz w:val="24"/>
          <w:szCs w:val="24"/>
        </w:rPr>
        <w:t>（姓名）系</w:t>
      </w:r>
      <w:r>
        <w:rPr>
          <w:rFonts w:hint="eastAsia"/>
          <w:color w:val="auto"/>
          <w:sz w:val="24"/>
          <w:szCs w:val="24"/>
          <w:u w:val="single"/>
        </w:rPr>
        <w:t xml:space="preserve">              </w:t>
      </w:r>
      <w:r>
        <w:rPr>
          <w:rFonts w:hint="eastAsia"/>
          <w:color w:val="auto"/>
          <w:sz w:val="24"/>
          <w:szCs w:val="24"/>
        </w:rPr>
        <w:t>（</w:t>
      </w:r>
      <w:r>
        <w:rPr>
          <w:rFonts w:hint="eastAsia"/>
          <w:color w:val="auto"/>
          <w:sz w:val="24"/>
          <w:szCs w:val="24"/>
          <w:lang w:eastAsia="zh-CN"/>
        </w:rPr>
        <w:t>供应商</w:t>
      </w:r>
      <w:r>
        <w:rPr>
          <w:rFonts w:hint="eastAsia"/>
          <w:color w:val="auto"/>
          <w:sz w:val="24"/>
          <w:szCs w:val="24"/>
        </w:rPr>
        <w:t>名称）的法定代表人（单位负责人），现委托</w:t>
      </w:r>
      <w:r>
        <w:rPr>
          <w:rFonts w:hint="eastAsia"/>
          <w:color w:val="auto"/>
          <w:sz w:val="24"/>
          <w:szCs w:val="24"/>
          <w:u w:val="single"/>
        </w:rPr>
        <w:t xml:space="preserve">           </w:t>
      </w:r>
      <w:r>
        <w:rPr>
          <w:rFonts w:hint="eastAsia"/>
          <w:color w:val="auto"/>
          <w:sz w:val="24"/>
          <w:szCs w:val="24"/>
        </w:rPr>
        <w:t>（被委托人姓名）为我方代理人。代理人根据授权，以我方的名义签署、澄清确认、递交、撤回、修改</w:t>
      </w:r>
      <w:r>
        <w:rPr>
          <w:rFonts w:hint="eastAsia"/>
          <w:color w:val="auto"/>
          <w:sz w:val="24"/>
          <w:szCs w:val="24"/>
          <w:u w:val="single"/>
        </w:rPr>
        <w:t xml:space="preserve">         </w:t>
      </w:r>
      <w:r>
        <w:rPr>
          <w:rFonts w:hint="eastAsia"/>
          <w:color w:val="auto"/>
          <w:sz w:val="24"/>
          <w:szCs w:val="24"/>
        </w:rPr>
        <w:t>（采购项目）投标文件、签订合同和全权处理一切与之有关的事宜，其法律后果由我方承担。</w:t>
      </w:r>
    </w:p>
    <w:p w14:paraId="3CD58A1B">
      <w:pPr>
        <w:pageBreakBefore w:val="0"/>
        <w:topLinePunct w:val="0"/>
        <w:bidi w:val="0"/>
        <w:spacing w:line="500" w:lineRule="exact"/>
        <w:ind w:left="0" w:leftChars="0" w:right="0" w:rightChars="0" w:firstLine="480" w:firstLineChars="200"/>
        <w:rPr>
          <w:color w:val="auto"/>
          <w:sz w:val="24"/>
          <w:szCs w:val="24"/>
        </w:rPr>
      </w:pPr>
      <w:r>
        <w:rPr>
          <w:rFonts w:hint="eastAsia"/>
          <w:color w:val="auto"/>
          <w:sz w:val="24"/>
          <w:szCs w:val="24"/>
        </w:rPr>
        <w:t>委托期限：    年    月   日至     年   月   日。</w:t>
      </w:r>
    </w:p>
    <w:p w14:paraId="44713BE7">
      <w:pPr>
        <w:pageBreakBefore w:val="0"/>
        <w:topLinePunct w:val="0"/>
        <w:bidi w:val="0"/>
        <w:spacing w:line="500" w:lineRule="exact"/>
        <w:ind w:left="0" w:leftChars="0" w:right="0" w:rightChars="0" w:firstLine="480" w:firstLineChars="200"/>
        <w:rPr>
          <w:b/>
          <w:bCs/>
          <w:color w:val="auto"/>
          <w:sz w:val="24"/>
          <w:szCs w:val="24"/>
        </w:rPr>
      </w:pPr>
      <w:r>
        <w:rPr>
          <w:rFonts w:hint="eastAsia"/>
          <w:color w:val="auto"/>
          <w:sz w:val="24"/>
          <w:szCs w:val="24"/>
        </w:rPr>
        <w:t>代理人无转委托权。</w:t>
      </w:r>
    </w:p>
    <w:p w14:paraId="37C20440">
      <w:pPr>
        <w:pageBreakBefore w:val="0"/>
        <w:topLinePunct w:val="0"/>
        <w:bidi w:val="0"/>
        <w:spacing w:line="500" w:lineRule="exact"/>
        <w:ind w:left="0" w:leftChars="0" w:right="0" w:rightChars="0" w:firstLine="480" w:firstLineChars="200"/>
        <w:rPr>
          <w:color w:val="auto"/>
          <w:sz w:val="24"/>
          <w:szCs w:val="24"/>
        </w:rPr>
      </w:pPr>
      <w:r>
        <w:rPr>
          <w:rFonts w:hint="eastAsia"/>
          <w:color w:val="auto"/>
          <w:sz w:val="24"/>
          <w:szCs w:val="24"/>
        </w:rPr>
        <w:t>附：法定代表人（单位负责人）身份证正反面复印件、委托代理人身份证正反面复印件及委托代理人在本单位社保证明材料。</w:t>
      </w:r>
    </w:p>
    <w:tbl>
      <w:tblPr>
        <w:tblStyle w:val="23"/>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4431E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5" w:hRule="exact"/>
          <w:jc w:val="center"/>
        </w:trPr>
        <w:tc>
          <w:tcPr>
            <w:tcW w:w="4349" w:type="dxa"/>
            <w:noWrap w:val="0"/>
            <w:vAlign w:val="top"/>
          </w:tcPr>
          <w:p w14:paraId="44C6B62A">
            <w:pPr>
              <w:pageBreakBefore w:val="0"/>
              <w:topLinePunct w:val="0"/>
              <w:bidi w:val="0"/>
              <w:spacing w:line="500" w:lineRule="exact"/>
              <w:ind w:left="0" w:leftChars="0" w:right="0" w:rightChars="0" w:firstLine="480" w:firstLineChars="200"/>
              <w:rPr>
                <w:rFonts w:hint="eastAsia" w:ascii="宋体" w:hAnsi="宋体" w:cs="宋体"/>
                <w:color w:val="auto"/>
                <w:sz w:val="24"/>
              </w:rPr>
            </w:pPr>
          </w:p>
          <w:p w14:paraId="29D5BC71">
            <w:pPr>
              <w:pageBreakBefore w:val="0"/>
              <w:topLinePunct w:val="0"/>
              <w:bidi w:val="0"/>
              <w:spacing w:line="500" w:lineRule="exact"/>
              <w:ind w:left="0" w:leftChars="0" w:right="0" w:rightChars="0" w:firstLine="480" w:firstLineChars="200"/>
              <w:rPr>
                <w:rFonts w:hint="eastAsia" w:ascii="宋体" w:hAnsi="宋体" w:cs="宋体"/>
                <w:color w:val="auto"/>
                <w:sz w:val="24"/>
              </w:rPr>
            </w:pPr>
            <w:r>
              <w:rPr>
                <w:rFonts w:hint="eastAsia" w:ascii="宋体" w:hAnsi="宋体" w:cs="宋体"/>
                <w:color w:val="auto"/>
                <w:sz w:val="24"/>
              </w:rPr>
              <w:t>法</w:t>
            </w:r>
            <w:r>
              <w:rPr>
                <w:rFonts w:hint="eastAsia" w:ascii="宋体" w:hAnsi="宋体" w:cs="宋体"/>
                <w:color w:val="auto"/>
                <w:sz w:val="24"/>
                <w:lang w:val="en-US" w:eastAsia="zh-CN"/>
              </w:rPr>
              <w:t>定代表人</w:t>
            </w:r>
            <w:r>
              <w:rPr>
                <w:rFonts w:hint="eastAsia" w:ascii="宋体" w:hAnsi="宋体" w:cs="宋体"/>
                <w:color w:val="auto"/>
                <w:sz w:val="24"/>
              </w:rPr>
              <w:t xml:space="preserve">（私章）：                      </w:t>
            </w:r>
          </w:p>
          <w:p w14:paraId="56F9AE08">
            <w:pPr>
              <w:pageBreakBefore w:val="0"/>
              <w:topLinePunct w:val="0"/>
              <w:bidi w:val="0"/>
              <w:spacing w:line="500" w:lineRule="exact"/>
              <w:ind w:left="0" w:leftChars="0" w:right="0" w:rightChars="0" w:firstLine="480" w:firstLineChars="200"/>
              <w:rPr>
                <w:rFonts w:hint="eastAsia" w:ascii="宋体" w:hAnsi="宋体" w:cs="宋体"/>
                <w:color w:val="auto"/>
                <w:sz w:val="24"/>
              </w:rPr>
            </w:pPr>
          </w:p>
          <w:p w14:paraId="2123D132">
            <w:pPr>
              <w:pageBreakBefore w:val="0"/>
              <w:topLinePunct w:val="0"/>
              <w:bidi w:val="0"/>
              <w:spacing w:line="500" w:lineRule="exact"/>
              <w:ind w:left="0" w:leftChars="0" w:right="0" w:rightChars="0" w:firstLine="480" w:firstLineChars="200"/>
              <w:rPr>
                <w:rFonts w:hint="eastAsia" w:ascii="宋体" w:hAnsi="宋体" w:cs="宋体"/>
                <w:color w:val="auto"/>
                <w:sz w:val="24"/>
              </w:rPr>
            </w:pPr>
            <w:r>
              <w:rPr>
                <w:rFonts w:hint="eastAsia" w:ascii="宋体" w:hAnsi="宋体" w:cs="宋体"/>
                <w:color w:val="auto"/>
                <w:sz w:val="24"/>
              </w:rPr>
              <w:t>（公章）：</w:t>
            </w:r>
          </w:p>
          <w:p w14:paraId="4F6D4EAD">
            <w:pPr>
              <w:pageBreakBefore w:val="0"/>
              <w:topLinePunct w:val="0"/>
              <w:bidi w:val="0"/>
              <w:spacing w:line="500" w:lineRule="exact"/>
              <w:ind w:left="0" w:leftChars="0" w:right="0" w:rightChars="0" w:firstLine="480" w:firstLineChars="200"/>
              <w:rPr>
                <w:rFonts w:hint="eastAsia" w:ascii="宋体" w:hAnsi="宋体" w:cs="宋体"/>
                <w:color w:val="auto"/>
                <w:sz w:val="24"/>
              </w:rPr>
            </w:pPr>
            <w:r>
              <w:rPr>
                <w:rFonts w:hint="eastAsia" w:ascii="宋体" w:hAnsi="宋体" w:cs="宋体"/>
                <w:color w:val="auto"/>
                <w:sz w:val="24"/>
              </w:rPr>
              <w:t>年   月   日</w:t>
            </w:r>
          </w:p>
        </w:tc>
        <w:tc>
          <w:tcPr>
            <w:tcW w:w="4371" w:type="dxa"/>
            <w:noWrap w:val="0"/>
            <w:vAlign w:val="center"/>
          </w:tcPr>
          <w:p w14:paraId="0325191C">
            <w:pPr>
              <w:pageBreakBefore w:val="0"/>
              <w:topLinePunct w:val="0"/>
              <w:bidi w:val="0"/>
              <w:spacing w:line="500" w:lineRule="exact"/>
              <w:ind w:right="0" w:rightChars="0"/>
              <w:jc w:val="both"/>
              <w:rPr>
                <w:rFonts w:hint="eastAsia" w:ascii="宋体" w:hAnsi="宋体" w:cs="宋体"/>
                <w:color w:val="auto"/>
                <w:sz w:val="24"/>
                <w:u w:val="single"/>
              </w:rPr>
            </w:pPr>
            <w:r>
              <w:rPr>
                <w:rFonts w:hint="eastAsia" w:ascii="宋体" w:hAnsi="宋体" w:cs="宋体"/>
                <w:color w:val="auto"/>
                <w:sz w:val="24"/>
              </w:rPr>
              <w:t>（法</w:t>
            </w:r>
            <w:r>
              <w:rPr>
                <w:rFonts w:hint="eastAsia" w:ascii="宋体" w:hAnsi="宋体" w:cs="宋体"/>
                <w:color w:val="auto"/>
                <w:sz w:val="24"/>
                <w:lang w:val="en-US" w:eastAsia="zh-CN"/>
              </w:rPr>
              <w:t>定代表</w:t>
            </w:r>
            <w:r>
              <w:rPr>
                <w:rFonts w:hint="eastAsia" w:ascii="宋体" w:hAnsi="宋体" w:cs="宋体"/>
                <w:color w:val="auto"/>
                <w:sz w:val="24"/>
              </w:rPr>
              <w:t>人身份证正反面复印件，有国徽一面为正，身份信息一面为反）</w:t>
            </w:r>
          </w:p>
        </w:tc>
      </w:tr>
    </w:tbl>
    <w:tbl>
      <w:tblPr>
        <w:tblStyle w:val="23"/>
        <w:tblpPr w:leftFromText="180" w:rightFromText="180" w:vertAnchor="text" w:horzAnchor="page" w:tblpX="1712" w:tblpY="428"/>
        <w:tblOverlap w:val="never"/>
        <w:tblW w:w="8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6032F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5" w:hRule="exact"/>
        </w:trPr>
        <w:tc>
          <w:tcPr>
            <w:tcW w:w="4349" w:type="dxa"/>
            <w:noWrap w:val="0"/>
            <w:vAlign w:val="top"/>
          </w:tcPr>
          <w:p w14:paraId="6BF195E7">
            <w:pPr>
              <w:pageBreakBefore w:val="0"/>
              <w:topLinePunct w:val="0"/>
              <w:bidi w:val="0"/>
              <w:spacing w:line="500" w:lineRule="exact"/>
              <w:ind w:left="0" w:leftChars="0" w:right="0" w:rightChars="0" w:firstLine="480" w:firstLineChars="200"/>
              <w:rPr>
                <w:rFonts w:hint="eastAsia" w:ascii="宋体" w:hAnsi="宋体" w:cs="宋体"/>
                <w:color w:val="auto"/>
                <w:sz w:val="24"/>
              </w:rPr>
            </w:pPr>
          </w:p>
          <w:p w14:paraId="6A110C85">
            <w:pPr>
              <w:pageBreakBefore w:val="0"/>
              <w:topLinePunct w:val="0"/>
              <w:bidi w:val="0"/>
              <w:spacing w:line="500" w:lineRule="exact"/>
              <w:ind w:left="0" w:leftChars="0" w:right="0" w:rightChars="0" w:firstLine="480" w:firstLineChars="200"/>
              <w:rPr>
                <w:rFonts w:hint="eastAsia" w:ascii="宋体" w:hAnsi="宋体" w:cs="宋体"/>
                <w:color w:val="auto"/>
                <w:sz w:val="24"/>
                <w:u w:val="single"/>
              </w:rPr>
            </w:pPr>
            <w:r>
              <w:rPr>
                <w:rFonts w:hint="eastAsia" w:ascii="宋体" w:hAnsi="宋体" w:cs="宋体"/>
                <w:color w:val="auto"/>
                <w:sz w:val="24"/>
              </w:rPr>
              <w:t xml:space="preserve">代理人（被授权人）签字：               </w:t>
            </w:r>
            <w:r>
              <w:rPr>
                <w:rFonts w:hint="eastAsia" w:ascii="宋体" w:hAnsi="宋体" w:cs="宋体"/>
                <w:color w:val="auto"/>
                <w:sz w:val="24"/>
                <w:u w:val="single"/>
              </w:rPr>
              <w:t xml:space="preserve">        </w:t>
            </w:r>
          </w:p>
          <w:p w14:paraId="42423400">
            <w:pPr>
              <w:pageBreakBefore w:val="0"/>
              <w:topLinePunct w:val="0"/>
              <w:bidi w:val="0"/>
              <w:spacing w:line="500" w:lineRule="exact"/>
              <w:ind w:left="0" w:leftChars="0" w:right="0" w:rightChars="0" w:firstLine="480" w:firstLineChars="200"/>
              <w:rPr>
                <w:rFonts w:hint="eastAsia" w:ascii="宋体" w:hAnsi="宋体" w:cs="宋体"/>
                <w:color w:val="auto"/>
                <w:sz w:val="24"/>
                <w:u w:val="single"/>
              </w:rPr>
            </w:pPr>
          </w:p>
          <w:p w14:paraId="30E4E2DC">
            <w:pPr>
              <w:pageBreakBefore w:val="0"/>
              <w:topLinePunct w:val="0"/>
              <w:bidi w:val="0"/>
              <w:spacing w:line="500" w:lineRule="exact"/>
              <w:ind w:left="0" w:leftChars="0" w:right="0" w:rightChars="0" w:firstLine="480" w:firstLineChars="200"/>
              <w:rPr>
                <w:rFonts w:hint="eastAsia" w:ascii="宋体" w:hAnsi="宋体" w:cs="宋体"/>
                <w:color w:val="auto"/>
                <w:sz w:val="24"/>
                <w:u w:val="single"/>
              </w:rPr>
            </w:pPr>
            <w:r>
              <w:rPr>
                <w:rFonts w:hint="eastAsia" w:ascii="宋体" w:hAnsi="宋体" w:cs="宋体"/>
                <w:color w:val="auto"/>
                <w:sz w:val="24"/>
              </w:rPr>
              <w:t xml:space="preserve">职务：                           </w:t>
            </w:r>
          </w:p>
          <w:p w14:paraId="70D2F1DC">
            <w:pPr>
              <w:pageBreakBefore w:val="0"/>
              <w:topLinePunct w:val="0"/>
              <w:bidi w:val="0"/>
              <w:spacing w:line="500" w:lineRule="exact"/>
              <w:ind w:left="0" w:leftChars="0" w:right="0" w:rightChars="0" w:firstLine="480" w:firstLineChars="200"/>
              <w:rPr>
                <w:rFonts w:hint="eastAsia" w:ascii="宋体" w:hAnsi="宋体" w:cs="宋体"/>
                <w:color w:val="auto"/>
                <w:sz w:val="24"/>
                <w:u w:val="single"/>
              </w:rPr>
            </w:pPr>
          </w:p>
          <w:p w14:paraId="3EB50622">
            <w:pPr>
              <w:pageBreakBefore w:val="0"/>
              <w:topLinePunct w:val="0"/>
              <w:bidi w:val="0"/>
              <w:spacing w:line="500" w:lineRule="exact"/>
              <w:ind w:left="0" w:leftChars="0" w:right="0" w:rightChars="0" w:firstLine="480" w:firstLineChars="200"/>
              <w:rPr>
                <w:rFonts w:hint="eastAsia" w:ascii="宋体" w:hAnsi="宋体" w:cs="宋体"/>
                <w:color w:val="auto"/>
                <w:sz w:val="24"/>
              </w:rPr>
            </w:pPr>
            <w:r>
              <w:rPr>
                <w:rFonts w:hint="eastAsia" w:ascii="宋体" w:hAnsi="宋体" w:cs="宋体"/>
                <w:color w:val="auto"/>
                <w:sz w:val="24"/>
              </w:rPr>
              <w:t>年   月   日</w:t>
            </w:r>
          </w:p>
        </w:tc>
        <w:tc>
          <w:tcPr>
            <w:tcW w:w="4371" w:type="dxa"/>
            <w:noWrap w:val="0"/>
            <w:vAlign w:val="center"/>
          </w:tcPr>
          <w:p w14:paraId="058253E9">
            <w:pPr>
              <w:pageBreakBefore w:val="0"/>
              <w:topLinePunct w:val="0"/>
              <w:bidi w:val="0"/>
              <w:spacing w:line="500" w:lineRule="exact"/>
              <w:ind w:right="0" w:rightChars="0"/>
              <w:jc w:val="both"/>
              <w:rPr>
                <w:rFonts w:hint="eastAsia" w:ascii="宋体" w:hAnsi="宋体" w:cs="宋体"/>
                <w:color w:val="auto"/>
                <w:sz w:val="24"/>
                <w:u w:val="single"/>
              </w:rPr>
            </w:pPr>
            <w:r>
              <w:rPr>
                <w:rFonts w:hint="eastAsia" w:ascii="宋体" w:hAnsi="宋体" w:cs="宋体"/>
                <w:color w:val="auto"/>
                <w:sz w:val="24"/>
              </w:rPr>
              <w:t>（被授权代理人身份证正反面复印件，有国徽一面为正，身份信息一面为反）</w:t>
            </w:r>
          </w:p>
        </w:tc>
      </w:tr>
    </w:tbl>
    <w:p w14:paraId="06F6D77D">
      <w:pPr>
        <w:pageBreakBefore w:val="0"/>
        <w:topLinePunct w:val="0"/>
        <w:bidi w:val="0"/>
        <w:spacing w:line="500" w:lineRule="exact"/>
        <w:ind w:left="0" w:leftChars="0" w:right="0" w:rightChars="0" w:firstLine="480" w:firstLineChars="200"/>
        <w:rPr>
          <w:color w:val="auto"/>
          <w:szCs w:val="21"/>
        </w:rPr>
      </w:pPr>
      <w:r>
        <w:rPr>
          <w:rFonts w:hint="eastAsia"/>
          <w:color w:val="auto"/>
          <w:sz w:val="24"/>
          <w:szCs w:val="24"/>
          <w:lang w:eastAsia="zh-CN"/>
        </w:rPr>
        <w:t>供应商</w:t>
      </w:r>
      <w:r>
        <w:rPr>
          <w:rFonts w:hint="eastAsia"/>
          <w:color w:val="auto"/>
          <w:sz w:val="24"/>
          <w:szCs w:val="24"/>
        </w:rPr>
        <w:t>名称：</w:t>
      </w:r>
      <w:r>
        <w:rPr>
          <w:rFonts w:hint="eastAsia"/>
          <w:color w:val="auto"/>
          <w:szCs w:val="21"/>
          <w:u w:val="single"/>
        </w:rPr>
        <w:t xml:space="preserve">                      </w:t>
      </w:r>
      <w:r>
        <w:rPr>
          <w:rFonts w:hint="eastAsia"/>
          <w:color w:val="auto"/>
          <w:sz w:val="24"/>
          <w:szCs w:val="24"/>
        </w:rPr>
        <w:t xml:space="preserve">（盖单位章） </w:t>
      </w:r>
    </w:p>
    <w:p w14:paraId="6E6B0D9C">
      <w:pPr>
        <w:pageBreakBefore w:val="0"/>
        <w:topLinePunct w:val="0"/>
        <w:bidi w:val="0"/>
        <w:spacing w:line="500" w:lineRule="exact"/>
        <w:ind w:left="0" w:leftChars="0" w:right="0" w:rightChars="0" w:firstLine="480" w:firstLineChars="200"/>
        <w:rPr>
          <w:color w:val="auto"/>
          <w:szCs w:val="21"/>
        </w:rPr>
      </w:pPr>
      <w:r>
        <w:rPr>
          <w:rFonts w:hint="eastAsia"/>
          <w:color w:val="auto"/>
          <w:sz w:val="24"/>
          <w:szCs w:val="24"/>
        </w:rPr>
        <w:t>法定代表人（单位负责人）</w:t>
      </w:r>
      <w:r>
        <w:rPr>
          <w:rFonts w:hint="eastAsia"/>
          <w:color w:val="auto"/>
          <w:sz w:val="24"/>
          <w:szCs w:val="24"/>
          <w:lang w:eastAsia="zh-CN"/>
        </w:rPr>
        <w:t>：</w:t>
      </w:r>
      <w:r>
        <w:rPr>
          <w:rFonts w:hint="eastAsia"/>
          <w:color w:val="auto"/>
          <w:szCs w:val="21"/>
        </w:rPr>
        <w:t xml:space="preserve"> </w:t>
      </w:r>
      <w:r>
        <w:rPr>
          <w:rFonts w:hint="eastAsia"/>
          <w:color w:val="auto"/>
          <w:szCs w:val="21"/>
          <w:u w:val="single"/>
        </w:rPr>
        <w:t xml:space="preserve">           </w:t>
      </w:r>
      <w:r>
        <w:rPr>
          <w:rFonts w:hint="eastAsia"/>
          <w:color w:val="auto"/>
          <w:szCs w:val="21"/>
        </w:rPr>
        <w:t xml:space="preserve"> </w:t>
      </w:r>
      <w:r>
        <w:rPr>
          <w:rFonts w:hint="eastAsia"/>
          <w:color w:val="auto"/>
          <w:sz w:val="24"/>
          <w:szCs w:val="24"/>
        </w:rPr>
        <w:t>（签字</w:t>
      </w:r>
      <w:r>
        <w:rPr>
          <w:rFonts w:hint="eastAsia"/>
          <w:color w:val="auto"/>
          <w:sz w:val="24"/>
          <w:szCs w:val="24"/>
          <w:lang w:val="en-US" w:eastAsia="zh-CN"/>
        </w:rPr>
        <w:t>或盖章</w:t>
      </w:r>
      <w:r>
        <w:rPr>
          <w:rFonts w:hint="eastAsia"/>
          <w:color w:val="auto"/>
          <w:sz w:val="24"/>
          <w:szCs w:val="24"/>
        </w:rPr>
        <w:t>）</w:t>
      </w:r>
    </w:p>
    <w:p w14:paraId="275D98ED">
      <w:pPr>
        <w:pageBreakBefore w:val="0"/>
        <w:topLinePunct w:val="0"/>
        <w:bidi w:val="0"/>
        <w:spacing w:line="500" w:lineRule="exact"/>
        <w:ind w:left="0" w:leftChars="0" w:right="0" w:rightChars="0" w:firstLine="480" w:firstLineChars="200"/>
        <w:rPr>
          <w:color w:val="auto"/>
          <w:szCs w:val="21"/>
        </w:rPr>
      </w:pPr>
      <w:r>
        <w:rPr>
          <w:rFonts w:hint="eastAsia"/>
          <w:color w:val="auto"/>
          <w:sz w:val="24"/>
          <w:szCs w:val="24"/>
        </w:rPr>
        <w:t>身 份 证 号：</w:t>
      </w:r>
      <w:r>
        <w:rPr>
          <w:rFonts w:hint="eastAsia"/>
          <w:color w:val="auto"/>
          <w:szCs w:val="21"/>
          <w:u w:val="single"/>
        </w:rPr>
        <w:t xml:space="preserve">                               </w:t>
      </w:r>
    </w:p>
    <w:p w14:paraId="43017241">
      <w:pPr>
        <w:pageBreakBefore w:val="0"/>
        <w:topLinePunct w:val="0"/>
        <w:bidi w:val="0"/>
        <w:spacing w:line="500" w:lineRule="exact"/>
        <w:ind w:left="0" w:leftChars="0" w:right="0" w:rightChars="0" w:firstLine="480" w:firstLineChars="200"/>
        <w:rPr>
          <w:color w:val="auto"/>
          <w:szCs w:val="21"/>
        </w:rPr>
      </w:pPr>
      <w:r>
        <w:rPr>
          <w:rFonts w:hint="eastAsia"/>
          <w:color w:val="auto"/>
          <w:sz w:val="24"/>
          <w:szCs w:val="24"/>
        </w:rPr>
        <w:t xml:space="preserve">委托代理人： </w:t>
      </w:r>
      <w:r>
        <w:rPr>
          <w:rFonts w:hint="eastAsia"/>
          <w:color w:val="auto"/>
          <w:szCs w:val="21"/>
          <w:u w:val="single"/>
        </w:rPr>
        <w:t xml:space="preserve">                         </w:t>
      </w:r>
      <w:r>
        <w:rPr>
          <w:rFonts w:hint="eastAsia"/>
          <w:color w:val="auto"/>
          <w:szCs w:val="21"/>
        </w:rPr>
        <w:t xml:space="preserve"> </w:t>
      </w:r>
      <w:r>
        <w:rPr>
          <w:rFonts w:hint="eastAsia"/>
          <w:color w:val="auto"/>
          <w:sz w:val="24"/>
          <w:szCs w:val="24"/>
        </w:rPr>
        <w:t xml:space="preserve">（签字） </w:t>
      </w:r>
      <w:r>
        <w:rPr>
          <w:rFonts w:hint="eastAsia"/>
          <w:color w:val="auto"/>
          <w:szCs w:val="21"/>
        </w:rPr>
        <w:t xml:space="preserve">    </w:t>
      </w:r>
    </w:p>
    <w:p w14:paraId="2D19516A">
      <w:pPr>
        <w:pageBreakBefore w:val="0"/>
        <w:topLinePunct w:val="0"/>
        <w:bidi w:val="0"/>
        <w:spacing w:line="500" w:lineRule="exact"/>
        <w:ind w:left="0" w:leftChars="0" w:right="0" w:rightChars="0" w:firstLine="480" w:firstLineChars="200"/>
        <w:rPr>
          <w:color w:val="auto"/>
          <w:szCs w:val="21"/>
          <w:u w:val="single"/>
        </w:rPr>
      </w:pPr>
      <w:r>
        <w:rPr>
          <w:rFonts w:hint="eastAsia"/>
          <w:color w:val="auto"/>
          <w:sz w:val="24"/>
          <w:szCs w:val="24"/>
        </w:rPr>
        <w:t>身 份 证 号：</w:t>
      </w:r>
      <w:r>
        <w:rPr>
          <w:rFonts w:hint="eastAsia"/>
          <w:color w:val="auto"/>
          <w:szCs w:val="21"/>
          <w:u w:val="single"/>
        </w:rPr>
        <w:t xml:space="preserve">                               </w:t>
      </w:r>
    </w:p>
    <w:p w14:paraId="645C68B7">
      <w:pPr>
        <w:pageBreakBefore w:val="0"/>
        <w:topLinePunct w:val="0"/>
        <w:bidi w:val="0"/>
        <w:spacing w:line="500" w:lineRule="exact"/>
        <w:ind w:left="0" w:leftChars="0" w:right="0" w:rightChars="0" w:firstLine="480" w:firstLineChars="200"/>
        <w:rPr>
          <w:color w:val="auto"/>
          <w:sz w:val="24"/>
          <w:szCs w:val="24"/>
        </w:rPr>
      </w:pPr>
      <w:r>
        <w:rPr>
          <w:rFonts w:hint="eastAsia"/>
          <w:color w:val="auto"/>
          <w:sz w:val="24"/>
          <w:szCs w:val="24"/>
        </w:rPr>
        <w:t>授权委托日期：</w:t>
      </w:r>
      <w:r>
        <w:rPr>
          <w:rFonts w:hint="eastAsia"/>
          <w:color w:val="auto"/>
          <w:sz w:val="24"/>
          <w:szCs w:val="24"/>
          <w:lang w:val="en-US" w:eastAsia="zh-CN"/>
        </w:rPr>
        <w:t xml:space="preserve">    </w:t>
      </w:r>
      <w:r>
        <w:rPr>
          <w:rFonts w:hint="eastAsia"/>
          <w:color w:val="auto"/>
          <w:sz w:val="24"/>
          <w:szCs w:val="24"/>
        </w:rPr>
        <w:t>年   月   日</w:t>
      </w:r>
    </w:p>
    <w:p w14:paraId="406F0400">
      <w:pPr>
        <w:pageBreakBefore w:val="0"/>
        <w:topLinePunct w:val="0"/>
        <w:bidi w:val="0"/>
        <w:spacing w:line="500" w:lineRule="exact"/>
        <w:ind w:right="0" w:rightChars="0"/>
        <w:rPr>
          <w:rFonts w:hint="eastAsia" w:ascii="Arial" w:hAnsi="Arial" w:eastAsia="宋体" w:cs="Arial"/>
          <w:b/>
          <w:bCs/>
          <w:color w:val="auto"/>
          <w:sz w:val="28"/>
          <w:szCs w:val="28"/>
          <w:lang w:val="en-US" w:eastAsia="zh-CN" w:bidi="ar"/>
        </w:rPr>
      </w:pPr>
      <w:r>
        <w:rPr>
          <w:rFonts w:hint="eastAsia"/>
          <w:color w:val="auto"/>
          <w:sz w:val="24"/>
          <w:szCs w:val="24"/>
        </w:rPr>
        <w:t>说明：本授权委托书有效期自开标之日起不得少于90天，仅限委托代理人参加投标时提供</w:t>
      </w:r>
      <w:r>
        <w:rPr>
          <w:rFonts w:hint="eastAsia"/>
          <w:color w:val="auto"/>
          <w:sz w:val="24"/>
          <w:szCs w:val="24"/>
          <w:lang w:val="en-US" w:eastAsia="zh-CN"/>
        </w:rPr>
        <w:t>。</w:t>
      </w:r>
    </w:p>
    <w:p w14:paraId="10CCF249">
      <w:pPr>
        <w:rPr>
          <w:rFonts w:hint="eastAsia"/>
          <w:color w:val="auto"/>
          <w:lang w:val="en-US" w:eastAsia="zh-CN"/>
        </w:rPr>
      </w:pPr>
      <w:r>
        <w:rPr>
          <w:rFonts w:hint="eastAsia"/>
          <w:color w:val="auto"/>
          <w:lang w:val="en-US" w:eastAsia="zh-CN"/>
        </w:rPr>
        <w:br w:type="page"/>
      </w:r>
    </w:p>
    <w:p w14:paraId="6893D05E">
      <w:pPr>
        <w:pStyle w:val="5"/>
        <w:pageBreakBefore w:val="0"/>
        <w:topLinePunct w:val="0"/>
        <w:bidi w:val="0"/>
        <w:spacing w:line="500" w:lineRule="exact"/>
        <w:ind w:left="0" w:leftChars="0" w:right="0" w:rightChars="0" w:firstLine="562" w:firstLineChars="200"/>
        <w:rPr>
          <w:color w:val="auto"/>
        </w:rPr>
      </w:pPr>
      <w:r>
        <w:rPr>
          <w:rFonts w:hint="eastAsia"/>
          <w:color w:val="auto"/>
          <w:lang w:val="en-US" w:eastAsia="zh-CN"/>
        </w:rPr>
        <w:t>4.3</w:t>
      </w:r>
      <w:r>
        <w:rPr>
          <w:color w:val="auto"/>
        </w:rPr>
        <w:t>具备履行合同所必需的设备和专业技术能力的证明</w:t>
      </w:r>
    </w:p>
    <w:p w14:paraId="1E793124">
      <w:pPr>
        <w:pageBreakBefore w:val="0"/>
        <w:topLinePunct w:val="0"/>
        <w:bidi w:val="0"/>
        <w:spacing w:line="500" w:lineRule="exact"/>
        <w:ind w:left="0" w:leftChars="0" w:right="0" w:rightChars="0" w:firstLine="440" w:firstLineChars="200"/>
        <w:outlineLvl w:val="9"/>
        <w:rPr>
          <w:color w:val="auto"/>
        </w:rPr>
      </w:pPr>
    </w:p>
    <w:p w14:paraId="2289A286">
      <w:pPr>
        <w:pStyle w:val="5"/>
        <w:pageBreakBefore w:val="0"/>
        <w:topLinePunct w:val="0"/>
        <w:bidi w:val="0"/>
        <w:spacing w:line="500" w:lineRule="exact"/>
        <w:ind w:left="0" w:leftChars="0" w:right="0" w:rightChars="0" w:firstLine="562" w:firstLineChars="200"/>
        <w:rPr>
          <w:color w:val="auto"/>
        </w:rPr>
      </w:pPr>
      <w:r>
        <w:rPr>
          <w:color w:val="auto"/>
        </w:rPr>
        <w:t>（一）完成本项目必须的设备清单</w:t>
      </w:r>
      <w:r>
        <w:rPr>
          <w:rFonts w:hint="eastAsia"/>
          <w:color w:val="auto"/>
        </w:rPr>
        <w:t>（填写拟投入本项目的设备）</w:t>
      </w:r>
    </w:p>
    <w:p w14:paraId="1A71D883">
      <w:pPr>
        <w:pageBreakBefore w:val="0"/>
        <w:topLinePunct w:val="0"/>
        <w:bidi w:val="0"/>
        <w:spacing w:line="500" w:lineRule="exact"/>
        <w:ind w:right="0" w:rightChars="0"/>
        <w:jc w:val="both"/>
        <w:rPr>
          <w:rFonts w:hint="default" w:eastAsia="宋体"/>
          <w:color w:val="auto"/>
          <w:sz w:val="24"/>
          <w:szCs w:val="24"/>
          <w:lang w:val="en-US" w:eastAsia="zh-CN"/>
        </w:rPr>
      </w:pPr>
      <w:r>
        <w:rPr>
          <w:rFonts w:hint="eastAsia"/>
          <w:color w:val="auto"/>
          <w:sz w:val="24"/>
          <w:szCs w:val="24"/>
          <w:lang w:eastAsia="zh-CN"/>
        </w:rPr>
        <w:t>供应商</w:t>
      </w:r>
      <w:r>
        <w:rPr>
          <w:rFonts w:hint="eastAsia"/>
          <w:color w:val="auto"/>
          <w:sz w:val="24"/>
          <w:szCs w:val="24"/>
        </w:rPr>
        <w:t>名称：</w:t>
      </w:r>
      <w:r>
        <w:rPr>
          <w:rFonts w:hint="eastAsia"/>
          <w:color w:val="auto"/>
          <w:sz w:val="24"/>
          <w:szCs w:val="24"/>
          <w:lang w:val="en-US"/>
        </w:rPr>
        <w:t xml:space="preserve">                                    </w:t>
      </w:r>
      <w:r>
        <w:rPr>
          <w:rFonts w:hint="eastAsia"/>
          <w:color w:val="auto"/>
          <w:sz w:val="24"/>
          <w:szCs w:val="24"/>
          <w:lang w:val="en-US" w:eastAsia="zh-CN"/>
        </w:rPr>
        <w:t xml:space="preserve">            </w:t>
      </w:r>
      <w:r>
        <w:rPr>
          <w:rFonts w:hint="eastAsia"/>
          <w:color w:val="auto"/>
          <w:sz w:val="24"/>
          <w:szCs w:val="24"/>
          <w:lang w:val="en-US"/>
        </w:rPr>
        <w:t xml:space="preserve"> </w:t>
      </w:r>
      <w:r>
        <w:rPr>
          <w:rFonts w:hint="eastAsia"/>
          <w:color w:val="auto"/>
          <w:sz w:val="24"/>
          <w:szCs w:val="24"/>
          <w:lang w:val="en-US" w:eastAsia="zh-CN"/>
        </w:rPr>
        <w:t>合同包：一/二/三</w:t>
      </w:r>
    </w:p>
    <w:tbl>
      <w:tblPr>
        <w:tblStyle w:val="23"/>
        <w:tblW w:w="9351" w:type="dxa"/>
        <w:tblInd w:w="-26"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776"/>
        <w:gridCol w:w="2241"/>
        <w:gridCol w:w="1538"/>
        <w:gridCol w:w="937"/>
        <w:gridCol w:w="1650"/>
        <w:gridCol w:w="2209"/>
      </w:tblGrid>
      <w:tr w14:paraId="2181AC1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2" w:hRule="atLeast"/>
        </w:trPr>
        <w:tc>
          <w:tcPr>
            <w:tcW w:w="776" w:type="dxa"/>
            <w:tcBorders>
              <w:bottom w:val="single" w:color="000000" w:sz="4" w:space="0"/>
              <w:right w:val="single" w:color="000000" w:sz="4" w:space="0"/>
            </w:tcBorders>
          </w:tcPr>
          <w:p w14:paraId="7FF9ED44">
            <w:pPr>
              <w:pageBreakBefore w:val="0"/>
              <w:topLinePunct w:val="0"/>
              <w:bidi w:val="0"/>
              <w:spacing w:line="500" w:lineRule="exact"/>
              <w:ind w:right="0" w:rightChars="0"/>
              <w:jc w:val="center"/>
              <w:rPr>
                <w:color w:val="auto"/>
                <w:sz w:val="24"/>
                <w:szCs w:val="24"/>
              </w:rPr>
            </w:pPr>
            <w:r>
              <w:rPr>
                <w:rFonts w:hint="eastAsia"/>
                <w:color w:val="auto"/>
                <w:sz w:val="24"/>
                <w:szCs w:val="24"/>
              </w:rPr>
              <w:t>序号</w:t>
            </w:r>
          </w:p>
        </w:tc>
        <w:tc>
          <w:tcPr>
            <w:tcW w:w="2241" w:type="dxa"/>
            <w:tcBorders>
              <w:left w:val="single" w:color="000000" w:sz="4" w:space="0"/>
              <w:bottom w:val="single" w:color="000000" w:sz="4" w:space="0"/>
              <w:right w:val="single" w:color="000000" w:sz="4" w:space="0"/>
            </w:tcBorders>
          </w:tcPr>
          <w:p w14:paraId="716B338C">
            <w:pPr>
              <w:pageBreakBefore w:val="0"/>
              <w:topLinePunct w:val="0"/>
              <w:bidi w:val="0"/>
              <w:spacing w:line="500" w:lineRule="exact"/>
              <w:ind w:right="0" w:rightChars="0"/>
              <w:jc w:val="center"/>
              <w:rPr>
                <w:color w:val="auto"/>
                <w:sz w:val="24"/>
                <w:szCs w:val="24"/>
              </w:rPr>
            </w:pPr>
            <w:r>
              <w:rPr>
                <w:rFonts w:hint="eastAsia"/>
                <w:color w:val="auto"/>
                <w:sz w:val="24"/>
                <w:szCs w:val="24"/>
              </w:rPr>
              <w:t>设备名称</w:t>
            </w:r>
          </w:p>
        </w:tc>
        <w:tc>
          <w:tcPr>
            <w:tcW w:w="1538" w:type="dxa"/>
            <w:tcBorders>
              <w:left w:val="single" w:color="000000" w:sz="4" w:space="0"/>
              <w:bottom w:val="single" w:color="000000" w:sz="4" w:space="0"/>
              <w:right w:val="single" w:color="000000" w:sz="4" w:space="0"/>
            </w:tcBorders>
          </w:tcPr>
          <w:p w14:paraId="47DF5D11">
            <w:pPr>
              <w:pageBreakBefore w:val="0"/>
              <w:topLinePunct w:val="0"/>
              <w:bidi w:val="0"/>
              <w:spacing w:line="500" w:lineRule="exact"/>
              <w:ind w:right="0" w:rightChars="0"/>
              <w:jc w:val="center"/>
              <w:rPr>
                <w:color w:val="auto"/>
                <w:sz w:val="24"/>
                <w:szCs w:val="24"/>
              </w:rPr>
            </w:pPr>
            <w:r>
              <w:rPr>
                <w:rFonts w:hint="eastAsia"/>
                <w:color w:val="auto"/>
                <w:sz w:val="24"/>
                <w:szCs w:val="24"/>
              </w:rPr>
              <w:t>计量单位</w:t>
            </w:r>
          </w:p>
        </w:tc>
        <w:tc>
          <w:tcPr>
            <w:tcW w:w="937" w:type="dxa"/>
            <w:tcBorders>
              <w:left w:val="single" w:color="000000" w:sz="4" w:space="0"/>
              <w:bottom w:val="single" w:color="000000" w:sz="4" w:space="0"/>
              <w:right w:val="single" w:color="000000" w:sz="4" w:space="0"/>
            </w:tcBorders>
          </w:tcPr>
          <w:p w14:paraId="2DE2A970">
            <w:pPr>
              <w:pageBreakBefore w:val="0"/>
              <w:topLinePunct w:val="0"/>
              <w:bidi w:val="0"/>
              <w:spacing w:line="500" w:lineRule="exact"/>
              <w:ind w:right="0" w:rightChars="0"/>
              <w:jc w:val="center"/>
              <w:rPr>
                <w:color w:val="auto"/>
                <w:sz w:val="24"/>
                <w:szCs w:val="24"/>
              </w:rPr>
            </w:pPr>
            <w:r>
              <w:rPr>
                <w:rFonts w:hint="eastAsia"/>
                <w:color w:val="auto"/>
                <w:sz w:val="24"/>
                <w:szCs w:val="24"/>
              </w:rPr>
              <w:t>数量</w:t>
            </w:r>
          </w:p>
        </w:tc>
        <w:tc>
          <w:tcPr>
            <w:tcW w:w="1650" w:type="dxa"/>
            <w:tcBorders>
              <w:left w:val="single" w:color="000000" w:sz="4" w:space="0"/>
              <w:bottom w:val="single" w:color="000000" w:sz="4" w:space="0"/>
              <w:right w:val="single" w:color="000000" w:sz="4" w:space="0"/>
            </w:tcBorders>
          </w:tcPr>
          <w:p w14:paraId="563DECA0">
            <w:pPr>
              <w:pageBreakBefore w:val="0"/>
              <w:topLinePunct w:val="0"/>
              <w:bidi w:val="0"/>
              <w:spacing w:line="500" w:lineRule="exact"/>
              <w:ind w:right="0" w:rightChars="0"/>
              <w:jc w:val="center"/>
              <w:rPr>
                <w:color w:val="auto"/>
                <w:sz w:val="24"/>
                <w:szCs w:val="24"/>
              </w:rPr>
            </w:pPr>
            <w:r>
              <w:rPr>
                <w:rFonts w:hint="eastAsia"/>
                <w:color w:val="auto"/>
                <w:sz w:val="24"/>
                <w:szCs w:val="24"/>
              </w:rPr>
              <w:t>生产企业</w:t>
            </w:r>
          </w:p>
        </w:tc>
        <w:tc>
          <w:tcPr>
            <w:tcW w:w="2209" w:type="dxa"/>
            <w:tcBorders>
              <w:left w:val="single" w:color="000000" w:sz="4" w:space="0"/>
              <w:bottom w:val="single" w:color="000000" w:sz="4" w:space="0"/>
            </w:tcBorders>
          </w:tcPr>
          <w:p w14:paraId="06FA689C">
            <w:pPr>
              <w:pageBreakBefore w:val="0"/>
              <w:topLinePunct w:val="0"/>
              <w:bidi w:val="0"/>
              <w:spacing w:line="500" w:lineRule="exact"/>
              <w:ind w:right="0" w:rightChars="0"/>
              <w:jc w:val="center"/>
              <w:rPr>
                <w:color w:val="auto"/>
                <w:sz w:val="24"/>
                <w:szCs w:val="24"/>
              </w:rPr>
            </w:pPr>
            <w:r>
              <w:rPr>
                <w:rFonts w:ascii="宋体" w:hAnsi="宋体" w:eastAsia="宋体" w:cs="宋体"/>
                <w:color w:val="auto"/>
                <w:sz w:val="24"/>
                <w:szCs w:val="24"/>
              </w:rPr>
              <w:t>备注（自有 / 租赁 / 共享）</w:t>
            </w:r>
          </w:p>
        </w:tc>
      </w:tr>
      <w:tr w14:paraId="29F7161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3" w:hRule="atLeast"/>
        </w:trPr>
        <w:tc>
          <w:tcPr>
            <w:tcW w:w="776" w:type="dxa"/>
            <w:tcBorders>
              <w:top w:val="single" w:color="000000" w:sz="4" w:space="0"/>
              <w:bottom w:val="single" w:color="000000" w:sz="4" w:space="0"/>
              <w:right w:val="single" w:color="000000" w:sz="4" w:space="0"/>
            </w:tcBorders>
          </w:tcPr>
          <w:p w14:paraId="0A2CE922">
            <w:pPr>
              <w:pageBreakBefore w:val="0"/>
              <w:topLinePunct w:val="0"/>
              <w:bidi w:val="0"/>
              <w:spacing w:line="500" w:lineRule="exact"/>
              <w:ind w:left="0" w:leftChars="0" w:right="0" w:rightChars="0" w:firstLine="480" w:firstLineChars="200"/>
              <w:jc w:val="center"/>
              <w:rPr>
                <w:color w:val="auto"/>
                <w:sz w:val="24"/>
                <w:szCs w:val="24"/>
              </w:rPr>
            </w:pPr>
          </w:p>
        </w:tc>
        <w:tc>
          <w:tcPr>
            <w:tcW w:w="2241" w:type="dxa"/>
            <w:tcBorders>
              <w:top w:val="single" w:color="000000" w:sz="4" w:space="0"/>
              <w:left w:val="single" w:color="000000" w:sz="4" w:space="0"/>
              <w:bottom w:val="single" w:color="000000" w:sz="4" w:space="0"/>
              <w:right w:val="single" w:color="000000" w:sz="4" w:space="0"/>
            </w:tcBorders>
          </w:tcPr>
          <w:p w14:paraId="5A42A1A1">
            <w:pPr>
              <w:pageBreakBefore w:val="0"/>
              <w:topLinePunct w:val="0"/>
              <w:bidi w:val="0"/>
              <w:spacing w:line="500" w:lineRule="exact"/>
              <w:ind w:left="0" w:leftChars="0" w:right="0" w:rightChars="0" w:firstLine="480" w:firstLineChars="200"/>
              <w:jc w:val="center"/>
              <w:rPr>
                <w:color w:val="auto"/>
                <w:sz w:val="24"/>
                <w:szCs w:val="24"/>
              </w:rPr>
            </w:pPr>
          </w:p>
        </w:tc>
        <w:tc>
          <w:tcPr>
            <w:tcW w:w="1538" w:type="dxa"/>
            <w:tcBorders>
              <w:top w:val="single" w:color="000000" w:sz="4" w:space="0"/>
              <w:left w:val="single" w:color="000000" w:sz="4" w:space="0"/>
              <w:bottom w:val="single" w:color="000000" w:sz="4" w:space="0"/>
              <w:right w:val="single" w:color="000000" w:sz="4" w:space="0"/>
            </w:tcBorders>
          </w:tcPr>
          <w:p w14:paraId="224961BD">
            <w:pPr>
              <w:pageBreakBefore w:val="0"/>
              <w:topLinePunct w:val="0"/>
              <w:bidi w:val="0"/>
              <w:spacing w:line="500" w:lineRule="exact"/>
              <w:ind w:left="0" w:leftChars="0" w:right="0" w:rightChars="0" w:firstLine="480" w:firstLineChars="200"/>
              <w:jc w:val="center"/>
              <w:rPr>
                <w:color w:val="auto"/>
                <w:sz w:val="24"/>
                <w:szCs w:val="24"/>
              </w:rPr>
            </w:pPr>
          </w:p>
        </w:tc>
        <w:tc>
          <w:tcPr>
            <w:tcW w:w="937" w:type="dxa"/>
            <w:tcBorders>
              <w:top w:val="single" w:color="000000" w:sz="4" w:space="0"/>
              <w:left w:val="single" w:color="000000" w:sz="4" w:space="0"/>
              <w:bottom w:val="single" w:color="000000" w:sz="4" w:space="0"/>
              <w:right w:val="single" w:color="000000" w:sz="4" w:space="0"/>
            </w:tcBorders>
          </w:tcPr>
          <w:p w14:paraId="6CF16BFC">
            <w:pPr>
              <w:pageBreakBefore w:val="0"/>
              <w:topLinePunct w:val="0"/>
              <w:bidi w:val="0"/>
              <w:spacing w:line="500" w:lineRule="exact"/>
              <w:ind w:left="0" w:leftChars="0" w:right="0" w:rightChars="0" w:firstLine="480" w:firstLineChars="200"/>
              <w:jc w:val="center"/>
              <w:rPr>
                <w:color w:val="auto"/>
                <w:sz w:val="24"/>
                <w:szCs w:val="24"/>
              </w:rPr>
            </w:pPr>
          </w:p>
        </w:tc>
        <w:tc>
          <w:tcPr>
            <w:tcW w:w="1650" w:type="dxa"/>
            <w:tcBorders>
              <w:top w:val="single" w:color="000000" w:sz="4" w:space="0"/>
              <w:left w:val="single" w:color="000000" w:sz="4" w:space="0"/>
              <w:bottom w:val="single" w:color="000000" w:sz="4" w:space="0"/>
              <w:right w:val="single" w:color="000000" w:sz="4" w:space="0"/>
            </w:tcBorders>
          </w:tcPr>
          <w:p w14:paraId="666A8C05">
            <w:pPr>
              <w:pageBreakBefore w:val="0"/>
              <w:topLinePunct w:val="0"/>
              <w:bidi w:val="0"/>
              <w:spacing w:line="500" w:lineRule="exact"/>
              <w:ind w:left="0" w:leftChars="0" w:right="0" w:rightChars="0" w:firstLine="480" w:firstLineChars="200"/>
              <w:jc w:val="center"/>
              <w:rPr>
                <w:color w:val="auto"/>
                <w:sz w:val="24"/>
                <w:szCs w:val="24"/>
              </w:rPr>
            </w:pPr>
          </w:p>
        </w:tc>
        <w:tc>
          <w:tcPr>
            <w:tcW w:w="2209" w:type="dxa"/>
            <w:tcBorders>
              <w:top w:val="single" w:color="000000" w:sz="4" w:space="0"/>
              <w:left w:val="single" w:color="000000" w:sz="4" w:space="0"/>
              <w:bottom w:val="single" w:color="000000" w:sz="4" w:space="0"/>
            </w:tcBorders>
          </w:tcPr>
          <w:p w14:paraId="184E992E">
            <w:pPr>
              <w:pageBreakBefore w:val="0"/>
              <w:topLinePunct w:val="0"/>
              <w:bidi w:val="0"/>
              <w:spacing w:line="500" w:lineRule="exact"/>
              <w:ind w:left="0" w:leftChars="0" w:right="0" w:rightChars="0" w:firstLine="480" w:firstLineChars="200"/>
              <w:jc w:val="center"/>
              <w:rPr>
                <w:color w:val="auto"/>
                <w:sz w:val="24"/>
                <w:szCs w:val="24"/>
              </w:rPr>
            </w:pPr>
          </w:p>
        </w:tc>
      </w:tr>
      <w:tr w14:paraId="40458F5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4" w:hRule="atLeast"/>
        </w:trPr>
        <w:tc>
          <w:tcPr>
            <w:tcW w:w="776" w:type="dxa"/>
            <w:tcBorders>
              <w:top w:val="single" w:color="000000" w:sz="4" w:space="0"/>
              <w:bottom w:val="single" w:color="000000" w:sz="4" w:space="0"/>
              <w:right w:val="single" w:color="000000" w:sz="4" w:space="0"/>
            </w:tcBorders>
          </w:tcPr>
          <w:p w14:paraId="75E53B37">
            <w:pPr>
              <w:pageBreakBefore w:val="0"/>
              <w:topLinePunct w:val="0"/>
              <w:bidi w:val="0"/>
              <w:spacing w:line="500" w:lineRule="exact"/>
              <w:ind w:left="0" w:leftChars="0" w:right="0" w:rightChars="0" w:firstLine="480" w:firstLineChars="200"/>
              <w:jc w:val="center"/>
              <w:rPr>
                <w:color w:val="auto"/>
                <w:sz w:val="24"/>
                <w:szCs w:val="24"/>
              </w:rPr>
            </w:pPr>
          </w:p>
        </w:tc>
        <w:tc>
          <w:tcPr>
            <w:tcW w:w="2241" w:type="dxa"/>
            <w:tcBorders>
              <w:top w:val="single" w:color="000000" w:sz="4" w:space="0"/>
              <w:left w:val="single" w:color="000000" w:sz="4" w:space="0"/>
              <w:bottom w:val="single" w:color="000000" w:sz="4" w:space="0"/>
              <w:right w:val="single" w:color="000000" w:sz="4" w:space="0"/>
            </w:tcBorders>
          </w:tcPr>
          <w:p w14:paraId="037D9FB5">
            <w:pPr>
              <w:pageBreakBefore w:val="0"/>
              <w:topLinePunct w:val="0"/>
              <w:bidi w:val="0"/>
              <w:spacing w:line="500" w:lineRule="exact"/>
              <w:ind w:left="0" w:leftChars="0" w:right="0" w:rightChars="0" w:firstLine="480" w:firstLineChars="200"/>
              <w:jc w:val="center"/>
              <w:rPr>
                <w:color w:val="auto"/>
                <w:sz w:val="24"/>
                <w:szCs w:val="24"/>
              </w:rPr>
            </w:pPr>
          </w:p>
        </w:tc>
        <w:tc>
          <w:tcPr>
            <w:tcW w:w="1538" w:type="dxa"/>
            <w:tcBorders>
              <w:top w:val="single" w:color="000000" w:sz="4" w:space="0"/>
              <w:left w:val="single" w:color="000000" w:sz="4" w:space="0"/>
              <w:bottom w:val="single" w:color="000000" w:sz="4" w:space="0"/>
              <w:right w:val="single" w:color="000000" w:sz="4" w:space="0"/>
            </w:tcBorders>
          </w:tcPr>
          <w:p w14:paraId="5C7DFF3F">
            <w:pPr>
              <w:pageBreakBefore w:val="0"/>
              <w:topLinePunct w:val="0"/>
              <w:bidi w:val="0"/>
              <w:spacing w:line="500" w:lineRule="exact"/>
              <w:ind w:left="0" w:leftChars="0" w:right="0" w:rightChars="0" w:firstLine="480" w:firstLineChars="200"/>
              <w:jc w:val="center"/>
              <w:rPr>
                <w:color w:val="auto"/>
                <w:sz w:val="24"/>
                <w:szCs w:val="24"/>
              </w:rPr>
            </w:pPr>
          </w:p>
        </w:tc>
        <w:tc>
          <w:tcPr>
            <w:tcW w:w="937" w:type="dxa"/>
            <w:tcBorders>
              <w:top w:val="single" w:color="000000" w:sz="4" w:space="0"/>
              <w:left w:val="single" w:color="000000" w:sz="4" w:space="0"/>
              <w:bottom w:val="single" w:color="000000" w:sz="4" w:space="0"/>
              <w:right w:val="single" w:color="000000" w:sz="4" w:space="0"/>
            </w:tcBorders>
          </w:tcPr>
          <w:p w14:paraId="6ABEDF56">
            <w:pPr>
              <w:pageBreakBefore w:val="0"/>
              <w:topLinePunct w:val="0"/>
              <w:bidi w:val="0"/>
              <w:spacing w:line="500" w:lineRule="exact"/>
              <w:ind w:left="0" w:leftChars="0" w:right="0" w:rightChars="0" w:firstLine="480" w:firstLineChars="200"/>
              <w:jc w:val="center"/>
              <w:rPr>
                <w:color w:val="auto"/>
                <w:sz w:val="24"/>
                <w:szCs w:val="24"/>
              </w:rPr>
            </w:pPr>
          </w:p>
        </w:tc>
        <w:tc>
          <w:tcPr>
            <w:tcW w:w="1650" w:type="dxa"/>
            <w:tcBorders>
              <w:top w:val="single" w:color="000000" w:sz="4" w:space="0"/>
              <w:left w:val="single" w:color="000000" w:sz="4" w:space="0"/>
              <w:bottom w:val="single" w:color="000000" w:sz="4" w:space="0"/>
              <w:right w:val="single" w:color="000000" w:sz="4" w:space="0"/>
            </w:tcBorders>
          </w:tcPr>
          <w:p w14:paraId="20BA0CD6">
            <w:pPr>
              <w:pageBreakBefore w:val="0"/>
              <w:topLinePunct w:val="0"/>
              <w:bidi w:val="0"/>
              <w:spacing w:line="500" w:lineRule="exact"/>
              <w:ind w:left="0" w:leftChars="0" w:right="0" w:rightChars="0" w:firstLine="480" w:firstLineChars="200"/>
              <w:jc w:val="center"/>
              <w:rPr>
                <w:color w:val="auto"/>
                <w:sz w:val="24"/>
                <w:szCs w:val="24"/>
              </w:rPr>
            </w:pPr>
          </w:p>
        </w:tc>
        <w:tc>
          <w:tcPr>
            <w:tcW w:w="2209" w:type="dxa"/>
            <w:tcBorders>
              <w:top w:val="single" w:color="000000" w:sz="4" w:space="0"/>
              <w:left w:val="single" w:color="000000" w:sz="4" w:space="0"/>
              <w:bottom w:val="single" w:color="000000" w:sz="4" w:space="0"/>
            </w:tcBorders>
          </w:tcPr>
          <w:p w14:paraId="7F3D055D">
            <w:pPr>
              <w:pageBreakBefore w:val="0"/>
              <w:topLinePunct w:val="0"/>
              <w:bidi w:val="0"/>
              <w:spacing w:line="500" w:lineRule="exact"/>
              <w:ind w:left="0" w:leftChars="0" w:right="0" w:rightChars="0" w:firstLine="480" w:firstLineChars="200"/>
              <w:jc w:val="center"/>
              <w:rPr>
                <w:color w:val="auto"/>
                <w:sz w:val="24"/>
                <w:szCs w:val="24"/>
              </w:rPr>
            </w:pPr>
          </w:p>
        </w:tc>
      </w:tr>
      <w:tr w14:paraId="04B843D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4" w:hRule="atLeast"/>
        </w:trPr>
        <w:tc>
          <w:tcPr>
            <w:tcW w:w="776" w:type="dxa"/>
            <w:tcBorders>
              <w:top w:val="single" w:color="000000" w:sz="4" w:space="0"/>
              <w:bottom w:val="single" w:color="000000" w:sz="4" w:space="0"/>
              <w:right w:val="single" w:color="000000" w:sz="4" w:space="0"/>
            </w:tcBorders>
          </w:tcPr>
          <w:p w14:paraId="495AD61D">
            <w:pPr>
              <w:pageBreakBefore w:val="0"/>
              <w:topLinePunct w:val="0"/>
              <w:bidi w:val="0"/>
              <w:spacing w:line="500" w:lineRule="exact"/>
              <w:ind w:left="0" w:leftChars="0" w:right="0" w:rightChars="0" w:firstLine="480" w:firstLineChars="200"/>
              <w:jc w:val="center"/>
              <w:rPr>
                <w:color w:val="auto"/>
                <w:sz w:val="24"/>
                <w:szCs w:val="24"/>
              </w:rPr>
            </w:pPr>
          </w:p>
        </w:tc>
        <w:tc>
          <w:tcPr>
            <w:tcW w:w="2241" w:type="dxa"/>
            <w:tcBorders>
              <w:top w:val="single" w:color="000000" w:sz="4" w:space="0"/>
              <w:left w:val="single" w:color="000000" w:sz="4" w:space="0"/>
              <w:bottom w:val="single" w:color="000000" w:sz="4" w:space="0"/>
              <w:right w:val="single" w:color="000000" w:sz="4" w:space="0"/>
            </w:tcBorders>
          </w:tcPr>
          <w:p w14:paraId="487EFE1C">
            <w:pPr>
              <w:pageBreakBefore w:val="0"/>
              <w:topLinePunct w:val="0"/>
              <w:bidi w:val="0"/>
              <w:spacing w:line="500" w:lineRule="exact"/>
              <w:ind w:left="0" w:leftChars="0" w:right="0" w:rightChars="0" w:firstLine="480" w:firstLineChars="200"/>
              <w:jc w:val="center"/>
              <w:rPr>
                <w:color w:val="auto"/>
                <w:sz w:val="24"/>
                <w:szCs w:val="24"/>
              </w:rPr>
            </w:pPr>
          </w:p>
        </w:tc>
        <w:tc>
          <w:tcPr>
            <w:tcW w:w="1538" w:type="dxa"/>
            <w:tcBorders>
              <w:top w:val="single" w:color="000000" w:sz="4" w:space="0"/>
              <w:left w:val="single" w:color="000000" w:sz="4" w:space="0"/>
              <w:bottom w:val="single" w:color="000000" w:sz="4" w:space="0"/>
              <w:right w:val="single" w:color="000000" w:sz="4" w:space="0"/>
            </w:tcBorders>
          </w:tcPr>
          <w:p w14:paraId="18DC161C">
            <w:pPr>
              <w:pageBreakBefore w:val="0"/>
              <w:topLinePunct w:val="0"/>
              <w:bidi w:val="0"/>
              <w:spacing w:line="500" w:lineRule="exact"/>
              <w:ind w:left="0" w:leftChars="0" w:right="0" w:rightChars="0" w:firstLine="480" w:firstLineChars="200"/>
              <w:jc w:val="center"/>
              <w:rPr>
                <w:color w:val="auto"/>
                <w:sz w:val="24"/>
                <w:szCs w:val="24"/>
              </w:rPr>
            </w:pPr>
          </w:p>
        </w:tc>
        <w:tc>
          <w:tcPr>
            <w:tcW w:w="937" w:type="dxa"/>
            <w:tcBorders>
              <w:top w:val="single" w:color="000000" w:sz="4" w:space="0"/>
              <w:left w:val="single" w:color="000000" w:sz="4" w:space="0"/>
              <w:bottom w:val="single" w:color="000000" w:sz="4" w:space="0"/>
              <w:right w:val="single" w:color="000000" w:sz="4" w:space="0"/>
            </w:tcBorders>
          </w:tcPr>
          <w:p w14:paraId="40F5946E">
            <w:pPr>
              <w:pageBreakBefore w:val="0"/>
              <w:topLinePunct w:val="0"/>
              <w:bidi w:val="0"/>
              <w:spacing w:line="500" w:lineRule="exact"/>
              <w:ind w:left="0" w:leftChars="0" w:right="0" w:rightChars="0" w:firstLine="480" w:firstLineChars="200"/>
              <w:jc w:val="center"/>
              <w:rPr>
                <w:color w:val="auto"/>
                <w:sz w:val="24"/>
                <w:szCs w:val="24"/>
              </w:rPr>
            </w:pPr>
          </w:p>
        </w:tc>
        <w:tc>
          <w:tcPr>
            <w:tcW w:w="1650" w:type="dxa"/>
            <w:tcBorders>
              <w:top w:val="single" w:color="000000" w:sz="4" w:space="0"/>
              <w:left w:val="single" w:color="000000" w:sz="4" w:space="0"/>
              <w:bottom w:val="single" w:color="000000" w:sz="4" w:space="0"/>
              <w:right w:val="single" w:color="000000" w:sz="4" w:space="0"/>
            </w:tcBorders>
          </w:tcPr>
          <w:p w14:paraId="54ABA035">
            <w:pPr>
              <w:pageBreakBefore w:val="0"/>
              <w:topLinePunct w:val="0"/>
              <w:bidi w:val="0"/>
              <w:spacing w:line="500" w:lineRule="exact"/>
              <w:ind w:left="0" w:leftChars="0" w:right="0" w:rightChars="0" w:firstLine="480" w:firstLineChars="200"/>
              <w:jc w:val="center"/>
              <w:rPr>
                <w:color w:val="auto"/>
                <w:sz w:val="24"/>
                <w:szCs w:val="24"/>
              </w:rPr>
            </w:pPr>
          </w:p>
        </w:tc>
        <w:tc>
          <w:tcPr>
            <w:tcW w:w="2209" w:type="dxa"/>
            <w:tcBorders>
              <w:top w:val="single" w:color="000000" w:sz="4" w:space="0"/>
              <w:left w:val="single" w:color="000000" w:sz="4" w:space="0"/>
              <w:bottom w:val="single" w:color="000000" w:sz="4" w:space="0"/>
            </w:tcBorders>
          </w:tcPr>
          <w:p w14:paraId="588C11A2">
            <w:pPr>
              <w:pageBreakBefore w:val="0"/>
              <w:topLinePunct w:val="0"/>
              <w:bidi w:val="0"/>
              <w:spacing w:line="500" w:lineRule="exact"/>
              <w:ind w:left="0" w:leftChars="0" w:right="0" w:rightChars="0" w:firstLine="480" w:firstLineChars="200"/>
              <w:jc w:val="center"/>
              <w:rPr>
                <w:color w:val="auto"/>
                <w:sz w:val="24"/>
                <w:szCs w:val="24"/>
              </w:rPr>
            </w:pPr>
          </w:p>
        </w:tc>
      </w:tr>
      <w:tr w14:paraId="3C05020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3" w:hRule="atLeast"/>
        </w:trPr>
        <w:tc>
          <w:tcPr>
            <w:tcW w:w="776" w:type="dxa"/>
            <w:tcBorders>
              <w:top w:val="single" w:color="000000" w:sz="4" w:space="0"/>
              <w:bottom w:val="single" w:color="000000" w:sz="4" w:space="0"/>
              <w:right w:val="single" w:color="000000" w:sz="4" w:space="0"/>
            </w:tcBorders>
          </w:tcPr>
          <w:p w14:paraId="5BC970B5">
            <w:pPr>
              <w:pageBreakBefore w:val="0"/>
              <w:topLinePunct w:val="0"/>
              <w:bidi w:val="0"/>
              <w:spacing w:line="500" w:lineRule="exact"/>
              <w:ind w:left="0" w:leftChars="0" w:right="0" w:rightChars="0" w:firstLine="480" w:firstLineChars="200"/>
              <w:jc w:val="center"/>
              <w:rPr>
                <w:color w:val="auto"/>
                <w:sz w:val="24"/>
                <w:szCs w:val="24"/>
              </w:rPr>
            </w:pPr>
          </w:p>
        </w:tc>
        <w:tc>
          <w:tcPr>
            <w:tcW w:w="2241" w:type="dxa"/>
            <w:tcBorders>
              <w:top w:val="single" w:color="000000" w:sz="4" w:space="0"/>
              <w:left w:val="single" w:color="000000" w:sz="4" w:space="0"/>
              <w:bottom w:val="single" w:color="000000" w:sz="4" w:space="0"/>
              <w:right w:val="single" w:color="000000" w:sz="4" w:space="0"/>
            </w:tcBorders>
          </w:tcPr>
          <w:p w14:paraId="35BAF82F">
            <w:pPr>
              <w:pageBreakBefore w:val="0"/>
              <w:topLinePunct w:val="0"/>
              <w:bidi w:val="0"/>
              <w:spacing w:line="500" w:lineRule="exact"/>
              <w:ind w:left="0" w:leftChars="0" w:right="0" w:rightChars="0" w:firstLine="480" w:firstLineChars="200"/>
              <w:jc w:val="center"/>
              <w:rPr>
                <w:color w:val="auto"/>
                <w:sz w:val="24"/>
                <w:szCs w:val="24"/>
              </w:rPr>
            </w:pPr>
          </w:p>
        </w:tc>
        <w:tc>
          <w:tcPr>
            <w:tcW w:w="1538" w:type="dxa"/>
            <w:tcBorders>
              <w:top w:val="single" w:color="000000" w:sz="4" w:space="0"/>
              <w:left w:val="single" w:color="000000" w:sz="4" w:space="0"/>
              <w:bottom w:val="single" w:color="000000" w:sz="4" w:space="0"/>
              <w:right w:val="single" w:color="000000" w:sz="4" w:space="0"/>
            </w:tcBorders>
          </w:tcPr>
          <w:p w14:paraId="7E1C26EA">
            <w:pPr>
              <w:pageBreakBefore w:val="0"/>
              <w:topLinePunct w:val="0"/>
              <w:bidi w:val="0"/>
              <w:spacing w:line="500" w:lineRule="exact"/>
              <w:ind w:left="0" w:leftChars="0" w:right="0" w:rightChars="0" w:firstLine="480" w:firstLineChars="200"/>
              <w:jc w:val="center"/>
              <w:rPr>
                <w:color w:val="auto"/>
                <w:sz w:val="24"/>
                <w:szCs w:val="24"/>
              </w:rPr>
            </w:pPr>
          </w:p>
        </w:tc>
        <w:tc>
          <w:tcPr>
            <w:tcW w:w="937" w:type="dxa"/>
            <w:tcBorders>
              <w:top w:val="single" w:color="000000" w:sz="4" w:space="0"/>
              <w:left w:val="single" w:color="000000" w:sz="4" w:space="0"/>
              <w:bottom w:val="single" w:color="000000" w:sz="4" w:space="0"/>
              <w:right w:val="single" w:color="000000" w:sz="4" w:space="0"/>
            </w:tcBorders>
          </w:tcPr>
          <w:p w14:paraId="4590281B">
            <w:pPr>
              <w:pageBreakBefore w:val="0"/>
              <w:topLinePunct w:val="0"/>
              <w:bidi w:val="0"/>
              <w:spacing w:line="500" w:lineRule="exact"/>
              <w:ind w:left="0" w:leftChars="0" w:right="0" w:rightChars="0" w:firstLine="480" w:firstLineChars="200"/>
              <w:jc w:val="center"/>
              <w:rPr>
                <w:color w:val="auto"/>
                <w:sz w:val="24"/>
                <w:szCs w:val="24"/>
              </w:rPr>
            </w:pPr>
          </w:p>
        </w:tc>
        <w:tc>
          <w:tcPr>
            <w:tcW w:w="1650" w:type="dxa"/>
            <w:tcBorders>
              <w:top w:val="single" w:color="000000" w:sz="4" w:space="0"/>
              <w:left w:val="single" w:color="000000" w:sz="4" w:space="0"/>
              <w:bottom w:val="single" w:color="000000" w:sz="4" w:space="0"/>
              <w:right w:val="single" w:color="000000" w:sz="4" w:space="0"/>
            </w:tcBorders>
          </w:tcPr>
          <w:p w14:paraId="7940D53F">
            <w:pPr>
              <w:pageBreakBefore w:val="0"/>
              <w:topLinePunct w:val="0"/>
              <w:bidi w:val="0"/>
              <w:spacing w:line="500" w:lineRule="exact"/>
              <w:ind w:left="0" w:leftChars="0" w:right="0" w:rightChars="0" w:firstLine="480" w:firstLineChars="200"/>
              <w:jc w:val="center"/>
              <w:rPr>
                <w:color w:val="auto"/>
                <w:sz w:val="24"/>
                <w:szCs w:val="24"/>
              </w:rPr>
            </w:pPr>
          </w:p>
        </w:tc>
        <w:tc>
          <w:tcPr>
            <w:tcW w:w="2209" w:type="dxa"/>
            <w:tcBorders>
              <w:top w:val="single" w:color="000000" w:sz="4" w:space="0"/>
              <w:left w:val="single" w:color="000000" w:sz="4" w:space="0"/>
              <w:bottom w:val="single" w:color="000000" w:sz="4" w:space="0"/>
            </w:tcBorders>
          </w:tcPr>
          <w:p w14:paraId="6D6731DB">
            <w:pPr>
              <w:pageBreakBefore w:val="0"/>
              <w:topLinePunct w:val="0"/>
              <w:bidi w:val="0"/>
              <w:spacing w:line="500" w:lineRule="exact"/>
              <w:ind w:left="0" w:leftChars="0" w:right="0" w:rightChars="0" w:firstLine="480" w:firstLineChars="200"/>
              <w:jc w:val="center"/>
              <w:rPr>
                <w:color w:val="auto"/>
                <w:sz w:val="24"/>
                <w:szCs w:val="24"/>
              </w:rPr>
            </w:pPr>
          </w:p>
        </w:tc>
      </w:tr>
      <w:tr w14:paraId="3B919A8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3" w:hRule="atLeast"/>
        </w:trPr>
        <w:tc>
          <w:tcPr>
            <w:tcW w:w="776" w:type="dxa"/>
            <w:tcBorders>
              <w:top w:val="single" w:color="000000" w:sz="4" w:space="0"/>
              <w:bottom w:val="single" w:color="000000" w:sz="4" w:space="0"/>
              <w:right w:val="single" w:color="000000" w:sz="4" w:space="0"/>
            </w:tcBorders>
          </w:tcPr>
          <w:p w14:paraId="47616718">
            <w:pPr>
              <w:pageBreakBefore w:val="0"/>
              <w:topLinePunct w:val="0"/>
              <w:bidi w:val="0"/>
              <w:spacing w:line="500" w:lineRule="exact"/>
              <w:ind w:left="0" w:leftChars="0" w:right="0" w:rightChars="0" w:firstLine="480" w:firstLineChars="200"/>
              <w:jc w:val="center"/>
              <w:rPr>
                <w:color w:val="auto"/>
                <w:sz w:val="24"/>
                <w:szCs w:val="24"/>
              </w:rPr>
            </w:pPr>
          </w:p>
        </w:tc>
        <w:tc>
          <w:tcPr>
            <w:tcW w:w="2241" w:type="dxa"/>
            <w:tcBorders>
              <w:top w:val="single" w:color="000000" w:sz="4" w:space="0"/>
              <w:left w:val="single" w:color="000000" w:sz="4" w:space="0"/>
              <w:bottom w:val="single" w:color="000000" w:sz="4" w:space="0"/>
              <w:right w:val="single" w:color="000000" w:sz="4" w:space="0"/>
            </w:tcBorders>
          </w:tcPr>
          <w:p w14:paraId="5A483055">
            <w:pPr>
              <w:pageBreakBefore w:val="0"/>
              <w:topLinePunct w:val="0"/>
              <w:bidi w:val="0"/>
              <w:spacing w:line="500" w:lineRule="exact"/>
              <w:ind w:left="0" w:leftChars="0" w:right="0" w:rightChars="0" w:firstLine="480" w:firstLineChars="200"/>
              <w:jc w:val="center"/>
              <w:rPr>
                <w:color w:val="auto"/>
                <w:sz w:val="24"/>
                <w:szCs w:val="24"/>
              </w:rPr>
            </w:pPr>
          </w:p>
        </w:tc>
        <w:tc>
          <w:tcPr>
            <w:tcW w:w="1538" w:type="dxa"/>
            <w:tcBorders>
              <w:top w:val="single" w:color="000000" w:sz="4" w:space="0"/>
              <w:left w:val="single" w:color="000000" w:sz="4" w:space="0"/>
              <w:bottom w:val="single" w:color="000000" w:sz="4" w:space="0"/>
              <w:right w:val="single" w:color="000000" w:sz="4" w:space="0"/>
            </w:tcBorders>
          </w:tcPr>
          <w:p w14:paraId="6229D1DB">
            <w:pPr>
              <w:pageBreakBefore w:val="0"/>
              <w:topLinePunct w:val="0"/>
              <w:bidi w:val="0"/>
              <w:spacing w:line="500" w:lineRule="exact"/>
              <w:ind w:left="0" w:leftChars="0" w:right="0" w:rightChars="0" w:firstLine="480" w:firstLineChars="200"/>
              <w:jc w:val="center"/>
              <w:rPr>
                <w:color w:val="auto"/>
                <w:sz w:val="24"/>
                <w:szCs w:val="24"/>
              </w:rPr>
            </w:pPr>
          </w:p>
        </w:tc>
        <w:tc>
          <w:tcPr>
            <w:tcW w:w="937" w:type="dxa"/>
            <w:tcBorders>
              <w:top w:val="single" w:color="000000" w:sz="4" w:space="0"/>
              <w:left w:val="single" w:color="000000" w:sz="4" w:space="0"/>
              <w:bottom w:val="single" w:color="000000" w:sz="4" w:space="0"/>
              <w:right w:val="single" w:color="000000" w:sz="4" w:space="0"/>
            </w:tcBorders>
          </w:tcPr>
          <w:p w14:paraId="707A670A">
            <w:pPr>
              <w:pageBreakBefore w:val="0"/>
              <w:topLinePunct w:val="0"/>
              <w:bidi w:val="0"/>
              <w:spacing w:line="500" w:lineRule="exact"/>
              <w:ind w:left="0" w:leftChars="0" w:right="0" w:rightChars="0" w:firstLine="480" w:firstLineChars="200"/>
              <w:jc w:val="center"/>
              <w:rPr>
                <w:color w:val="auto"/>
                <w:sz w:val="24"/>
                <w:szCs w:val="24"/>
              </w:rPr>
            </w:pPr>
          </w:p>
        </w:tc>
        <w:tc>
          <w:tcPr>
            <w:tcW w:w="1650" w:type="dxa"/>
            <w:tcBorders>
              <w:top w:val="single" w:color="000000" w:sz="4" w:space="0"/>
              <w:left w:val="single" w:color="000000" w:sz="4" w:space="0"/>
              <w:bottom w:val="single" w:color="000000" w:sz="4" w:space="0"/>
              <w:right w:val="single" w:color="000000" w:sz="4" w:space="0"/>
            </w:tcBorders>
          </w:tcPr>
          <w:p w14:paraId="44BD8820">
            <w:pPr>
              <w:pageBreakBefore w:val="0"/>
              <w:topLinePunct w:val="0"/>
              <w:bidi w:val="0"/>
              <w:spacing w:line="500" w:lineRule="exact"/>
              <w:ind w:left="0" w:leftChars="0" w:right="0" w:rightChars="0" w:firstLine="480" w:firstLineChars="200"/>
              <w:jc w:val="center"/>
              <w:rPr>
                <w:color w:val="auto"/>
                <w:sz w:val="24"/>
                <w:szCs w:val="24"/>
              </w:rPr>
            </w:pPr>
          </w:p>
        </w:tc>
        <w:tc>
          <w:tcPr>
            <w:tcW w:w="2209" w:type="dxa"/>
            <w:tcBorders>
              <w:top w:val="single" w:color="000000" w:sz="4" w:space="0"/>
              <w:left w:val="single" w:color="000000" w:sz="4" w:space="0"/>
              <w:bottom w:val="single" w:color="000000" w:sz="4" w:space="0"/>
            </w:tcBorders>
          </w:tcPr>
          <w:p w14:paraId="02A58853">
            <w:pPr>
              <w:pageBreakBefore w:val="0"/>
              <w:topLinePunct w:val="0"/>
              <w:bidi w:val="0"/>
              <w:spacing w:line="500" w:lineRule="exact"/>
              <w:ind w:left="0" w:leftChars="0" w:right="0" w:rightChars="0" w:firstLine="480" w:firstLineChars="200"/>
              <w:jc w:val="center"/>
              <w:rPr>
                <w:color w:val="auto"/>
                <w:sz w:val="24"/>
                <w:szCs w:val="24"/>
              </w:rPr>
            </w:pPr>
          </w:p>
        </w:tc>
      </w:tr>
      <w:tr w14:paraId="657130E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3" w:hRule="atLeast"/>
        </w:trPr>
        <w:tc>
          <w:tcPr>
            <w:tcW w:w="776" w:type="dxa"/>
            <w:tcBorders>
              <w:top w:val="single" w:color="000000" w:sz="4" w:space="0"/>
              <w:bottom w:val="single" w:color="000000" w:sz="4" w:space="0"/>
              <w:right w:val="single" w:color="000000" w:sz="4" w:space="0"/>
            </w:tcBorders>
          </w:tcPr>
          <w:p w14:paraId="304E55AB">
            <w:pPr>
              <w:pageBreakBefore w:val="0"/>
              <w:topLinePunct w:val="0"/>
              <w:bidi w:val="0"/>
              <w:spacing w:line="500" w:lineRule="exact"/>
              <w:ind w:left="0" w:leftChars="0" w:right="0" w:rightChars="0" w:firstLine="480" w:firstLineChars="200"/>
              <w:jc w:val="center"/>
              <w:rPr>
                <w:color w:val="auto"/>
                <w:sz w:val="24"/>
                <w:szCs w:val="24"/>
              </w:rPr>
            </w:pPr>
          </w:p>
        </w:tc>
        <w:tc>
          <w:tcPr>
            <w:tcW w:w="2241" w:type="dxa"/>
            <w:tcBorders>
              <w:top w:val="single" w:color="000000" w:sz="4" w:space="0"/>
              <w:left w:val="single" w:color="000000" w:sz="4" w:space="0"/>
              <w:bottom w:val="single" w:color="000000" w:sz="4" w:space="0"/>
              <w:right w:val="single" w:color="000000" w:sz="4" w:space="0"/>
            </w:tcBorders>
          </w:tcPr>
          <w:p w14:paraId="27CF0FC2">
            <w:pPr>
              <w:pageBreakBefore w:val="0"/>
              <w:topLinePunct w:val="0"/>
              <w:bidi w:val="0"/>
              <w:spacing w:line="500" w:lineRule="exact"/>
              <w:ind w:left="0" w:leftChars="0" w:right="0" w:rightChars="0" w:firstLine="480" w:firstLineChars="200"/>
              <w:jc w:val="center"/>
              <w:rPr>
                <w:color w:val="auto"/>
                <w:sz w:val="24"/>
                <w:szCs w:val="24"/>
              </w:rPr>
            </w:pPr>
          </w:p>
        </w:tc>
        <w:tc>
          <w:tcPr>
            <w:tcW w:w="1538" w:type="dxa"/>
            <w:tcBorders>
              <w:top w:val="single" w:color="000000" w:sz="4" w:space="0"/>
              <w:left w:val="single" w:color="000000" w:sz="4" w:space="0"/>
              <w:bottom w:val="single" w:color="000000" w:sz="4" w:space="0"/>
              <w:right w:val="single" w:color="000000" w:sz="4" w:space="0"/>
            </w:tcBorders>
          </w:tcPr>
          <w:p w14:paraId="7F3C7B35">
            <w:pPr>
              <w:pageBreakBefore w:val="0"/>
              <w:topLinePunct w:val="0"/>
              <w:bidi w:val="0"/>
              <w:spacing w:line="500" w:lineRule="exact"/>
              <w:ind w:left="0" w:leftChars="0" w:right="0" w:rightChars="0" w:firstLine="480" w:firstLineChars="200"/>
              <w:jc w:val="center"/>
              <w:rPr>
                <w:color w:val="auto"/>
                <w:sz w:val="24"/>
                <w:szCs w:val="24"/>
              </w:rPr>
            </w:pPr>
          </w:p>
        </w:tc>
        <w:tc>
          <w:tcPr>
            <w:tcW w:w="937" w:type="dxa"/>
            <w:tcBorders>
              <w:top w:val="single" w:color="000000" w:sz="4" w:space="0"/>
              <w:left w:val="single" w:color="000000" w:sz="4" w:space="0"/>
              <w:bottom w:val="single" w:color="000000" w:sz="4" w:space="0"/>
              <w:right w:val="single" w:color="000000" w:sz="4" w:space="0"/>
            </w:tcBorders>
          </w:tcPr>
          <w:p w14:paraId="09EA107B">
            <w:pPr>
              <w:pageBreakBefore w:val="0"/>
              <w:topLinePunct w:val="0"/>
              <w:bidi w:val="0"/>
              <w:spacing w:line="500" w:lineRule="exact"/>
              <w:ind w:left="0" w:leftChars="0" w:right="0" w:rightChars="0" w:firstLine="480" w:firstLineChars="200"/>
              <w:jc w:val="center"/>
              <w:rPr>
                <w:color w:val="auto"/>
                <w:sz w:val="24"/>
                <w:szCs w:val="24"/>
              </w:rPr>
            </w:pPr>
          </w:p>
        </w:tc>
        <w:tc>
          <w:tcPr>
            <w:tcW w:w="1650" w:type="dxa"/>
            <w:tcBorders>
              <w:top w:val="single" w:color="000000" w:sz="4" w:space="0"/>
              <w:left w:val="single" w:color="000000" w:sz="4" w:space="0"/>
              <w:bottom w:val="single" w:color="000000" w:sz="4" w:space="0"/>
              <w:right w:val="single" w:color="000000" w:sz="4" w:space="0"/>
            </w:tcBorders>
          </w:tcPr>
          <w:p w14:paraId="79974B85">
            <w:pPr>
              <w:pageBreakBefore w:val="0"/>
              <w:topLinePunct w:val="0"/>
              <w:bidi w:val="0"/>
              <w:spacing w:line="500" w:lineRule="exact"/>
              <w:ind w:left="0" w:leftChars="0" w:right="0" w:rightChars="0" w:firstLine="480" w:firstLineChars="200"/>
              <w:jc w:val="center"/>
              <w:rPr>
                <w:color w:val="auto"/>
                <w:sz w:val="24"/>
                <w:szCs w:val="24"/>
              </w:rPr>
            </w:pPr>
          </w:p>
        </w:tc>
        <w:tc>
          <w:tcPr>
            <w:tcW w:w="2209" w:type="dxa"/>
            <w:tcBorders>
              <w:top w:val="single" w:color="000000" w:sz="4" w:space="0"/>
              <w:left w:val="single" w:color="000000" w:sz="4" w:space="0"/>
              <w:bottom w:val="single" w:color="000000" w:sz="4" w:space="0"/>
            </w:tcBorders>
          </w:tcPr>
          <w:p w14:paraId="0586E5BD">
            <w:pPr>
              <w:pageBreakBefore w:val="0"/>
              <w:topLinePunct w:val="0"/>
              <w:bidi w:val="0"/>
              <w:spacing w:line="500" w:lineRule="exact"/>
              <w:ind w:left="0" w:leftChars="0" w:right="0" w:rightChars="0" w:firstLine="480" w:firstLineChars="200"/>
              <w:jc w:val="center"/>
              <w:rPr>
                <w:color w:val="auto"/>
                <w:sz w:val="24"/>
                <w:szCs w:val="24"/>
              </w:rPr>
            </w:pPr>
          </w:p>
        </w:tc>
      </w:tr>
      <w:tr w14:paraId="2D5498E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3" w:hRule="atLeast"/>
        </w:trPr>
        <w:tc>
          <w:tcPr>
            <w:tcW w:w="776" w:type="dxa"/>
            <w:tcBorders>
              <w:top w:val="single" w:color="000000" w:sz="4" w:space="0"/>
              <w:bottom w:val="single" w:color="000000" w:sz="4" w:space="0"/>
              <w:right w:val="single" w:color="000000" w:sz="4" w:space="0"/>
            </w:tcBorders>
          </w:tcPr>
          <w:p w14:paraId="26E4EABD">
            <w:pPr>
              <w:pageBreakBefore w:val="0"/>
              <w:topLinePunct w:val="0"/>
              <w:bidi w:val="0"/>
              <w:spacing w:line="500" w:lineRule="exact"/>
              <w:ind w:left="0" w:leftChars="0" w:right="0" w:rightChars="0" w:firstLine="480" w:firstLineChars="200"/>
              <w:jc w:val="center"/>
              <w:rPr>
                <w:color w:val="auto"/>
                <w:sz w:val="24"/>
                <w:szCs w:val="24"/>
              </w:rPr>
            </w:pPr>
          </w:p>
        </w:tc>
        <w:tc>
          <w:tcPr>
            <w:tcW w:w="2241" w:type="dxa"/>
            <w:tcBorders>
              <w:top w:val="single" w:color="000000" w:sz="4" w:space="0"/>
              <w:left w:val="single" w:color="000000" w:sz="4" w:space="0"/>
              <w:bottom w:val="single" w:color="000000" w:sz="4" w:space="0"/>
              <w:right w:val="single" w:color="000000" w:sz="4" w:space="0"/>
            </w:tcBorders>
          </w:tcPr>
          <w:p w14:paraId="41808F7C">
            <w:pPr>
              <w:pageBreakBefore w:val="0"/>
              <w:topLinePunct w:val="0"/>
              <w:bidi w:val="0"/>
              <w:spacing w:line="500" w:lineRule="exact"/>
              <w:ind w:left="0" w:leftChars="0" w:right="0" w:rightChars="0" w:firstLine="480" w:firstLineChars="200"/>
              <w:jc w:val="center"/>
              <w:rPr>
                <w:color w:val="auto"/>
                <w:sz w:val="24"/>
                <w:szCs w:val="24"/>
              </w:rPr>
            </w:pPr>
          </w:p>
        </w:tc>
        <w:tc>
          <w:tcPr>
            <w:tcW w:w="1538" w:type="dxa"/>
            <w:tcBorders>
              <w:top w:val="single" w:color="000000" w:sz="4" w:space="0"/>
              <w:left w:val="single" w:color="000000" w:sz="4" w:space="0"/>
              <w:bottom w:val="single" w:color="000000" w:sz="4" w:space="0"/>
              <w:right w:val="single" w:color="000000" w:sz="4" w:space="0"/>
            </w:tcBorders>
          </w:tcPr>
          <w:p w14:paraId="060B8850">
            <w:pPr>
              <w:pageBreakBefore w:val="0"/>
              <w:topLinePunct w:val="0"/>
              <w:bidi w:val="0"/>
              <w:spacing w:line="500" w:lineRule="exact"/>
              <w:ind w:left="0" w:leftChars="0" w:right="0" w:rightChars="0" w:firstLine="480" w:firstLineChars="200"/>
              <w:jc w:val="center"/>
              <w:rPr>
                <w:color w:val="auto"/>
                <w:sz w:val="24"/>
                <w:szCs w:val="24"/>
              </w:rPr>
            </w:pPr>
          </w:p>
        </w:tc>
        <w:tc>
          <w:tcPr>
            <w:tcW w:w="937" w:type="dxa"/>
            <w:tcBorders>
              <w:top w:val="single" w:color="000000" w:sz="4" w:space="0"/>
              <w:left w:val="single" w:color="000000" w:sz="4" w:space="0"/>
              <w:bottom w:val="single" w:color="000000" w:sz="4" w:space="0"/>
              <w:right w:val="single" w:color="000000" w:sz="4" w:space="0"/>
            </w:tcBorders>
          </w:tcPr>
          <w:p w14:paraId="6C9361C7">
            <w:pPr>
              <w:pageBreakBefore w:val="0"/>
              <w:topLinePunct w:val="0"/>
              <w:bidi w:val="0"/>
              <w:spacing w:line="500" w:lineRule="exact"/>
              <w:ind w:left="0" w:leftChars="0" w:right="0" w:rightChars="0" w:firstLine="480" w:firstLineChars="200"/>
              <w:jc w:val="center"/>
              <w:rPr>
                <w:color w:val="auto"/>
                <w:sz w:val="24"/>
                <w:szCs w:val="24"/>
              </w:rPr>
            </w:pPr>
          </w:p>
        </w:tc>
        <w:tc>
          <w:tcPr>
            <w:tcW w:w="1650" w:type="dxa"/>
            <w:tcBorders>
              <w:top w:val="single" w:color="000000" w:sz="4" w:space="0"/>
              <w:left w:val="single" w:color="000000" w:sz="4" w:space="0"/>
              <w:bottom w:val="single" w:color="000000" w:sz="4" w:space="0"/>
              <w:right w:val="single" w:color="000000" w:sz="4" w:space="0"/>
            </w:tcBorders>
          </w:tcPr>
          <w:p w14:paraId="40BA91B9">
            <w:pPr>
              <w:pageBreakBefore w:val="0"/>
              <w:topLinePunct w:val="0"/>
              <w:bidi w:val="0"/>
              <w:spacing w:line="500" w:lineRule="exact"/>
              <w:ind w:left="0" w:leftChars="0" w:right="0" w:rightChars="0" w:firstLine="480" w:firstLineChars="200"/>
              <w:jc w:val="center"/>
              <w:rPr>
                <w:color w:val="auto"/>
                <w:sz w:val="24"/>
                <w:szCs w:val="24"/>
              </w:rPr>
            </w:pPr>
          </w:p>
        </w:tc>
        <w:tc>
          <w:tcPr>
            <w:tcW w:w="2209" w:type="dxa"/>
            <w:tcBorders>
              <w:top w:val="single" w:color="000000" w:sz="4" w:space="0"/>
              <w:left w:val="single" w:color="000000" w:sz="4" w:space="0"/>
              <w:bottom w:val="single" w:color="000000" w:sz="4" w:space="0"/>
            </w:tcBorders>
          </w:tcPr>
          <w:p w14:paraId="5B60FF67">
            <w:pPr>
              <w:pageBreakBefore w:val="0"/>
              <w:topLinePunct w:val="0"/>
              <w:bidi w:val="0"/>
              <w:spacing w:line="500" w:lineRule="exact"/>
              <w:ind w:left="0" w:leftChars="0" w:right="0" w:rightChars="0" w:firstLine="480" w:firstLineChars="200"/>
              <w:jc w:val="center"/>
              <w:rPr>
                <w:color w:val="auto"/>
                <w:sz w:val="24"/>
                <w:szCs w:val="24"/>
              </w:rPr>
            </w:pPr>
          </w:p>
        </w:tc>
      </w:tr>
      <w:tr w14:paraId="0B7421F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3" w:hRule="atLeast"/>
        </w:trPr>
        <w:tc>
          <w:tcPr>
            <w:tcW w:w="776" w:type="dxa"/>
            <w:tcBorders>
              <w:top w:val="single" w:color="000000" w:sz="4" w:space="0"/>
              <w:bottom w:val="single" w:color="000000" w:sz="4" w:space="0"/>
              <w:right w:val="single" w:color="000000" w:sz="4" w:space="0"/>
            </w:tcBorders>
          </w:tcPr>
          <w:p w14:paraId="591A8EE3">
            <w:pPr>
              <w:pageBreakBefore w:val="0"/>
              <w:topLinePunct w:val="0"/>
              <w:bidi w:val="0"/>
              <w:spacing w:line="500" w:lineRule="exact"/>
              <w:ind w:left="0" w:leftChars="0" w:right="0" w:rightChars="0" w:firstLine="480" w:firstLineChars="200"/>
              <w:jc w:val="center"/>
              <w:rPr>
                <w:color w:val="auto"/>
                <w:sz w:val="24"/>
                <w:szCs w:val="24"/>
              </w:rPr>
            </w:pPr>
          </w:p>
        </w:tc>
        <w:tc>
          <w:tcPr>
            <w:tcW w:w="2241" w:type="dxa"/>
            <w:tcBorders>
              <w:top w:val="single" w:color="000000" w:sz="4" w:space="0"/>
              <w:left w:val="single" w:color="000000" w:sz="4" w:space="0"/>
              <w:bottom w:val="single" w:color="000000" w:sz="4" w:space="0"/>
              <w:right w:val="single" w:color="000000" w:sz="4" w:space="0"/>
            </w:tcBorders>
          </w:tcPr>
          <w:p w14:paraId="31EF95B8">
            <w:pPr>
              <w:pageBreakBefore w:val="0"/>
              <w:topLinePunct w:val="0"/>
              <w:bidi w:val="0"/>
              <w:spacing w:line="500" w:lineRule="exact"/>
              <w:ind w:left="0" w:leftChars="0" w:right="0" w:rightChars="0" w:firstLine="480" w:firstLineChars="200"/>
              <w:jc w:val="center"/>
              <w:rPr>
                <w:color w:val="auto"/>
                <w:sz w:val="24"/>
                <w:szCs w:val="24"/>
              </w:rPr>
            </w:pPr>
          </w:p>
        </w:tc>
        <w:tc>
          <w:tcPr>
            <w:tcW w:w="1538" w:type="dxa"/>
            <w:tcBorders>
              <w:top w:val="single" w:color="000000" w:sz="4" w:space="0"/>
              <w:left w:val="single" w:color="000000" w:sz="4" w:space="0"/>
              <w:bottom w:val="single" w:color="000000" w:sz="4" w:space="0"/>
              <w:right w:val="single" w:color="000000" w:sz="4" w:space="0"/>
            </w:tcBorders>
          </w:tcPr>
          <w:p w14:paraId="0B7D4BEE">
            <w:pPr>
              <w:pageBreakBefore w:val="0"/>
              <w:topLinePunct w:val="0"/>
              <w:bidi w:val="0"/>
              <w:spacing w:line="500" w:lineRule="exact"/>
              <w:ind w:left="0" w:leftChars="0" w:right="0" w:rightChars="0" w:firstLine="480" w:firstLineChars="200"/>
              <w:jc w:val="center"/>
              <w:rPr>
                <w:color w:val="auto"/>
                <w:sz w:val="24"/>
                <w:szCs w:val="24"/>
              </w:rPr>
            </w:pPr>
          </w:p>
        </w:tc>
        <w:tc>
          <w:tcPr>
            <w:tcW w:w="937" w:type="dxa"/>
            <w:tcBorders>
              <w:top w:val="single" w:color="000000" w:sz="4" w:space="0"/>
              <w:left w:val="single" w:color="000000" w:sz="4" w:space="0"/>
              <w:bottom w:val="single" w:color="000000" w:sz="4" w:space="0"/>
              <w:right w:val="single" w:color="000000" w:sz="4" w:space="0"/>
            </w:tcBorders>
          </w:tcPr>
          <w:p w14:paraId="3E6D3E89">
            <w:pPr>
              <w:pageBreakBefore w:val="0"/>
              <w:topLinePunct w:val="0"/>
              <w:bidi w:val="0"/>
              <w:spacing w:line="500" w:lineRule="exact"/>
              <w:ind w:left="0" w:leftChars="0" w:right="0" w:rightChars="0" w:firstLine="480" w:firstLineChars="200"/>
              <w:jc w:val="center"/>
              <w:rPr>
                <w:color w:val="auto"/>
                <w:sz w:val="24"/>
                <w:szCs w:val="24"/>
              </w:rPr>
            </w:pPr>
          </w:p>
        </w:tc>
        <w:tc>
          <w:tcPr>
            <w:tcW w:w="1650" w:type="dxa"/>
            <w:tcBorders>
              <w:top w:val="single" w:color="000000" w:sz="4" w:space="0"/>
              <w:left w:val="single" w:color="000000" w:sz="4" w:space="0"/>
              <w:bottom w:val="single" w:color="000000" w:sz="4" w:space="0"/>
              <w:right w:val="single" w:color="000000" w:sz="4" w:space="0"/>
            </w:tcBorders>
          </w:tcPr>
          <w:p w14:paraId="60EB5040">
            <w:pPr>
              <w:pageBreakBefore w:val="0"/>
              <w:topLinePunct w:val="0"/>
              <w:bidi w:val="0"/>
              <w:spacing w:line="500" w:lineRule="exact"/>
              <w:ind w:left="0" w:leftChars="0" w:right="0" w:rightChars="0" w:firstLine="480" w:firstLineChars="200"/>
              <w:jc w:val="center"/>
              <w:rPr>
                <w:color w:val="auto"/>
                <w:sz w:val="24"/>
                <w:szCs w:val="24"/>
              </w:rPr>
            </w:pPr>
          </w:p>
        </w:tc>
        <w:tc>
          <w:tcPr>
            <w:tcW w:w="2209" w:type="dxa"/>
            <w:tcBorders>
              <w:top w:val="single" w:color="000000" w:sz="4" w:space="0"/>
              <w:left w:val="single" w:color="000000" w:sz="4" w:space="0"/>
              <w:bottom w:val="single" w:color="000000" w:sz="4" w:space="0"/>
            </w:tcBorders>
          </w:tcPr>
          <w:p w14:paraId="17630ADC">
            <w:pPr>
              <w:pageBreakBefore w:val="0"/>
              <w:topLinePunct w:val="0"/>
              <w:bidi w:val="0"/>
              <w:spacing w:line="500" w:lineRule="exact"/>
              <w:ind w:left="0" w:leftChars="0" w:right="0" w:rightChars="0" w:firstLine="480" w:firstLineChars="200"/>
              <w:jc w:val="center"/>
              <w:rPr>
                <w:color w:val="auto"/>
                <w:sz w:val="24"/>
                <w:szCs w:val="24"/>
              </w:rPr>
            </w:pPr>
          </w:p>
        </w:tc>
      </w:tr>
      <w:tr w14:paraId="58490DD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4" w:hRule="atLeast"/>
        </w:trPr>
        <w:tc>
          <w:tcPr>
            <w:tcW w:w="776" w:type="dxa"/>
            <w:tcBorders>
              <w:top w:val="single" w:color="000000" w:sz="4" w:space="0"/>
              <w:bottom w:val="single" w:color="000000" w:sz="4" w:space="0"/>
              <w:right w:val="single" w:color="000000" w:sz="4" w:space="0"/>
            </w:tcBorders>
          </w:tcPr>
          <w:p w14:paraId="3C6C499F">
            <w:pPr>
              <w:pageBreakBefore w:val="0"/>
              <w:topLinePunct w:val="0"/>
              <w:bidi w:val="0"/>
              <w:spacing w:line="500" w:lineRule="exact"/>
              <w:ind w:left="0" w:leftChars="0" w:right="0" w:rightChars="0" w:firstLine="480" w:firstLineChars="200"/>
              <w:jc w:val="center"/>
              <w:rPr>
                <w:color w:val="auto"/>
                <w:sz w:val="24"/>
                <w:szCs w:val="24"/>
              </w:rPr>
            </w:pPr>
          </w:p>
        </w:tc>
        <w:tc>
          <w:tcPr>
            <w:tcW w:w="2241" w:type="dxa"/>
            <w:tcBorders>
              <w:top w:val="single" w:color="000000" w:sz="4" w:space="0"/>
              <w:left w:val="single" w:color="000000" w:sz="4" w:space="0"/>
              <w:bottom w:val="single" w:color="000000" w:sz="4" w:space="0"/>
              <w:right w:val="single" w:color="000000" w:sz="4" w:space="0"/>
            </w:tcBorders>
          </w:tcPr>
          <w:p w14:paraId="4E5136B8">
            <w:pPr>
              <w:pageBreakBefore w:val="0"/>
              <w:topLinePunct w:val="0"/>
              <w:bidi w:val="0"/>
              <w:spacing w:line="500" w:lineRule="exact"/>
              <w:ind w:left="0" w:leftChars="0" w:right="0" w:rightChars="0" w:firstLine="480" w:firstLineChars="200"/>
              <w:jc w:val="center"/>
              <w:rPr>
                <w:color w:val="auto"/>
                <w:sz w:val="24"/>
                <w:szCs w:val="24"/>
              </w:rPr>
            </w:pPr>
          </w:p>
        </w:tc>
        <w:tc>
          <w:tcPr>
            <w:tcW w:w="1538" w:type="dxa"/>
            <w:tcBorders>
              <w:top w:val="single" w:color="000000" w:sz="4" w:space="0"/>
              <w:left w:val="single" w:color="000000" w:sz="4" w:space="0"/>
              <w:bottom w:val="single" w:color="000000" w:sz="4" w:space="0"/>
              <w:right w:val="single" w:color="000000" w:sz="4" w:space="0"/>
            </w:tcBorders>
          </w:tcPr>
          <w:p w14:paraId="03BBE1FF">
            <w:pPr>
              <w:pageBreakBefore w:val="0"/>
              <w:topLinePunct w:val="0"/>
              <w:bidi w:val="0"/>
              <w:spacing w:line="500" w:lineRule="exact"/>
              <w:ind w:left="0" w:leftChars="0" w:right="0" w:rightChars="0" w:firstLine="480" w:firstLineChars="200"/>
              <w:jc w:val="center"/>
              <w:rPr>
                <w:color w:val="auto"/>
                <w:sz w:val="24"/>
                <w:szCs w:val="24"/>
              </w:rPr>
            </w:pPr>
          </w:p>
        </w:tc>
        <w:tc>
          <w:tcPr>
            <w:tcW w:w="937" w:type="dxa"/>
            <w:tcBorders>
              <w:top w:val="single" w:color="000000" w:sz="4" w:space="0"/>
              <w:left w:val="single" w:color="000000" w:sz="4" w:space="0"/>
              <w:bottom w:val="single" w:color="000000" w:sz="4" w:space="0"/>
              <w:right w:val="single" w:color="000000" w:sz="4" w:space="0"/>
            </w:tcBorders>
          </w:tcPr>
          <w:p w14:paraId="388709A0">
            <w:pPr>
              <w:pageBreakBefore w:val="0"/>
              <w:topLinePunct w:val="0"/>
              <w:bidi w:val="0"/>
              <w:spacing w:line="500" w:lineRule="exact"/>
              <w:ind w:left="0" w:leftChars="0" w:right="0" w:rightChars="0" w:firstLine="480" w:firstLineChars="200"/>
              <w:jc w:val="center"/>
              <w:rPr>
                <w:color w:val="auto"/>
                <w:sz w:val="24"/>
                <w:szCs w:val="24"/>
              </w:rPr>
            </w:pPr>
          </w:p>
        </w:tc>
        <w:tc>
          <w:tcPr>
            <w:tcW w:w="1650" w:type="dxa"/>
            <w:tcBorders>
              <w:top w:val="single" w:color="000000" w:sz="4" w:space="0"/>
              <w:left w:val="single" w:color="000000" w:sz="4" w:space="0"/>
              <w:bottom w:val="single" w:color="000000" w:sz="4" w:space="0"/>
              <w:right w:val="single" w:color="000000" w:sz="4" w:space="0"/>
            </w:tcBorders>
          </w:tcPr>
          <w:p w14:paraId="08418BF4">
            <w:pPr>
              <w:pageBreakBefore w:val="0"/>
              <w:topLinePunct w:val="0"/>
              <w:bidi w:val="0"/>
              <w:spacing w:line="500" w:lineRule="exact"/>
              <w:ind w:left="0" w:leftChars="0" w:right="0" w:rightChars="0" w:firstLine="480" w:firstLineChars="200"/>
              <w:jc w:val="center"/>
              <w:rPr>
                <w:color w:val="auto"/>
                <w:sz w:val="24"/>
                <w:szCs w:val="24"/>
              </w:rPr>
            </w:pPr>
          </w:p>
        </w:tc>
        <w:tc>
          <w:tcPr>
            <w:tcW w:w="2209" w:type="dxa"/>
            <w:tcBorders>
              <w:top w:val="single" w:color="000000" w:sz="4" w:space="0"/>
              <w:left w:val="single" w:color="000000" w:sz="4" w:space="0"/>
              <w:bottom w:val="single" w:color="000000" w:sz="4" w:space="0"/>
            </w:tcBorders>
          </w:tcPr>
          <w:p w14:paraId="3DB6016B">
            <w:pPr>
              <w:pageBreakBefore w:val="0"/>
              <w:topLinePunct w:val="0"/>
              <w:bidi w:val="0"/>
              <w:spacing w:line="500" w:lineRule="exact"/>
              <w:ind w:left="0" w:leftChars="0" w:right="0" w:rightChars="0" w:firstLine="480" w:firstLineChars="200"/>
              <w:jc w:val="center"/>
              <w:rPr>
                <w:color w:val="auto"/>
                <w:sz w:val="24"/>
                <w:szCs w:val="24"/>
              </w:rPr>
            </w:pPr>
          </w:p>
        </w:tc>
      </w:tr>
      <w:tr w14:paraId="0735DD3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3" w:hRule="atLeast"/>
        </w:trPr>
        <w:tc>
          <w:tcPr>
            <w:tcW w:w="776" w:type="dxa"/>
            <w:tcBorders>
              <w:top w:val="single" w:color="000000" w:sz="4" w:space="0"/>
              <w:bottom w:val="single" w:color="000000" w:sz="4" w:space="0"/>
              <w:right w:val="single" w:color="000000" w:sz="4" w:space="0"/>
            </w:tcBorders>
          </w:tcPr>
          <w:p w14:paraId="04B95605">
            <w:pPr>
              <w:pageBreakBefore w:val="0"/>
              <w:topLinePunct w:val="0"/>
              <w:bidi w:val="0"/>
              <w:spacing w:line="500" w:lineRule="exact"/>
              <w:ind w:left="0" w:leftChars="0" w:right="0" w:rightChars="0" w:firstLine="480" w:firstLineChars="200"/>
              <w:jc w:val="center"/>
              <w:rPr>
                <w:color w:val="auto"/>
                <w:sz w:val="24"/>
                <w:szCs w:val="24"/>
              </w:rPr>
            </w:pPr>
          </w:p>
        </w:tc>
        <w:tc>
          <w:tcPr>
            <w:tcW w:w="2241" w:type="dxa"/>
            <w:tcBorders>
              <w:top w:val="single" w:color="000000" w:sz="4" w:space="0"/>
              <w:left w:val="single" w:color="000000" w:sz="4" w:space="0"/>
              <w:bottom w:val="single" w:color="000000" w:sz="4" w:space="0"/>
              <w:right w:val="single" w:color="000000" w:sz="4" w:space="0"/>
            </w:tcBorders>
          </w:tcPr>
          <w:p w14:paraId="1B312C9C">
            <w:pPr>
              <w:pageBreakBefore w:val="0"/>
              <w:topLinePunct w:val="0"/>
              <w:bidi w:val="0"/>
              <w:spacing w:line="500" w:lineRule="exact"/>
              <w:ind w:left="0" w:leftChars="0" w:right="0" w:rightChars="0" w:firstLine="480" w:firstLineChars="200"/>
              <w:jc w:val="center"/>
              <w:rPr>
                <w:color w:val="auto"/>
                <w:sz w:val="24"/>
                <w:szCs w:val="24"/>
              </w:rPr>
            </w:pPr>
          </w:p>
        </w:tc>
        <w:tc>
          <w:tcPr>
            <w:tcW w:w="1538" w:type="dxa"/>
            <w:tcBorders>
              <w:top w:val="single" w:color="000000" w:sz="4" w:space="0"/>
              <w:left w:val="single" w:color="000000" w:sz="4" w:space="0"/>
              <w:bottom w:val="single" w:color="000000" w:sz="4" w:space="0"/>
              <w:right w:val="single" w:color="000000" w:sz="4" w:space="0"/>
            </w:tcBorders>
          </w:tcPr>
          <w:p w14:paraId="767F6ADD">
            <w:pPr>
              <w:pageBreakBefore w:val="0"/>
              <w:topLinePunct w:val="0"/>
              <w:bidi w:val="0"/>
              <w:spacing w:line="500" w:lineRule="exact"/>
              <w:ind w:left="0" w:leftChars="0" w:right="0" w:rightChars="0" w:firstLine="480" w:firstLineChars="200"/>
              <w:jc w:val="center"/>
              <w:rPr>
                <w:color w:val="auto"/>
                <w:sz w:val="24"/>
                <w:szCs w:val="24"/>
              </w:rPr>
            </w:pPr>
          </w:p>
        </w:tc>
        <w:tc>
          <w:tcPr>
            <w:tcW w:w="937" w:type="dxa"/>
            <w:tcBorders>
              <w:top w:val="single" w:color="000000" w:sz="4" w:space="0"/>
              <w:left w:val="single" w:color="000000" w:sz="4" w:space="0"/>
              <w:bottom w:val="single" w:color="000000" w:sz="4" w:space="0"/>
              <w:right w:val="single" w:color="000000" w:sz="4" w:space="0"/>
            </w:tcBorders>
          </w:tcPr>
          <w:p w14:paraId="4D472E76">
            <w:pPr>
              <w:pageBreakBefore w:val="0"/>
              <w:topLinePunct w:val="0"/>
              <w:bidi w:val="0"/>
              <w:spacing w:line="500" w:lineRule="exact"/>
              <w:ind w:left="0" w:leftChars="0" w:right="0" w:rightChars="0" w:firstLine="480" w:firstLineChars="200"/>
              <w:jc w:val="center"/>
              <w:rPr>
                <w:color w:val="auto"/>
                <w:sz w:val="24"/>
                <w:szCs w:val="24"/>
              </w:rPr>
            </w:pPr>
          </w:p>
        </w:tc>
        <w:tc>
          <w:tcPr>
            <w:tcW w:w="1650" w:type="dxa"/>
            <w:tcBorders>
              <w:top w:val="single" w:color="000000" w:sz="4" w:space="0"/>
              <w:left w:val="single" w:color="000000" w:sz="4" w:space="0"/>
              <w:bottom w:val="single" w:color="000000" w:sz="4" w:space="0"/>
              <w:right w:val="single" w:color="000000" w:sz="4" w:space="0"/>
            </w:tcBorders>
          </w:tcPr>
          <w:p w14:paraId="27ACAE20">
            <w:pPr>
              <w:pageBreakBefore w:val="0"/>
              <w:topLinePunct w:val="0"/>
              <w:bidi w:val="0"/>
              <w:spacing w:line="500" w:lineRule="exact"/>
              <w:ind w:left="0" w:leftChars="0" w:right="0" w:rightChars="0" w:firstLine="480" w:firstLineChars="200"/>
              <w:jc w:val="center"/>
              <w:rPr>
                <w:color w:val="auto"/>
                <w:sz w:val="24"/>
                <w:szCs w:val="24"/>
              </w:rPr>
            </w:pPr>
          </w:p>
        </w:tc>
        <w:tc>
          <w:tcPr>
            <w:tcW w:w="2209" w:type="dxa"/>
            <w:tcBorders>
              <w:top w:val="single" w:color="000000" w:sz="4" w:space="0"/>
              <w:left w:val="single" w:color="000000" w:sz="4" w:space="0"/>
              <w:bottom w:val="single" w:color="000000" w:sz="4" w:space="0"/>
            </w:tcBorders>
          </w:tcPr>
          <w:p w14:paraId="4348F070">
            <w:pPr>
              <w:pageBreakBefore w:val="0"/>
              <w:topLinePunct w:val="0"/>
              <w:bidi w:val="0"/>
              <w:spacing w:line="500" w:lineRule="exact"/>
              <w:ind w:left="0" w:leftChars="0" w:right="0" w:rightChars="0" w:firstLine="480" w:firstLineChars="200"/>
              <w:jc w:val="center"/>
              <w:rPr>
                <w:color w:val="auto"/>
                <w:sz w:val="24"/>
                <w:szCs w:val="24"/>
              </w:rPr>
            </w:pPr>
          </w:p>
        </w:tc>
      </w:tr>
      <w:tr w14:paraId="096149D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4" w:hRule="atLeast"/>
        </w:trPr>
        <w:tc>
          <w:tcPr>
            <w:tcW w:w="776" w:type="dxa"/>
            <w:tcBorders>
              <w:top w:val="single" w:color="000000" w:sz="4" w:space="0"/>
              <w:bottom w:val="single" w:color="000000" w:sz="4" w:space="0"/>
              <w:right w:val="single" w:color="000000" w:sz="4" w:space="0"/>
            </w:tcBorders>
          </w:tcPr>
          <w:p w14:paraId="225C1411">
            <w:pPr>
              <w:pageBreakBefore w:val="0"/>
              <w:topLinePunct w:val="0"/>
              <w:bidi w:val="0"/>
              <w:spacing w:line="500" w:lineRule="exact"/>
              <w:ind w:left="0" w:leftChars="0" w:right="0" w:rightChars="0" w:firstLine="480" w:firstLineChars="200"/>
              <w:jc w:val="center"/>
              <w:rPr>
                <w:color w:val="auto"/>
                <w:sz w:val="24"/>
                <w:szCs w:val="24"/>
              </w:rPr>
            </w:pPr>
          </w:p>
        </w:tc>
        <w:tc>
          <w:tcPr>
            <w:tcW w:w="2241" w:type="dxa"/>
            <w:tcBorders>
              <w:top w:val="single" w:color="000000" w:sz="4" w:space="0"/>
              <w:left w:val="single" w:color="000000" w:sz="4" w:space="0"/>
              <w:bottom w:val="single" w:color="000000" w:sz="4" w:space="0"/>
              <w:right w:val="single" w:color="000000" w:sz="4" w:space="0"/>
            </w:tcBorders>
          </w:tcPr>
          <w:p w14:paraId="0880D3A2">
            <w:pPr>
              <w:pageBreakBefore w:val="0"/>
              <w:topLinePunct w:val="0"/>
              <w:bidi w:val="0"/>
              <w:spacing w:line="500" w:lineRule="exact"/>
              <w:ind w:left="0" w:leftChars="0" w:right="0" w:rightChars="0" w:firstLine="480" w:firstLineChars="200"/>
              <w:jc w:val="center"/>
              <w:rPr>
                <w:color w:val="auto"/>
                <w:sz w:val="24"/>
                <w:szCs w:val="24"/>
              </w:rPr>
            </w:pPr>
          </w:p>
        </w:tc>
        <w:tc>
          <w:tcPr>
            <w:tcW w:w="1538" w:type="dxa"/>
            <w:tcBorders>
              <w:top w:val="single" w:color="000000" w:sz="4" w:space="0"/>
              <w:left w:val="single" w:color="000000" w:sz="4" w:space="0"/>
              <w:bottom w:val="single" w:color="000000" w:sz="4" w:space="0"/>
              <w:right w:val="single" w:color="000000" w:sz="4" w:space="0"/>
            </w:tcBorders>
          </w:tcPr>
          <w:p w14:paraId="1B5F386A">
            <w:pPr>
              <w:pageBreakBefore w:val="0"/>
              <w:topLinePunct w:val="0"/>
              <w:bidi w:val="0"/>
              <w:spacing w:line="500" w:lineRule="exact"/>
              <w:ind w:left="0" w:leftChars="0" w:right="0" w:rightChars="0" w:firstLine="480" w:firstLineChars="200"/>
              <w:jc w:val="center"/>
              <w:rPr>
                <w:color w:val="auto"/>
                <w:sz w:val="24"/>
                <w:szCs w:val="24"/>
              </w:rPr>
            </w:pPr>
          </w:p>
        </w:tc>
        <w:tc>
          <w:tcPr>
            <w:tcW w:w="937" w:type="dxa"/>
            <w:tcBorders>
              <w:top w:val="single" w:color="000000" w:sz="4" w:space="0"/>
              <w:left w:val="single" w:color="000000" w:sz="4" w:space="0"/>
              <w:bottom w:val="single" w:color="000000" w:sz="4" w:space="0"/>
              <w:right w:val="single" w:color="000000" w:sz="4" w:space="0"/>
            </w:tcBorders>
          </w:tcPr>
          <w:p w14:paraId="09DC120D">
            <w:pPr>
              <w:pageBreakBefore w:val="0"/>
              <w:topLinePunct w:val="0"/>
              <w:bidi w:val="0"/>
              <w:spacing w:line="500" w:lineRule="exact"/>
              <w:ind w:left="0" w:leftChars="0" w:right="0" w:rightChars="0" w:firstLine="480" w:firstLineChars="200"/>
              <w:jc w:val="center"/>
              <w:rPr>
                <w:color w:val="auto"/>
                <w:sz w:val="24"/>
                <w:szCs w:val="24"/>
              </w:rPr>
            </w:pPr>
          </w:p>
        </w:tc>
        <w:tc>
          <w:tcPr>
            <w:tcW w:w="1650" w:type="dxa"/>
            <w:tcBorders>
              <w:top w:val="single" w:color="000000" w:sz="4" w:space="0"/>
              <w:left w:val="single" w:color="000000" w:sz="4" w:space="0"/>
              <w:bottom w:val="single" w:color="000000" w:sz="4" w:space="0"/>
              <w:right w:val="single" w:color="000000" w:sz="4" w:space="0"/>
            </w:tcBorders>
          </w:tcPr>
          <w:p w14:paraId="6359466A">
            <w:pPr>
              <w:pageBreakBefore w:val="0"/>
              <w:topLinePunct w:val="0"/>
              <w:bidi w:val="0"/>
              <w:spacing w:line="500" w:lineRule="exact"/>
              <w:ind w:left="0" w:leftChars="0" w:right="0" w:rightChars="0" w:firstLine="480" w:firstLineChars="200"/>
              <w:jc w:val="center"/>
              <w:rPr>
                <w:color w:val="auto"/>
                <w:sz w:val="24"/>
                <w:szCs w:val="24"/>
              </w:rPr>
            </w:pPr>
          </w:p>
        </w:tc>
        <w:tc>
          <w:tcPr>
            <w:tcW w:w="2209" w:type="dxa"/>
            <w:tcBorders>
              <w:top w:val="single" w:color="000000" w:sz="4" w:space="0"/>
              <w:left w:val="single" w:color="000000" w:sz="4" w:space="0"/>
              <w:bottom w:val="single" w:color="000000" w:sz="4" w:space="0"/>
            </w:tcBorders>
          </w:tcPr>
          <w:p w14:paraId="6395B9A3">
            <w:pPr>
              <w:pageBreakBefore w:val="0"/>
              <w:topLinePunct w:val="0"/>
              <w:bidi w:val="0"/>
              <w:spacing w:line="500" w:lineRule="exact"/>
              <w:ind w:left="0" w:leftChars="0" w:right="0" w:rightChars="0" w:firstLine="480" w:firstLineChars="200"/>
              <w:jc w:val="center"/>
              <w:rPr>
                <w:color w:val="auto"/>
                <w:sz w:val="24"/>
                <w:szCs w:val="24"/>
              </w:rPr>
            </w:pPr>
          </w:p>
        </w:tc>
      </w:tr>
      <w:tr w14:paraId="660A1EA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3" w:hRule="atLeast"/>
        </w:trPr>
        <w:tc>
          <w:tcPr>
            <w:tcW w:w="776" w:type="dxa"/>
            <w:tcBorders>
              <w:top w:val="single" w:color="000000" w:sz="4" w:space="0"/>
              <w:right w:val="single" w:color="000000" w:sz="4" w:space="0"/>
            </w:tcBorders>
          </w:tcPr>
          <w:p w14:paraId="6E0B706A">
            <w:pPr>
              <w:pageBreakBefore w:val="0"/>
              <w:topLinePunct w:val="0"/>
              <w:bidi w:val="0"/>
              <w:spacing w:line="500" w:lineRule="exact"/>
              <w:ind w:left="0" w:leftChars="0" w:right="0" w:rightChars="0" w:firstLine="480" w:firstLineChars="200"/>
              <w:jc w:val="center"/>
              <w:rPr>
                <w:color w:val="auto"/>
                <w:sz w:val="24"/>
                <w:szCs w:val="24"/>
              </w:rPr>
            </w:pPr>
          </w:p>
        </w:tc>
        <w:tc>
          <w:tcPr>
            <w:tcW w:w="2241" w:type="dxa"/>
            <w:tcBorders>
              <w:top w:val="single" w:color="000000" w:sz="4" w:space="0"/>
              <w:left w:val="single" w:color="000000" w:sz="4" w:space="0"/>
              <w:right w:val="single" w:color="000000" w:sz="4" w:space="0"/>
            </w:tcBorders>
          </w:tcPr>
          <w:p w14:paraId="1B2942E3">
            <w:pPr>
              <w:pageBreakBefore w:val="0"/>
              <w:topLinePunct w:val="0"/>
              <w:bidi w:val="0"/>
              <w:spacing w:line="500" w:lineRule="exact"/>
              <w:ind w:left="0" w:leftChars="0" w:right="0" w:rightChars="0" w:firstLine="480" w:firstLineChars="200"/>
              <w:jc w:val="center"/>
              <w:rPr>
                <w:color w:val="auto"/>
                <w:sz w:val="24"/>
                <w:szCs w:val="24"/>
              </w:rPr>
            </w:pPr>
          </w:p>
        </w:tc>
        <w:tc>
          <w:tcPr>
            <w:tcW w:w="1538" w:type="dxa"/>
            <w:tcBorders>
              <w:top w:val="single" w:color="000000" w:sz="4" w:space="0"/>
              <w:left w:val="single" w:color="000000" w:sz="4" w:space="0"/>
              <w:right w:val="single" w:color="000000" w:sz="4" w:space="0"/>
            </w:tcBorders>
          </w:tcPr>
          <w:p w14:paraId="25372071">
            <w:pPr>
              <w:pageBreakBefore w:val="0"/>
              <w:topLinePunct w:val="0"/>
              <w:bidi w:val="0"/>
              <w:spacing w:line="500" w:lineRule="exact"/>
              <w:ind w:left="0" w:leftChars="0" w:right="0" w:rightChars="0" w:firstLine="480" w:firstLineChars="200"/>
              <w:jc w:val="center"/>
              <w:rPr>
                <w:color w:val="auto"/>
                <w:sz w:val="24"/>
                <w:szCs w:val="24"/>
              </w:rPr>
            </w:pPr>
          </w:p>
        </w:tc>
        <w:tc>
          <w:tcPr>
            <w:tcW w:w="937" w:type="dxa"/>
            <w:tcBorders>
              <w:top w:val="single" w:color="000000" w:sz="4" w:space="0"/>
              <w:left w:val="single" w:color="000000" w:sz="4" w:space="0"/>
              <w:right w:val="single" w:color="000000" w:sz="4" w:space="0"/>
            </w:tcBorders>
          </w:tcPr>
          <w:p w14:paraId="2C1D1220">
            <w:pPr>
              <w:pageBreakBefore w:val="0"/>
              <w:topLinePunct w:val="0"/>
              <w:bidi w:val="0"/>
              <w:spacing w:line="500" w:lineRule="exact"/>
              <w:ind w:left="0" w:leftChars="0" w:right="0" w:rightChars="0" w:firstLine="480" w:firstLineChars="200"/>
              <w:jc w:val="center"/>
              <w:rPr>
                <w:color w:val="auto"/>
                <w:sz w:val="24"/>
                <w:szCs w:val="24"/>
              </w:rPr>
            </w:pPr>
          </w:p>
        </w:tc>
        <w:tc>
          <w:tcPr>
            <w:tcW w:w="1650" w:type="dxa"/>
            <w:tcBorders>
              <w:top w:val="single" w:color="000000" w:sz="4" w:space="0"/>
              <w:left w:val="single" w:color="000000" w:sz="4" w:space="0"/>
              <w:right w:val="single" w:color="000000" w:sz="4" w:space="0"/>
            </w:tcBorders>
          </w:tcPr>
          <w:p w14:paraId="2314C1CC">
            <w:pPr>
              <w:pageBreakBefore w:val="0"/>
              <w:topLinePunct w:val="0"/>
              <w:bidi w:val="0"/>
              <w:spacing w:line="500" w:lineRule="exact"/>
              <w:ind w:left="0" w:leftChars="0" w:right="0" w:rightChars="0" w:firstLine="480" w:firstLineChars="200"/>
              <w:jc w:val="center"/>
              <w:rPr>
                <w:color w:val="auto"/>
                <w:sz w:val="24"/>
                <w:szCs w:val="24"/>
              </w:rPr>
            </w:pPr>
          </w:p>
        </w:tc>
        <w:tc>
          <w:tcPr>
            <w:tcW w:w="2209" w:type="dxa"/>
            <w:tcBorders>
              <w:top w:val="single" w:color="000000" w:sz="4" w:space="0"/>
              <w:left w:val="single" w:color="000000" w:sz="4" w:space="0"/>
            </w:tcBorders>
          </w:tcPr>
          <w:p w14:paraId="30E868F9">
            <w:pPr>
              <w:pageBreakBefore w:val="0"/>
              <w:topLinePunct w:val="0"/>
              <w:bidi w:val="0"/>
              <w:spacing w:line="500" w:lineRule="exact"/>
              <w:ind w:left="0" w:leftChars="0" w:right="0" w:rightChars="0" w:firstLine="480" w:firstLineChars="200"/>
              <w:jc w:val="center"/>
              <w:rPr>
                <w:color w:val="auto"/>
                <w:sz w:val="24"/>
                <w:szCs w:val="24"/>
              </w:rPr>
            </w:pPr>
          </w:p>
        </w:tc>
      </w:tr>
    </w:tbl>
    <w:p w14:paraId="5B6E6C98">
      <w:pPr>
        <w:pageBreakBefore w:val="0"/>
        <w:topLinePunct w:val="0"/>
        <w:bidi w:val="0"/>
        <w:spacing w:line="500" w:lineRule="exact"/>
        <w:ind w:left="0" w:leftChars="0" w:right="0" w:rightChars="0" w:firstLine="480" w:firstLineChars="200"/>
        <w:rPr>
          <w:color w:val="auto"/>
          <w:sz w:val="24"/>
          <w:szCs w:val="24"/>
        </w:rPr>
      </w:pPr>
      <w:r>
        <w:rPr>
          <w:rFonts w:hint="eastAsia"/>
          <w:color w:val="auto"/>
          <w:sz w:val="24"/>
          <w:szCs w:val="24"/>
        </w:rPr>
        <w:t>说明：</w:t>
      </w:r>
    </w:p>
    <w:p w14:paraId="4FFC72B9">
      <w:pPr>
        <w:pageBreakBefore w:val="0"/>
        <w:topLinePunct w:val="0"/>
        <w:bidi w:val="0"/>
        <w:spacing w:line="500" w:lineRule="exact"/>
        <w:ind w:left="0" w:leftChars="0" w:right="0" w:rightChars="0" w:firstLine="480" w:firstLineChars="200"/>
        <w:rPr>
          <w:rFonts w:hint="eastAsia"/>
          <w:color w:val="auto"/>
          <w:sz w:val="24"/>
          <w:szCs w:val="24"/>
          <w:lang w:eastAsia="zh-CN"/>
        </w:rPr>
      </w:pPr>
      <w:r>
        <w:rPr>
          <w:rFonts w:hint="eastAsia"/>
          <w:color w:val="auto"/>
          <w:sz w:val="24"/>
          <w:szCs w:val="24"/>
        </w:rPr>
        <w:t>1.表格可填写单台设备，也可填写成套设备；设备来源包含自有、租赁、合作共享。</w:t>
      </w:r>
    </w:p>
    <w:p w14:paraId="475F8DAB">
      <w:pPr>
        <w:pageBreakBefore w:val="0"/>
        <w:topLinePunct w:val="0"/>
        <w:bidi w:val="0"/>
        <w:spacing w:line="500" w:lineRule="exact"/>
        <w:ind w:left="0" w:leftChars="0" w:right="0" w:rightChars="0" w:firstLine="480" w:firstLineChars="200"/>
        <w:jc w:val="both"/>
        <w:rPr>
          <w:rFonts w:ascii="宋体" w:hAnsi="宋体" w:eastAsia="宋体" w:cs="宋体"/>
          <w:color w:val="auto"/>
          <w:sz w:val="24"/>
          <w:szCs w:val="24"/>
        </w:rPr>
      </w:pPr>
      <w:r>
        <w:rPr>
          <w:rFonts w:hint="eastAsia"/>
          <w:color w:val="auto"/>
          <w:sz w:val="24"/>
          <w:szCs w:val="24"/>
          <w:lang w:val="en-US" w:eastAsia="zh-CN"/>
        </w:rPr>
        <w:t>2.</w:t>
      </w:r>
      <w:r>
        <w:rPr>
          <w:rFonts w:ascii="宋体" w:hAnsi="宋体" w:eastAsia="宋体" w:cs="宋体"/>
          <w:color w:val="auto"/>
          <w:sz w:val="24"/>
          <w:szCs w:val="24"/>
        </w:rPr>
        <w:t>证明材料要求：自有设备可提供购置发票；租赁设备须提供有效租赁合同；共享合作设备须提供合作协议。提供以上任一对应证明材料即可。</w:t>
      </w:r>
    </w:p>
    <w:p w14:paraId="2A0A878E">
      <w:pPr>
        <w:pageBreakBefore w:val="0"/>
        <w:topLinePunct w:val="0"/>
        <w:bidi w:val="0"/>
        <w:spacing w:line="500" w:lineRule="exact"/>
        <w:ind w:left="0" w:leftChars="0" w:right="0" w:rightChars="0" w:firstLine="480" w:firstLineChars="200"/>
        <w:jc w:val="both"/>
        <w:rPr>
          <w:rFonts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主要填报与本项目履约直接相关设备，如配送车辆、冷库仓储设施、食品安全快检设备等。</w:t>
      </w:r>
    </w:p>
    <w:p w14:paraId="4E87E288">
      <w:pPr>
        <w:pageBreakBefore w:val="0"/>
        <w:topLinePunct w:val="0"/>
        <w:bidi w:val="0"/>
        <w:spacing w:line="500" w:lineRule="exact"/>
        <w:ind w:left="0" w:leftChars="0" w:right="0" w:rightChars="0" w:firstLine="480" w:firstLineChars="200"/>
        <w:jc w:val="both"/>
        <w:rPr>
          <w:rFonts w:hint="eastAsia"/>
          <w:color w:val="auto"/>
          <w:sz w:val="24"/>
          <w:szCs w:val="24"/>
          <w:lang w:val="en-US"/>
        </w:rPr>
      </w:pPr>
      <w:r>
        <w:rPr>
          <w:rFonts w:hint="eastAsia"/>
          <w:color w:val="auto"/>
          <w:sz w:val="24"/>
          <w:szCs w:val="24"/>
          <w:lang w:eastAsia="zh-CN"/>
        </w:rPr>
        <w:t>供应商（</w:t>
      </w:r>
      <w:r>
        <w:rPr>
          <w:rFonts w:hint="eastAsia"/>
          <w:color w:val="auto"/>
          <w:sz w:val="24"/>
          <w:szCs w:val="24"/>
          <w:lang w:val="en-US" w:eastAsia="zh-CN"/>
        </w:rPr>
        <w:t>公章</w:t>
      </w:r>
      <w:r>
        <w:rPr>
          <w:rFonts w:hint="eastAsia"/>
          <w:color w:val="auto"/>
          <w:sz w:val="24"/>
          <w:szCs w:val="24"/>
          <w:lang w:eastAsia="zh-CN"/>
        </w:rPr>
        <w:t>）：</w:t>
      </w:r>
    </w:p>
    <w:p w14:paraId="66CEC8A5">
      <w:pPr>
        <w:pageBreakBefore w:val="0"/>
        <w:topLinePunct w:val="0"/>
        <w:bidi w:val="0"/>
        <w:spacing w:line="500" w:lineRule="exact"/>
        <w:ind w:left="0" w:leftChars="0" w:right="0" w:rightChars="0" w:firstLine="480" w:firstLineChars="200"/>
        <w:jc w:val="both"/>
        <w:rPr>
          <w:rFonts w:hint="eastAsia"/>
          <w:color w:val="auto"/>
          <w:sz w:val="24"/>
          <w:szCs w:val="24"/>
          <w:lang w:val="zh-CN" w:eastAsia="zh-CN"/>
        </w:rPr>
      </w:pPr>
      <w:r>
        <w:rPr>
          <w:rFonts w:hint="eastAsia"/>
          <w:color w:val="auto"/>
          <w:sz w:val="24"/>
          <w:szCs w:val="24"/>
          <w:lang w:val="en-US" w:eastAsia="zh-CN"/>
        </w:rPr>
        <w:t>法定代表人或授权委托人（签字或盖章）：</w:t>
      </w:r>
    </w:p>
    <w:p w14:paraId="44FB5563">
      <w:pPr>
        <w:pageBreakBefore w:val="0"/>
        <w:widowControl/>
        <w:wordWrap w:val="0"/>
        <w:topLinePunct w:val="0"/>
        <w:bidi w:val="0"/>
        <w:spacing w:line="500" w:lineRule="exact"/>
        <w:ind w:left="0" w:leftChars="0" w:right="0" w:rightChars="0" w:firstLine="562" w:firstLineChars="200"/>
        <w:jc w:val="center"/>
        <w:rPr>
          <w:rFonts w:hint="eastAsia" w:ascii="Arial" w:hAnsi="Arial" w:cs="Arial"/>
          <w:b/>
          <w:bCs/>
          <w:color w:val="auto"/>
          <w:sz w:val="28"/>
          <w:szCs w:val="28"/>
          <w:lang w:val="en-US" w:bidi="ar"/>
        </w:rPr>
      </w:pPr>
    </w:p>
    <w:p w14:paraId="6B1DA578">
      <w:pPr>
        <w:pStyle w:val="21"/>
        <w:pageBreakBefore w:val="0"/>
        <w:shd w:val="clear" w:color="auto" w:fill="auto"/>
        <w:topLinePunct w:val="0"/>
        <w:bidi w:val="0"/>
        <w:adjustRightInd w:val="0"/>
        <w:snapToGrid w:val="0"/>
        <w:spacing w:line="500" w:lineRule="exact"/>
        <w:ind w:left="0" w:leftChars="0" w:right="0" w:rightChars="0" w:firstLine="562" w:firstLineChars="200"/>
        <w:jc w:val="center"/>
        <w:rPr>
          <w:rFonts w:hint="eastAsia" w:ascii="宋体" w:hAnsi="宋体" w:eastAsia="宋体" w:cs="宋体"/>
          <w:b/>
          <w:bCs/>
          <w:color w:val="auto"/>
          <w:sz w:val="28"/>
          <w:szCs w:val="28"/>
          <w:lang w:val="en-US" w:eastAsia="zh-CN" w:bidi="zh-CN"/>
        </w:rPr>
      </w:pPr>
      <w:r>
        <w:rPr>
          <w:rFonts w:hint="eastAsia" w:ascii="宋体" w:hAnsi="宋体" w:eastAsia="宋体" w:cs="宋体"/>
          <w:b/>
          <w:bCs/>
          <w:color w:val="auto"/>
          <w:sz w:val="28"/>
          <w:szCs w:val="28"/>
          <w:lang w:val="en-US" w:eastAsia="zh-CN" w:bidi="zh-CN"/>
        </w:rPr>
        <w:t>4.4信用查询</w:t>
      </w:r>
    </w:p>
    <w:p w14:paraId="4F901A22">
      <w:pPr>
        <w:pStyle w:val="21"/>
        <w:pageBreakBefore w:val="0"/>
        <w:shd w:val="clear" w:color="auto" w:fill="auto"/>
        <w:topLinePunct w:val="0"/>
        <w:bidi w:val="0"/>
        <w:adjustRightInd w:val="0"/>
        <w:snapToGrid w:val="0"/>
        <w:spacing w:line="500" w:lineRule="exact"/>
        <w:ind w:left="0" w:leftChars="0" w:right="0" w:rightChars="0" w:firstLine="480" w:firstLineChars="200"/>
        <w:rPr>
          <w:rFonts w:hint="eastAsia" w:ascii="宋体" w:hAnsi="宋体" w:eastAsia="宋体" w:cs="宋体"/>
          <w:color w:val="auto"/>
          <w:sz w:val="24"/>
          <w:szCs w:val="22"/>
          <w:lang w:val="en-US" w:eastAsia="zh-CN" w:bidi="zh-CN"/>
        </w:rPr>
      </w:pPr>
      <w:r>
        <w:rPr>
          <w:rFonts w:hint="eastAsia" w:ascii="宋体" w:hAnsi="宋体" w:eastAsia="宋体" w:cs="宋体"/>
          <w:color w:val="auto"/>
          <w:sz w:val="24"/>
          <w:szCs w:val="22"/>
          <w:lang w:val="en-US" w:eastAsia="zh-CN" w:bidi="zh-CN"/>
        </w:rPr>
        <w:t>供应商不得为“信用中国”网站</w:t>
      </w:r>
      <w:r>
        <w:rPr>
          <w:rFonts w:hint="eastAsia" w:cs="宋体"/>
          <w:color w:val="auto"/>
          <w:sz w:val="24"/>
          <w:szCs w:val="22"/>
          <w:lang w:val="en-US" w:eastAsia="zh-CN" w:bidi="zh-CN"/>
        </w:rPr>
        <w:t>（</w:t>
      </w:r>
      <w:r>
        <w:rPr>
          <w:rFonts w:hint="eastAsia" w:ascii="宋体" w:hAnsi="宋体" w:eastAsia="宋体" w:cs="宋体"/>
          <w:color w:val="auto"/>
          <w:sz w:val="24"/>
          <w:szCs w:val="22"/>
          <w:lang w:val="en-US" w:eastAsia="zh-CN" w:bidi="zh-CN"/>
        </w:rPr>
        <w:t>www.creditchina.gov.cn </w:t>
      </w:r>
      <w:r>
        <w:rPr>
          <w:rFonts w:hint="eastAsia" w:cs="宋体"/>
          <w:color w:val="auto"/>
          <w:sz w:val="24"/>
          <w:szCs w:val="22"/>
          <w:lang w:val="en-US" w:eastAsia="zh-CN" w:bidi="zh-CN"/>
        </w:rPr>
        <w:t>）</w:t>
      </w:r>
      <w:r>
        <w:rPr>
          <w:rFonts w:hint="eastAsia" w:ascii="宋体" w:hAnsi="宋体" w:eastAsia="宋体" w:cs="宋体"/>
          <w:color w:val="auto"/>
          <w:sz w:val="24"/>
          <w:szCs w:val="22"/>
          <w:lang w:val="en-US" w:eastAsia="zh-CN" w:bidi="zh-CN"/>
        </w:rPr>
        <w:t>和中国政府采购网</w:t>
      </w:r>
      <w:r>
        <w:rPr>
          <w:rFonts w:hint="eastAsia" w:cs="宋体"/>
          <w:color w:val="auto"/>
          <w:sz w:val="24"/>
          <w:szCs w:val="22"/>
          <w:lang w:val="en-US" w:eastAsia="zh-CN" w:bidi="zh-CN"/>
        </w:rPr>
        <w:t>（</w:t>
      </w:r>
      <w:r>
        <w:rPr>
          <w:rFonts w:hint="eastAsia" w:ascii="宋体" w:hAnsi="宋体" w:eastAsia="宋体" w:cs="宋体"/>
          <w:color w:val="auto"/>
          <w:sz w:val="24"/>
          <w:szCs w:val="22"/>
          <w:lang w:val="en-US" w:eastAsia="zh-CN" w:bidi="zh-CN"/>
        </w:rPr>
        <w:t>www.ccgp.gov.cn </w:t>
      </w:r>
      <w:r>
        <w:rPr>
          <w:rFonts w:hint="eastAsia" w:cs="宋体"/>
          <w:color w:val="auto"/>
          <w:sz w:val="24"/>
          <w:szCs w:val="22"/>
          <w:lang w:val="en-US" w:eastAsia="zh-CN" w:bidi="zh-CN"/>
        </w:rPr>
        <w:t>）</w:t>
      </w:r>
      <w:r>
        <w:rPr>
          <w:rFonts w:hint="eastAsia" w:ascii="宋体" w:hAnsi="宋体" w:eastAsia="宋体" w:cs="宋体"/>
          <w:color w:val="auto"/>
          <w:sz w:val="24"/>
          <w:szCs w:val="22"/>
          <w:lang w:val="en-US" w:eastAsia="zh-CN" w:bidi="zh-CN"/>
        </w:rPr>
        <w:t>等渠道查询相关主体信用记录，对列入失信被执行人、重大税收违法失信主体、政府采购严重违法失信行为记录名单的供应商，将拒绝其参与政府采购活动；</w:t>
      </w:r>
    </w:p>
    <w:p w14:paraId="0573F933">
      <w:pPr>
        <w:pStyle w:val="21"/>
        <w:pageBreakBefore w:val="0"/>
        <w:shd w:val="clear" w:color="auto" w:fill="auto"/>
        <w:topLinePunct w:val="0"/>
        <w:bidi w:val="0"/>
        <w:adjustRightInd w:val="0"/>
        <w:snapToGrid w:val="0"/>
        <w:spacing w:line="500" w:lineRule="exact"/>
        <w:ind w:left="0" w:leftChars="0" w:right="0" w:rightChars="0" w:firstLine="482" w:firstLineChars="200"/>
        <w:rPr>
          <w:rFonts w:hint="eastAsia" w:ascii="仿宋" w:hAnsi="仿宋" w:eastAsia="仿宋" w:cs="仿宋"/>
          <w:color w:val="auto"/>
          <w:sz w:val="24"/>
          <w:szCs w:val="24"/>
          <w:highlight w:val="none"/>
        </w:rPr>
      </w:pPr>
      <w:r>
        <w:rPr>
          <w:rFonts w:hint="eastAsia" w:cs="宋体"/>
          <w:b/>
          <w:bCs/>
          <w:color w:val="auto"/>
          <w:sz w:val="24"/>
          <w:szCs w:val="22"/>
          <w:lang w:val="en-US" w:eastAsia="zh-CN" w:bidi="zh-CN"/>
        </w:rPr>
        <w:t>注：</w:t>
      </w:r>
      <w:r>
        <w:rPr>
          <w:rFonts w:hint="eastAsia" w:ascii="宋体" w:hAnsi="宋体" w:eastAsia="宋体" w:cs="宋体"/>
          <w:b/>
          <w:bCs/>
          <w:color w:val="auto"/>
          <w:sz w:val="24"/>
          <w:szCs w:val="22"/>
          <w:lang w:val="zh-CN" w:eastAsia="zh-CN" w:bidi="zh-CN"/>
        </w:rPr>
        <w:t>供应商无需提供，</w:t>
      </w:r>
      <w:r>
        <w:rPr>
          <w:rFonts w:hint="eastAsia" w:ascii="宋体" w:hAnsi="宋体" w:eastAsia="宋体" w:cs="宋体"/>
          <w:b/>
          <w:bCs/>
          <w:color w:val="auto"/>
          <w:sz w:val="24"/>
          <w:szCs w:val="22"/>
          <w:lang w:val="en-US" w:eastAsia="zh-CN" w:bidi="zh-CN"/>
        </w:rPr>
        <w:t>资格审查人员于资格审查环节查询相关信用记录，对列入失信被执行人、重大税收违法案件当事人名单、政府采购严重违法失信行为记录名单及其他不符合</w:t>
      </w:r>
      <w:r>
        <w:rPr>
          <w:rFonts w:hint="eastAsia" w:cs="宋体"/>
          <w:b/>
          <w:bCs/>
          <w:color w:val="auto"/>
          <w:sz w:val="24"/>
          <w:szCs w:val="22"/>
          <w:lang w:val="en-US" w:eastAsia="zh-CN" w:bidi="zh-CN"/>
        </w:rPr>
        <w:t>《中华人民共和国政府采购法》</w:t>
      </w:r>
      <w:r>
        <w:rPr>
          <w:rFonts w:hint="eastAsia" w:ascii="宋体" w:hAnsi="宋体" w:eastAsia="宋体" w:cs="宋体"/>
          <w:b/>
          <w:bCs/>
          <w:color w:val="auto"/>
          <w:sz w:val="24"/>
          <w:szCs w:val="22"/>
          <w:lang w:val="en-US" w:eastAsia="zh-CN" w:bidi="zh-CN"/>
        </w:rPr>
        <w:t>第二十二条规定的供应商，将拒绝其参与政府采购活动，查询结果以电子或纸质方式留存。</w:t>
      </w:r>
    </w:p>
    <w:p w14:paraId="64581D74">
      <w:pPr>
        <w:pageBreakBefore w:val="0"/>
        <w:widowControl/>
        <w:wordWrap w:val="0"/>
        <w:topLinePunct w:val="0"/>
        <w:bidi w:val="0"/>
        <w:spacing w:line="500" w:lineRule="exact"/>
        <w:ind w:left="0" w:leftChars="0" w:right="0" w:rightChars="0" w:firstLine="562" w:firstLineChars="200"/>
        <w:jc w:val="center"/>
        <w:rPr>
          <w:rFonts w:hint="eastAsia" w:ascii="Arial" w:hAnsi="Arial" w:cs="Arial"/>
          <w:b/>
          <w:bCs/>
          <w:color w:val="auto"/>
          <w:sz w:val="28"/>
          <w:szCs w:val="28"/>
          <w:lang w:val="en-US" w:bidi="ar"/>
        </w:rPr>
      </w:pPr>
    </w:p>
    <w:p w14:paraId="761C4455">
      <w:pPr>
        <w:pageBreakBefore w:val="0"/>
        <w:widowControl/>
        <w:wordWrap w:val="0"/>
        <w:topLinePunct w:val="0"/>
        <w:bidi w:val="0"/>
        <w:spacing w:line="500" w:lineRule="exact"/>
        <w:ind w:left="0" w:leftChars="0" w:right="0" w:rightChars="0" w:firstLine="562" w:firstLineChars="200"/>
        <w:jc w:val="center"/>
        <w:rPr>
          <w:rFonts w:hint="eastAsia" w:ascii="Arial" w:hAnsi="Arial" w:cs="Arial"/>
          <w:b/>
          <w:bCs/>
          <w:color w:val="auto"/>
          <w:sz w:val="28"/>
          <w:szCs w:val="28"/>
          <w:lang w:val="en-US" w:bidi="ar"/>
        </w:rPr>
      </w:pPr>
    </w:p>
    <w:p w14:paraId="52F04DA0">
      <w:pPr>
        <w:pageBreakBefore w:val="0"/>
        <w:widowControl/>
        <w:wordWrap w:val="0"/>
        <w:topLinePunct w:val="0"/>
        <w:bidi w:val="0"/>
        <w:spacing w:line="500" w:lineRule="exact"/>
        <w:ind w:left="0" w:leftChars="0" w:right="0" w:rightChars="0" w:firstLine="562" w:firstLineChars="200"/>
        <w:jc w:val="center"/>
        <w:rPr>
          <w:rFonts w:hint="eastAsia" w:ascii="Arial" w:hAnsi="Arial" w:cs="Arial"/>
          <w:b/>
          <w:bCs/>
          <w:color w:val="auto"/>
          <w:sz w:val="28"/>
          <w:szCs w:val="28"/>
          <w:lang w:val="en-US" w:bidi="ar"/>
        </w:rPr>
      </w:pPr>
    </w:p>
    <w:p w14:paraId="45FB0C07">
      <w:pPr>
        <w:pageBreakBefore w:val="0"/>
        <w:widowControl/>
        <w:wordWrap w:val="0"/>
        <w:topLinePunct w:val="0"/>
        <w:bidi w:val="0"/>
        <w:spacing w:line="500" w:lineRule="exact"/>
        <w:ind w:left="0" w:leftChars="0" w:right="0" w:rightChars="0" w:firstLine="562" w:firstLineChars="200"/>
        <w:jc w:val="center"/>
        <w:rPr>
          <w:rFonts w:hint="eastAsia" w:ascii="Arial" w:hAnsi="Arial" w:cs="Arial"/>
          <w:b/>
          <w:bCs/>
          <w:color w:val="auto"/>
          <w:sz w:val="28"/>
          <w:szCs w:val="28"/>
          <w:lang w:val="en-US" w:bidi="ar"/>
        </w:rPr>
      </w:pPr>
    </w:p>
    <w:p w14:paraId="24961E1F">
      <w:pPr>
        <w:pageBreakBefore w:val="0"/>
        <w:widowControl/>
        <w:wordWrap w:val="0"/>
        <w:topLinePunct w:val="0"/>
        <w:bidi w:val="0"/>
        <w:spacing w:line="500" w:lineRule="exact"/>
        <w:ind w:left="0" w:leftChars="0" w:right="0" w:rightChars="0" w:firstLine="562" w:firstLineChars="200"/>
        <w:jc w:val="center"/>
        <w:rPr>
          <w:rFonts w:hint="eastAsia" w:ascii="Arial" w:hAnsi="Arial" w:cs="Arial"/>
          <w:b/>
          <w:bCs/>
          <w:color w:val="auto"/>
          <w:sz w:val="28"/>
          <w:szCs w:val="28"/>
          <w:lang w:val="en-US" w:bidi="ar"/>
        </w:rPr>
      </w:pPr>
    </w:p>
    <w:p w14:paraId="1F8F60CB">
      <w:pPr>
        <w:pageBreakBefore w:val="0"/>
        <w:widowControl/>
        <w:wordWrap w:val="0"/>
        <w:topLinePunct w:val="0"/>
        <w:bidi w:val="0"/>
        <w:spacing w:line="500" w:lineRule="exact"/>
        <w:ind w:left="0" w:leftChars="0" w:right="0" w:rightChars="0" w:firstLine="562" w:firstLineChars="200"/>
        <w:jc w:val="center"/>
        <w:rPr>
          <w:rFonts w:hint="eastAsia" w:ascii="Arial" w:hAnsi="Arial" w:cs="Arial"/>
          <w:b/>
          <w:bCs/>
          <w:color w:val="auto"/>
          <w:sz w:val="28"/>
          <w:szCs w:val="28"/>
          <w:lang w:val="en-US" w:bidi="ar"/>
        </w:rPr>
      </w:pPr>
    </w:p>
    <w:p w14:paraId="49263B2A">
      <w:pPr>
        <w:pageBreakBefore w:val="0"/>
        <w:widowControl/>
        <w:wordWrap w:val="0"/>
        <w:topLinePunct w:val="0"/>
        <w:bidi w:val="0"/>
        <w:spacing w:line="500" w:lineRule="exact"/>
        <w:ind w:left="0" w:leftChars="0" w:right="0" w:rightChars="0" w:firstLine="562" w:firstLineChars="200"/>
        <w:jc w:val="center"/>
        <w:rPr>
          <w:rFonts w:hint="eastAsia" w:ascii="Arial" w:hAnsi="Arial" w:cs="Arial"/>
          <w:b/>
          <w:bCs/>
          <w:color w:val="auto"/>
          <w:sz w:val="28"/>
          <w:szCs w:val="28"/>
          <w:lang w:val="en-US" w:bidi="ar"/>
        </w:rPr>
      </w:pPr>
    </w:p>
    <w:p w14:paraId="3CFE3B86">
      <w:pPr>
        <w:pageBreakBefore w:val="0"/>
        <w:widowControl/>
        <w:wordWrap w:val="0"/>
        <w:topLinePunct w:val="0"/>
        <w:bidi w:val="0"/>
        <w:spacing w:line="500" w:lineRule="exact"/>
        <w:ind w:left="0" w:leftChars="0" w:right="0" w:rightChars="0" w:firstLine="562" w:firstLineChars="200"/>
        <w:jc w:val="center"/>
        <w:rPr>
          <w:rFonts w:hint="eastAsia" w:ascii="Arial" w:hAnsi="Arial" w:cs="Arial"/>
          <w:b/>
          <w:bCs/>
          <w:color w:val="auto"/>
          <w:sz w:val="28"/>
          <w:szCs w:val="28"/>
          <w:lang w:val="en-US" w:bidi="ar"/>
        </w:rPr>
      </w:pPr>
    </w:p>
    <w:p w14:paraId="1F5E0589">
      <w:pPr>
        <w:pStyle w:val="12"/>
        <w:rPr>
          <w:rFonts w:hint="eastAsia" w:ascii="Arial" w:hAnsi="Arial" w:cs="Arial"/>
          <w:b/>
          <w:bCs/>
          <w:color w:val="auto"/>
          <w:sz w:val="28"/>
          <w:szCs w:val="28"/>
          <w:lang w:val="en-US" w:bidi="ar"/>
        </w:rPr>
      </w:pPr>
    </w:p>
    <w:p w14:paraId="5FB7B5AB">
      <w:pPr>
        <w:rPr>
          <w:rFonts w:hint="eastAsia" w:ascii="Arial" w:hAnsi="Arial" w:cs="Arial"/>
          <w:b/>
          <w:bCs/>
          <w:color w:val="auto"/>
          <w:sz w:val="28"/>
          <w:szCs w:val="28"/>
          <w:lang w:val="en-US" w:bidi="ar"/>
        </w:rPr>
      </w:pPr>
    </w:p>
    <w:p w14:paraId="61B439F7">
      <w:pPr>
        <w:pStyle w:val="12"/>
        <w:rPr>
          <w:rFonts w:hint="eastAsia" w:ascii="Arial" w:hAnsi="Arial" w:cs="Arial"/>
          <w:b/>
          <w:bCs/>
          <w:color w:val="auto"/>
          <w:sz w:val="28"/>
          <w:szCs w:val="28"/>
          <w:lang w:val="en-US" w:bidi="ar"/>
        </w:rPr>
      </w:pPr>
    </w:p>
    <w:p w14:paraId="1E5A66CF">
      <w:pPr>
        <w:rPr>
          <w:rFonts w:hint="eastAsia" w:ascii="Arial" w:hAnsi="Arial" w:cs="Arial"/>
          <w:b/>
          <w:bCs/>
          <w:color w:val="auto"/>
          <w:sz w:val="28"/>
          <w:szCs w:val="28"/>
          <w:lang w:val="en-US" w:bidi="ar"/>
        </w:rPr>
      </w:pPr>
    </w:p>
    <w:p w14:paraId="5F39C4D5">
      <w:pPr>
        <w:pStyle w:val="12"/>
        <w:rPr>
          <w:rFonts w:hint="eastAsia" w:ascii="Arial" w:hAnsi="Arial" w:cs="Arial"/>
          <w:b/>
          <w:bCs/>
          <w:color w:val="auto"/>
          <w:sz w:val="28"/>
          <w:szCs w:val="28"/>
          <w:lang w:val="en-US" w:bidi="ar"/>
        </w:rPr>
      </w:pPr>
    </w:p>
    <w:p w14:paraId="5CB03004">
      <w:pPr>
        <w:rPr>
          <w:rFonts w:hint="eastAsia" w:ascii="Arial" w:hAnsi="Arial" w:cs="Arial"/>
          <w:b/>
          <w:bCs/>
          <w:color w:val="auto"/>
          <w:sz w:val="28"/>
          <w:szCs w:val="28"/>
          <w:lang w:val="en-US" w:bidi="ar"/>
        </w:rPr>
      </w:pPr>
    </w:p>
    <w:p w14:paraId="12341F54">
      <w:pPr>
        <w:pStyle w:val="12"/>
        <w:rPr>
          <w:rFonts w:hint="eastAsia"/>
          <w:color w:val="auto"/>
          <w:lang w:val="en-US"/>
        </w:rPr>
      </w:pPr>
    </w:p>
    <w:p w14:paraId="3A4DC415">
      <w:pPr>
        <w:pStyle w:val="12"/>
        <w:pageBreakBefore w:val="0"/>
        <w:topLinePunct w:val="0"/>
        <w:bidi w:val="0"/>
        <w:spacing w:line="500" w:lineRule="exact"/>
        <w:ind w:left="0" w:leftChars="0" w:right="0" w:rightChars="0" w:firstLine="562" w:firstLineChars="200"/>
        <w:rPr>
          <w:rFonts w:hint="eastAsia" w:ascii="Arial" w:hAnsi="Arial" w:cs="Arial"/>
          <w:b/>
          <w:bCs/>
          <w:color w:val="auto"/>
          <w:sz w:val="28"/>
          <w:szCs w:val="28"/>
          <w:lang w:val="en-US" w:bidi="ar"/>
        </w:rPr>
      </w:pPr>
    </w:p>
    <w:p w14:paraId="2B3A8EA9">
      <w:pPr>
        <w:pageBreakBefore w:val="0"/>
        <w:topLinePunct w:val="0"/>
        <w:bidi w:val="0"/>
        <w:spacing w:line="500" w:lineRule="exact"/>
        <w:ind w:left="0" w:leftChars="0" w:right="0" w:rightChars="0" w:firstLine="440" w:firstLineChars="200"/>
        <w:rPr>
          <w:rFonts w:hint="eastAsia"/>
          <w:color w:val="auto"/>
          <w:lang w:val="en-US"/>
        </w:rPr>
      </w:pPr>
    </w:p>
    <w:p w14:paraId="4EAF5267">
      <w:pPr>
        <w:rPr>
          <w:rFonts w:hint="eastAsia"/>
          <w:color w:val="auto"/>
          <w:lang w:val="en-US" w:eastAsia="zh-CN"/>
        </w:rPr>
      </w:pPr>
      <w:r>
        <w:rPr>
          <w:rFonts w:hint="eastAsia" w:ascii="Arial" w:hAnsi="Arial" w:cs="Arial"/>
          <w:b/>
          <w:bCs/>
          <w:color w:val="auto"/>
          <w:sz w:val="28"/>
          <w:szCs w:val="28"/>
          <w:lang w:val="en-US" w:bidi="ar"/>
        </w:rPr>
        <w:br w:type="page"/>
      </w:r>
    </w:p>
    <w:p w14:paraId="1D2536E0">
      <w:pPr>
        <w:pStyle w:val="22"/>
        <w:pageBreakBefore w:val="0"/>
        <w:shd w:val="clear" w:color="auto" w:fill="auto"/>
        <w:topLinePunct w:val="0"/>
        <w:bidi w:val="0"/>
        <w:spacing w:line="500" w:lineRule="exact"/>
        <w:ind w:left="0" w:leftChars="0" w:right="0" w:rightChars="0" w:firstLine="482" w:firstLineChars="200"/>
        <w:rPr>
          <w:rFonts w:hint="eastAsia" w:ascii="宋体" w:hAnsi="宋体" w:eastAsia="宋体" w:cs="宋体"/>
          <w:b/>
          <w:bCs/>
          <w:color w:val="auto"/>
          <w:sz w:val="24"/>
          <w:szCs w:val="22"/>
          <w:lang w:val="en-US" w:eastAsia="zh-CN" w:bidi="zh-CN"/>
        </w:rPr>
      </w:pPr>
      <w:r>
        <w:rPr>
          <w:rFonts w:hint="eastAsia" w:cs="宋体"/>
          <w:b/>
          <w:bCs/>
          <w:color w:val="auto"/>
          <w:sz w:val="24"/>
          <w:szCs w:val="22"/>
          <w:lang w:val="en-US" w:eastAsia="zh-CN" w:bidi="zh-CN"/>
        </w:rPr>
        <w:t xml:space="preserve">4.5 </w:t>
      </w:r>
      <w:r>
        <w:rPr>
          <w:rFonts w:hint="eastAsia" w:ascii="宋体" w:hAnsi="宋体" w:eastAsia="宋体" w:cs="宋体"/>
          <w:b/>
          <w:bCs/>
          <w:color w:val="auto"/>
          <w:sz w:val="24"/>
          <w:szCs w:val="22"/>
          <w:lang w:val="en-US" w:eastAsia="zh-CN" w:bidi="zh-CN"/>
        </w:rPr>
        <w:t>控股管理关系：单位负责人为同一人或者存在直接控股、管理关系的供应商，不得参加同一合同下的政府采购活动；</w:t>
      </w:r>
    </w:p>
    <w:p w14:paraId="6FD4F065">
      <w:pPr>
        <w:rPr>
          <w:rFonts w:hint="eastAsia"/>
          <w:color w:val="auto"/>
          <w:lang w:val="en-US" w:eastAsia="zh-CN"/>
        </w:rPr>
      </w:pPr>
    </w:p>
    <w:p w14:paraId="4E267173">
      <w:pPr>
        <w:pageBreakBefore w:val="0"/>
        <w:topLinePunct w:val="0"/>
        <w:bidi w:val="0"/>
        <w:spacing w:line="500" w:lineRule="exact"/>
        <w:ind w:left="0" w:leftChars="0" w:right="0" w:rightChars="0" w:firstLine="562" w:firstLineChars="200"/>
        <w:jc w:val="center"/>
        <w:rPr>
          <w:rFonts w:hint="eastAsia"/>
          <w:b/>
          <w:bCs/>
          <w:color w:val="auto"/>
          <w:sz w:val="28"/>
          <w:szCs w:val="28"/>
          <w:lang w:val="en-US" w:eastAsia="zh-CN"/>
        </w:rPr>
      </w:pPr>
      <w:r>
        <w:rPr>
          <w:rFonts w:hint="eastAsia"/>
          <w:b/>
          <w:bCs/>
          <w:color w:val="auto"/>
          <w:sz w:val="28"/>
          <w:szCs w:val="28"/>
          <w:lang w:val="en-US" w:eastAsia="zh-CN"/>
        </w:rPr>
        <w:t>供应商控股管理关系承诺书</w:t>
      </w:r>
    </w:p>
    <w:p w14:paraId="11884652">
      <w:pPr>
        <w:pageBreakBefore w:val="0"/>
        <w:topLinePunct w:val="0"/>
        <w:bidi w:val="0"/>
        <w:spacing w:line="500" w:lineRule="exact"/>
        <w:ind w:left="0" w:leftChars="0" w:right="0" w:rightChars="0" w:firstLine="480" w:firstLineChars="200"/>
        <w:rPr>
          <w:rFonts w:hint="eastAsia"/>
          <w:color w:val="auto"/>
          <w:sz w:val="24"/>
          <w:lang w:val="en-US" w:eastAsia="zh-CN"/>
        </w:rPr>
      </w:pPr>
      <w:r>
        <w:rPr>
          <w:rFonts w:hint="eastAsia"/>
          <w:color w:val="auto"/>
          <w:sz w:val="24"/>
          <w:lang w:val="en-US" w:eastAsia="zh-CN"/>
        </w:rPr>
        <w:t>1.供应商在本项目投标中，不存在与其他供应商负责人为同一人，有控股、管理等关联关系承诺：</w:t>
      </w:r>
    </w:p>
    <w:p w14:paraId="71312E4D">
      <w:pPr>
        <w:pageBreakBefore w:val="0"/>
        <w:topLinePunct w:val="0"/>
        <w:bidi w:val="0"/>
        <w:spacing w:line="500" w:lineRule="exact"/>
        <w:ind w:left="0" w:leftChars="0" w:right="0" w:rightChars="0" w:firstLine="480" w:firstLineChars="200"/>
        <w:rPr>
          <w:rFonts w:hint="eastAsia"/>
          <w:color w:val="auto"/>
          <w:sz w:val="24"/>
          <w:lang w:val="en-US" w:eastAsia="zh-CN"/>
        </w:rPr>
      </w:pPr>
      <w:r>
        <w:rPr>
          <w:rFonts w:hint="eastAsia"/>
          <w:color w:val="auto"/>
          <w:sz w:val="24"/>
          <w:lang w:val="en-US" w:eastAsia="zh-CN"/>
        </w:rPr>
        <w:t>1.1管理关系说明：</w:t>
      </w:r>
    </w:p>
    <w:p w14:paraId="4A48DFD4">
      <w:pPr>
        <w:pageBreakBefore w:val="0"/>
        <w:topLinePunct w:val="0"/>
        <w:bidi w:val="0"/>
        <w:spacing w:line="500" w:lineRule="exact"/>
        <w:ind w:left="0" w:leftChars="0" w:right="0" w:rightChars="0" w:firstLine="480" w:firstLineChars="200"/>
        <w:rPr>
          <w:rFonts w:hint="eastAsia"/>
          <w:color w:val="auto"/>
          <w:sz w:val="24"/>
          <w:lang w:val="en-US" w:eastAsia="zh-CN"/>
        </w:rPr>
      </w:pPr>
      <w:r>
        <w:rPr>
          <w:rFonts w:hint="eastAsia"/>
          <w:color w:val="auto"/>
          <w:sz w:val="24"/>
          <w:lang w:val="en-US" w:eastAsia="zh-CN"/>
        </w:rPr>
        <w:t>我单位管理的具有独立法人的下属单位有</w:t>
      </w:r>
      <w:r>
        <w:rPr>
          <w:rFonts w:hint="eastAsia"/>
          <w:color w:val="auto"/>
          <w:sz w:val="24"/>
          <w:u w:val="single"/>
          <w:lang w:val="en-US" w:eastAsia="zh-CN"/>
        </w:rPr>
        <w:t xml:space="preserve">                 </w:t>
      </w:r>
      <w:r>
        <w:rPr>
          <w:rFonts w:hint="eastAsia"/>
          <w:color w:val="auto"/>
          <w:sz w:val="24"/>
          <w:lang w:val="en-US" w:eastAsia="zh-CN"/>
        </w:rPr>
        <w:t>。</w:t>
      </w:r>
    </w:p>
    <w:p w14:paraId="362D1AC2">
      <w:pPr>
        <w:pageBreakBefore w:val="0"/>
        <w:topLinePunct w:val="0"/>
        <w:bidi w:val="0"/>
        <w:spacing w:line="500" w:lineRule="exact"/>
        <w:ind w:left="0" w:leftChars="0" w:right="0" w:rightChars="0" w:firstLine="480" w:firstLineChars="200"/>
        <w:rPr>
          <w:rFonts w:hint="eastAsia"/>
          <w:color w:val="auto"/>
          <w:sz w:val="24"/>
          <w:lang w:val="en-US" w:eastAsia="zh-CN"/>
        </w:rPr>
      </w:pPr>
      <w:r>
        <w:rPr>
          <w:rFonts w:hint="eastAsia"/>
          <w:color w:val="auto"/>
          <w:sz w:val="24"/>
          <w:lang w:val="en-US" w:eastAsia="zh-CN"/>
        </w:rPr>
        <w:t>我单位的上级管理单位有</w:t>
      </w:r>
      <w:r>
        <w:rPr>
          <w:rFonts w:hint="eastAsia"/>
          <w:color w:val="auto"/>
          <w:sz w:val="24"/>
          <w:u w:val="single"/>
          <w:lang w:val="en-US" w:eastAsia="zh-CN"/>
        </w:rPr>
        <w:t xml:space="preserve">                               </w:t>
      </w:r>
      <w:r>
        <w:rPr>
          <w:rFonts w:hint="eastAsia"/>
          <w:color w:val="auto"/>
          <w:sz w:val="24"/>
          <w:lang w:val="en-US" w:eastAsia="zh-CN"/>
        </w:rPr>
        <w:t>。</w:t>
      </w:r>
    </w:p>
    <w:p w14:paraId="56044233">
      <w:pPr>
        <w:pageBreakBefore w:val="0"/>
        <w:topLinePunct w:val="0"/>
        <w:bidi w:val="0"/>
        <w:spacing w:line="500" w:lineRule="exact"/>
        <w:ind w:left="0" w:leftChars="0" w:right="0" w:rightChars="0" w:firstLine="480" w:firstLineChars="200"/>
        <w:rPr>
          <w:rFonts w:hint="eastAsia"/>
          <w:color w:val="auto"/>
          <w:sz w:val="24"/>
          <w:lang w:val="en-US" w:eastAsia="zh-CN"/>
        </w:rPr>
      </w:pPr>
      <w:r>
        <w:rPr>
          <w:rFonts w:hint="eastAsia"/>
          <w:color w:val="auto"/>
          <w:sz w:val="24"/>
          <w:lang w:val="en-US" w:eastAsia="zh-CN"/>
        </w:rPr>
        <w:t>1.2股权关系说明：</w:t>
      </w:r>
    </w:p>
    <w:p w14:paraId="50668997">
      <w:pPr>
        <w:pageBreakBefore w:val="0"/>
        <w:topLinePunct w:val="0"/>
        <w:bidi w:val="0"/>
        <w:spacing w:line="500" w:lineRule="exact"/>
        <w:ind w:left="0" w:leftChars="0" w:right="0" w:rightChars="0" w:firstLine="480" w:firstLineChars="200"/>
        <w:rPr>
          <w:rFonts w:hint="eastAsia"/>
          <w:color w:val="auto"/>
          <w:sz w:val="24"/>
          <w:lang w:val="en-US" w:eastAsia="zh-CN"/>
        </w:rPr>
      </w:pPr>
      <w:r>
        <w:rPr>
          <w:rFonts w:hint="eastAsia"/>
          <w:color w:val="auto"/>
          <w:sz w:val="24"/>
          <w:lang w:val="en-US" w:eastAsia="zh-CN"/>
        </w:rPr>
        <w:t>我单位控股的单位有</w:t>
      </w:r>
      <w:r>
        <w:rPr>
          <w:rFonts w:hint="eastAsia"/>
          <w:color w:val="auto"/>
          <w:sz w:val="24"/>
          <w:u w:val="single"/>
          <w:lang w:val="en-US" w:eastAsia="zh-CN"/>
        </w:rPr>
        <w:t xml:space="preserve">                                   </w:t>
      </w:r>
      <w:r>
        <w:rPr>
          <w:rFonts w:hint="eastAsia"/>
          <w:color w:val="auto"/>
          <w:sz w:val="24"/>
          <w:lang w:val="en-US" w:eastAsia="zh-CN"/>
        </w:rPr>
        <w:t>。</w:t>
      </w:r>
    </w:p>
    <w:p w14:paraId="2D5F82C0">
      <w:pPr>
        <w:pageBreakBefore w:val="0"/>
        <w:topLinePunct w:val="0"/>
        <w:bidi w:val="0"/>
        <w:spacing w:line="500" w:lineRule="exact"/>
        <w:ind w:left="0" w:leftChars="0" w:right="0" w:rightChars="0" w:firstLine="480" w:firstLineChars="200"/>
        <w:rPr>
          <w:rFonts w:hint="eastAsia"/>
          <w:color w:val="auto"/>
          <w:sz w:val="24"/>
          <w:lang w:val="en-US" w:eastAsia="zh-CN"/>
        </w:rPr>
      </w:pPr>
      <w:r>
        <w:rPr>
          <w:rFonts w:hint="eastAsia"/>
          <w:color w:val="auto"/>
          <w:sz w:val="24"/>
          <w:lang w:val="en-US" w:eastAsia="zh-CN"/>
        </w:rPr>
        <w:t>我单位被</w:t>
      </w:r>
      <w:r>
        <w:rPr>
          <w:rFonts w:hint="eastAsia"/>
          <w:color w:val="auto"/>
          <w:sz w:val="24"/>
          <w:u w:val="single"/>
          <w:lang w:val="en-US" w:eastAsia="zh-CN"/>
        </w:rPr>
        <w:t xml:space="preserve">                                      </w:t>
      </w:r>
      <w:r>
        <w:rPr>
          <w:rFonts w:hint="eastAsia"/>
          <w:color w:val="auto"/>
          <w:sz w:val="24"/>
          <w:lang w:val="en-US" w:eastAsia="zh-CN"/>
        </w:rPr>
        <w:t>单位控股。</w:t>
      </w:r>
    </w:p>
    <w:p w14:paraId="174789B7">
      <w:pPr>
        <w:pageBreakBefore w:val="0"/>
        <w:topLinePunct w:val="0"/>
        <w:bidi w:val="0"/>
        <w:spacing w:line="500" w:lineRule="exact"/>
        <w:ind w:left="0" w:leftChars="0" w:right="0" w:rightChars="0" w:firstLine="480" w:firstLineChars="200"/>
        <w:rPr>
          <w:rFonts w:hint="eastAsia"/>
          <w:color w:val="auto"/>
          <w:sz w:val="24"/>
          <w:lang w:val="en-US" w:eastAsia="zh-CN"/>
        </w:rPr>
      </w:pPr>
      <w:r>
        <w:rPr>
          <w:rFonts w:hint="eastAsia"/>
          <w:color w:val="auto"/>
          <w:sz w:val="24"/>
          <w:lang w:val="en-US" w:eastAsia="zh-CN"/>
        </w:rPr>
        <w:t>1.3单位负责人：</w:t>
      </w:r>
      <w:r>
        <w:rPr>
          <w:rFonts w:hint="eastAsia"/>
          <w:color w:val="auto"/>
          <w:sz w:val="24"/>
          <w:u w:val="single"/>
          <w:lang w:val="en-US" w:eastAsia="zh-CN"/>
        </w:rPr>
        <w:t xml:space="preserve">                                       </w:t>
      </w:r>
    </w:p>
    <w:p w14:paraId="558562D3">
      <w:pPr>
        <w:pageBreakBefore w:val="0"/>
        <w:topLinePunct w:val="0"/>
        <w:bidi w:val="0"/>
        <w:spacing w:line="500" w:lineRule="exact"/>
        <w:ind w:left="0" w:leftChars="0" w:right="0" w:rightChars="0" w:firstLine="480" w:firstLineChars="200"/>
        <w:rPr>
          <w:rFonts w:hint="eastAsia"/>
          <w:color w:val="auto"/>
          <w:sz w:val="24"/>
          <w:u w:val="single"/>
          <w:lang w:val="en-US" w:eastAsia="zh-CN"/>
        </w:rPr>
      </w:pPr>
      <w:r>
        <w:rPr>
          <w:rFonts w:hint="eastAsia"/>
          <w:color w:val="auto"/>
          <w:sz w:val="24"/>
          <w:lang w:val="en-US" w:eastAsia="zh-CN"/>
        </w:rPr>
        <w:t>2.其他与本项目有关的利害关系说明：</w:t>
      </w:r>
      <w:r>
        <w:rPr>
          <w:rFonts w:hint="eastAsia"/>
          <w:color w:val="auto"/>
          <w:sz w:val="24"/>
          <w:u w:val="single"/>
          <w:lang w:val="en-US" w:eastAsia="zh-CN"/>
        </w:rPr>
        <w:t xml:space="preserve">                    </w:t>
      </w:r>
    </w:p>
    <w:p w14:paraId="1C47032A">
      <w:pPr>
        <w:pageBreakBefore w:val="0"/>
        <w:topLinePunct w:val="0"/>
        <w:bidi w:val="0"/>
        <w:spacing w:line="500" w:lineRule="exact"/>
        <w:ind w:left="0" w:leftChars="0" w:right="0" w:rightChars="0" w:firstLine="480" w:firstLineChars="200"/>
        <w:rPr>
          <w:rFonts w:hint="eastAsia"/>
          <w:color w:val="auto"/>
          <w:sz w:val="24"/>
          <w:lang w:val="en-US" w:eastAsia="zh-CN"/>
        </w:rPr>
      </w:pPr>
      <w:r>
        <w:rPr>
          <w:rFonts w:hint="eastAsia"/>
          <w:color w:val="auto"/>
          <w:sz w:val="24"/>
          <w:lang w:val="en-US" w:eastAsia="zh-CN"/>
        </w:rPr>
        <w:t>3.我单位承诺以上说明真实有效，无虚假内容或隐瞒。</w:t>
      </w:r>
    </w:p>
    <w:p w14:paraId="24D38241">
      <w:pPr>
        <w:pageBreakBefore w:val="0"/>
        <w:topLinePunct w:val="0"/>
        <w:bidi w:val="0"/>
        <w:spacing w:line="500" w:lineRule="exact"/>
        <w:ind w:left="0" w:leftChars="0" w:right="0" w:rightChars="0" w:firstLine="480" w:firstLineChars="200"/>
        <w:rPr>
          <w:rFonts w:hint="eastAsia"/>
          <w:color w:val="auto"/>
          <w:sz w:val="24"/>
          <w:lang w:val="en-US" w:eastAsia="zh-CN"/>
        </w:rPr>
      </w:pPr>
    </w:p>
    <w:p w14:paraId="644880EB">
      <w:pPr>
        <w:pageBreakBefore w:val="0"/>
        <w:topLinePunct w:val="0"/>
        <w:bidi w:val="0"/>
        <w:spacing w:line="500" w:lineRule="exact"/>
        <w:ind w:left="0" w:leftChars="0" w:right="0" w:rightChars="0" w:firstLine="480" w:firstLineChars="200"/>
        <w:jc w:val="both"/>
        <w:rPr>
          <w:rFonts w:hint="eastAsia"/>
          <w:color w:val="auto"/>
          <w:sz w:val="24"/>
          <w:szCs w:val="24"/>
          <w:lang w:val="en-US"/>
        </w:rPr>
      </w:pPr>
      <w:r>
        <w:rPr>
          <w:rFonts w:hint="eastAsia"/>
          <w:color w:val="auto"/>
          <w:sz w:val="24"/>
          <w:szCs w:val="24"/>
          <w:lang w:eastAsia="zh-CN"/>
        </w:rPr>
        <w:t>供应商（</w:t>
      </w:r>
      <w:r>
        <w:rPr>
          <w:rFonts w:hint="eastAsia"/>
          <w:color w:val="auto"/>
          <w:sz w:val="24"/>
          <w:szCs w:val="24"/>
          <w:lang w:val="en-US" w:eastAsia="zh-CN"/>
        </w:rPr>
        <w:t>公章</w:t>
      </w:r>
      <w:r>
        <w:rPr>
          <w:rFonts w:hint="eastAsia"/>
          <w:color w:val="auto"/>
          <w:sz w:val="24"/>
          <w:szCs w:val="24"/>
          <w:lang w:eastAsia="zh-CN"/>
        </w:rPr>
        <w:t>）：</w:t>
      </w:r>
    </w:p>
    <w:p w14:paraId="7D18E32E">
      <w:pPr>
        <w:pageBreakBefore w:val="0"/>
        <w:topLinePunct w:val="0"/>
        <w:bidi w:val="0"/>
        <w:spacing w:line="500" w:lineRule="exact"/>
        <w:ind w:left="0" w:leftChars="0" w:right="0" w:rightChars="0" w:firstLine="480" w:firstLineChars="200"/>
        <w:jc w:val="both"/>
        <w:rPr>
          <w:rFonts w:hint="eastAsia"/>
          <w:color w:val="auto"/>
          <w:sz w:val="24"/>
          <w:szCs w:val="24"/>
          <w:lang w:val="zh-CN" w:eastAsia="zh-CN"/>
        </w:rPr>
      </w:pPr>
      <w:r>
        <w:rPr>
          <w:rFonts w:hint="eastAsia"/>
          <w:color w:val="auto"/>
          <w:sz w:val="24"/>
          <w:szCs w:val="24"/>
          <w:lang w:val="en-US" w:eastAsia="zh-CN"/>
        </w:rPr>
        <w:t>法定代表人或授权委托人（签字或盖章）：</w:t>
      </w:r>
    </w:p>
    <w:p w14:paraId="4D688094">
      <w:pPr>
        <w:pStyle w:val="12"/>
        <w:pageBreakBefore w:val="0"/>
        <w:tabs>
          <w:tab w:val="left" w:pos="3998"/>
          <w:tab w:val="left" w:pos="6318"/>
        </w:tabs>
        <w:topLinePunct w:val="0"/>
        <w:bidi w:val="0"/>
        <w:spacing w:line="500" w:lineRule="exact"/>
        <w:ind w:left="0" w:leftChars="0" w:right="0" w:rightChars="0" w:firstLine="480" w:firstLineChars="200"/>
        <w:rPr>
          <w:rFonts w:hint="eastAsia"/>
          <w:color w:val="auto"/>
          <w:sz w:val="24"/>
          <w:szCs w:val="24"/>
        </w:rPr>
      </w:pPr>
      <w:r>
        <w:rPr>
          <w:rFonts w:hint="eastAsia"/>
          <w:color w:val="auto"/>
          <w:sz w:val="24"/>
          <w:szCs w:val="24"/>
          <w:lang w:val="en-US" w:eastAsia="zh-CN"/>
        </w:rPr>
        <w:t>日期：</w:t>
      </w:r>
      <w:r>
        <w:rPr>
          <w:rFonts w:hint="eastAsia"/>
          <w:color w:val="auto"/>
          <w:sz w:val="24"/>
          <w:szCs w:val="24"/>
        </w:rPr>
        <w:t xml:space="preserve">年 </w:t>
      </w:r>
      <w:r>
        <w:rPr>
          <w:rFonts w:hint="eastAsia"/>
          <w:color w:val="auto"/>
          <w:sz w:val="24"/>
          <w:szCs w:val="24"/>
          <w:lang w:val="en-US" w:eastAsia="zh-CN"/>
        </w:rPr>
        <w:t xml:space="preserve">  </w:t>
      </w:r>
      <w:r>
        <w:rPr>
          <w:rFonts w:hint="eastAsia"/>
          <w:color w:val="auto"/>
          <w:sz w:val="24"/>
          <w:szCs w:val="24"/>
        </w:rPr>
        <w:t xml:space="preserve">月 </w:t>
      </w:r>
      <w:r>
        <w:rPr>
          <w:rFonts w:hint="eastAsia"/>
          <w:color w:val="auto"/>
          <w:sz w:val="24"/>
          <w:szCs w:val="24"/>
          <w:lang w:val="en-US" w:eastAsia="zh-CN"/>
        </w:rPr>
        <w:t xml:space="preserve">  </w:t>
      </w:r>
      <w:r>
        <w:rPr>
          <w:rFonts w:hint="eastAsia"/>
          <w:color w:val="auto"/>
          <w:sz w:val="24"/>
          <w:szCs w:val="24"/>
        </w:rPr>
        <w:t>日</w:t>
      </w:r>
    </w:p>
    <w:p w14:paraId="7109BFF3">
      <w:pPr>
        <w:pStyle w:val="8"/>
        <w:pageBreakBefore w:val="0"/>
        <w:topLinePunct w:val="0"/>
        <w:bidi w:val="0"/>
        <w:spacing w:line="500" w:lineRule="exact"/>
        <w:ind w:left="0" w:leftChars="0" w:right="0" w:rightChars="0" w:firstLine="422" w:firstLineChars="200"/>
        <w:rPr>
          <w:b/>
          <w:color w:val="auto"/>
          <w:sz w:val="21"/>
          <w:lang w:val="en-US"/>
        </w:rPr>
      </w:pPr>
    </w:p>
    <w:p w14:paraId="1BBDC29D">
      <w:pPr>
        <w:pStyle w:val="5"/>
        <w:pageBreakBefore w:val="0"/>
        <w:topLinePunct w:val="0"/>
        <w:bidi w:val="0"/>
        <w:spacing w:line="500" w:lineRule="exact"/>
        <w:ind w:left="0" w:leftChars="0" w:right="0" w:rightChars="0" w:firstLine="562" w:firstLineChars="200"/>
        <w:rPr>
          <w:bCs w:val="0"/>
          <w:color w:val="auto"/>
          <w:lang w:val="en-US"/>
        </w:rPr>
      </w:pPr>
    </w:p>
    <w:p w14:paraId="50029E4E">
      <w:pPr>
        <w:pStyle w:val="5"/>
        <w:pageBreakBefore w:val="0"/>
        <w:topLinePunct w:val="0"/>
        <w:bidi w:val="0"/>
        <w:spacing w:line="500" w:lineRule="exact"/>
        <w:ind w:left="0" w:leftChars="0" w:right="0" w:rightChars="0" w:firstLine="562" w:firstLineChars="200"/>
        <w:rPr>
          <w:bCs w:val="0"/>
          <w:color w:val="auto"/>
          <w:lang w:val="en-US"/>
        </w:rPr>
      </w:pPr>
    </w:p>
    <w:p w14:paraId="23AFF218">
      <w:pPr>
        <w:pageBreakBefore w:val="0"/>
        <w:topLinePunct w:val="0"/>
        <w:bidi w:val="0"/>
        <w:spacing w:line="500" w:lineRule="exact"/>
        <w:ind w:left="0" w:leftChars="0" w:right="0" w:rightChars="0" w:firstLine="440" w:firstLineChars="200"/>
        <w:rPr>
          <w:bCs w:val="0"/>
          <w:color w:val="auto"/>
          <w:lang w:val="en-US"/>
        </w:rPr>
      </w:pPr>
      <w:r>
        <w:rPr>
          <w:bCs w:val="0"/>
          <w:color w:val="auto"/>
          <w:lang w:val="en-US"/>
        </w:rPr>
        <w:br w:type="page"/>
      </w:r>
    </w:p>
    <w:p w14:paraId="59DF3019">
      <w:pPr>
        <w:pStyle w:val="5"/>
        <w:pageBreakBefore w:val="0"/>
        <w:topLinePunct w:val="0"/>
        <w:bidi w:val="0"/>
        <w:spacing w:line="500" w:lineRule="exact"/>
        <w:ind w:left="0" w:leftChars="0" w:right="0" w:rightChars="0" w:firstLine="562" w:firstLineChars="200"/>
        <w:rPr>
          <w:bCs w:val="0"/>
          <w:color w:val="auto"/>
          <w:lang w:val="en-US"/>
        </w:rPr>
      </w:pPr>
      <w:r>
        <w:rPr>
          <w:bCs w:val="0"/>
          <w:color w:val="auto"/>
          <w:lang w:val="en-US"/>
        </w:rPr>
        <w:t>投标声明书</w:t>
      </w:r>
    </w:p>
    <w:p w14:paraId="75BD2A02">
      <w:pPr>
        <w:pageBreakBefore w:val="0"/>
        <w:topLinePunct w:val="0"/>
        <w:autoSpaceDE/>
        <w:autoSpaceDN/>
        <w:bidi w:val="0"/>
        <w:spacing w:line="500" w:lineRule="exact"/>
        <w:ind w:left="0" w:leftChars="0" w:right="0" w:rightChars="0" w:firstLine="480" w:firstLineChars="200"/>
        <w:rPr>
          <w:b/>
          <w:color w:val="auto"/>
          <w:szCs w:val="21"/>
          <w:u w:val="single"/>
          <w:lang w:val="en-US"/>
        </w:rPr>
      </w:pPr>
      <w:r>
        <w:rPr>
          <w:rFonts w:hint="eastAsia"/>
          <w:color w:val="auto"/>
          <w:sz w:val="24"/>
        </w:rPr>
        <w:t>致：</w:t>
      </w:r>
      <w:r>
        <w:rPr>
          <w:rFonts w:hint="eastAsia"/>
          <w:color w:val="auto"/>
          <w:sz w:val="24"/>
          <w:u w:val="single"/>
        </w:rPr>
        <w:t xml:space="preserve">     （采购人）     </w:t>
      </w:r>
      <w:r>
        <w:rPr>
          <w:rFonts w:hint="eastAsia"/>
          <w:b/>
          <w:color w:val="auto"/>
          <w:szCs w:val="21"/>
          <w:u w:val="single"/>
          <w:lang w:val="en-US"/>
        </w:rPr>
        <w:t xml:space="preserve"> </w:t>
      </w:r>
    </w:p>
    <w:p w14:paraId="763B44A8">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我方</w:t>
      </w:r>
      <w:r>
        <w:rPr>
          <w:rFonts w:hint="eastAsia"/>
          <w:color w:val="auto"/>
          <w:sz w:val="24"/>
          <w:szCs w:val="24"/>
          <w:u w:val="single"/>
          <w:lang w:val="en-US"/>
        </w:rPr>
        <w:t xml:space="preserve"> </w:t>
      </w:r>
      <w:r>
        <w:rPr>
          <w:rFonts w:hint="eastAsia"/>
          <w:color w:val="auto"/>
          <w:sz w:val="24"/>
          <w:szCs w:val="24"/>
          <w:u w:val="single"/>
          <w:lang w:val="en-US"/>
        </w:rPr>
        <w:tab/>
      </w:r>
      <w:r>
        <w:rPr>
          <w:rFonts w:hint="eastAsia"/>
          <w:color w:val="auto"/>
          <w:sz w:val="24"/>
          <w:szCs w:val="24"/>
          <w:u w:val="single"/>
          <w:lang w:val="en-US"/>
        </w:rPr>
        <w:t xml:space="preserve">  </w:t>
      </w:r>
      <w:r>
        <w:rPr>
          <w:rFonts w:hint="eastAsia"/>
          <w:color w:val="auto"/>
          <w:sz w:val="24"/>
          <w:szCs w:val="24"/>
          <w:lang w:val="en-US"/>
        </w:rPr>
        <w:t>（</w:t>
      </w:r>
      <w:r>
        <w:rPr>
          <w:rFonts w:hint="eastAsia"/>
          <w:color w:val="auto"/>
          <w:sz w:val="24"/>
          <w:szCs w:val="24"/>
          <w:lang w:val="en-US" w:eastAsia="zh-CN"/>
        </w:rPr>
        <w:t>供应商</w:t>
      </w:r>
      <w:r>
        <w:rPr>
          <w:rFonts w:hint="eastAsia"/>
          <w:color w:val="auto"/>
          <w:sz w:val="24"/>
          <w:szCs w:val="24"/>
          <w:lang w:val="en-US"/>
        </w:rPr>
        <w:t>名称），就参加</w:t>
      </w:r>
      <w:r>
        <w:rPr>
          <w:rFonts w:hint="eastAsia"/>
          <w:color w:val="auto"/>
          <w:sz w:val="24"/>
          <w:szCs w:val="24"/>
          <w:u w:val="single"/>
          <w:lang w:val="en-US"/>
        </w:rPr>
        <w:t xml:space="preserve"> </w:t>
      </w:r>
      <w:r>
        <w:rPr>
          <w:rFonts w:hint="eastAsia"/>
          <w:color w:val="auto"/>
          <w:sz w:val="24"/>
          <w:szCs w:val="24"/>
          <w:u w:val="single"/>
          <w:lang w:val="en-US"/>
        </w:rPr>
        <w:tab/>
      </w:r>
      <w:r>
        <w:rPr>
          <w:rFonts w:hint="eastAsia"/>
          <w:color w:val="auto"/>
          <w:sz w:val="24"/>
          <w:szCs w:val="24"/>
          <w:u w:val="single"/>
          <w:lang w:val="en-US"/>
        </w:rPr>
        <w:t xml:space="preserve"> </w:t>
      </w:r>
      <w:r>
        <w:rPr>
          <w:rFonts w:hint="eastAsia"/>
          <w:color w:val="auto"/>
          <w:sz w:val="24"/>
          <w:szCs w:val="24"/>
          <w:lang w:val="en-US"/>
        </w:rPr>
        <w:t>采购项目（采购项目编号</w:t>
      </w:r>
      <w:r>
        <w:rPr>
          <w:rFonts w:hint="eastAsia"/>
          <w:color w:val="auto"/>
          <w:sz w:val="24"/>
          <w:szCs w:val="24"/>
          <w:u w:val="single"/>
          <w:lang w:val="en-US"/>
        </w:rPr>
        <w:t xml:space="preserve">：   </w:t>
      </w:r>
      <w:r>
        <w:rPr>
          <w:rFonts w:hint="eastAsia"/>
          <w:color w:val="auto"/>
          <w:sz w:val="24"/>
          <w:szCs w:val="24"/>
          <w:lang w:val="en-US"/>
        </w:rPr>
        <w:t>）投标事宜，在此郑重声明：</w:t>
      </w:r>
    </w:p>
    <w:p w14:paraId="1B3396D6">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1.我方所提交的投标文件全部真实有效；</w:t>
      </w:r>
    </w:p>
    <w:p w14:paraId="189D8FE5">
      <w:pPr>
        <w:pageBreakBefore w:val="0"/>
        <w:topLinePunct w:val="0"/>
        <w:bidi w:val="0"/>
        <w:spacing w:line="500" w:lineRule="exact"/>
        <w:ind w:left="0" w:leftChars="0" w:right="0" w:rightChars="0" w:firstLine="480" w:firstLineChars="200"/>
        <w:rPr>
          <w:rFonts w:hint="eastAsia" w:eastAsia="宋体"/>
          <w:color w:val="auto"/>
          <w:sz w:val="24"/>
          <w:szCs w:val="24"/>
          <w:lang w:val="en-US" w:eastAsia="zh-CN"/>
        </w:rPr>
      </w:pPr>
      <w:r>
        <w:rPr>
          <w:rFonts w:hint="eastAsia"/>
          <w:color w:val="auto"/>
          <w:sz w:val="24"/>
          <w:szCs w:val="24"/>
          <w:lang w:val="en-US"/>
        </w:rPr>
        <w:t>2.</w:t>
      </w:r>
      <w:r>
        <w:rPr>
          <w:rFonts w:hint="eastAsia"/>
          <w:color w:val="auto"/>
          <w:sz w:val="24"/>
          <w:szCs w:val="24"/>
          <w:lang w:val="en-US" w:eastAsia="zh-CN"/>
        </w:rPr>
        <w:t>我方近 3 年来无因食品安全事故、质量事故、投标违规等不良记录被政府有关部门处罚或仍在处罚期限内的情形存在；</w:t>
      </w:r>
    </w:p>
    <w:p w14:paraId="6C837ED1">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3.我方近 3 年来无违规违法经营受到责令停产</w:t>
      </w:r>
      <w:r>
        <w:rPr>
          <w:rFonts w:hint="eastAsia"/>
          <w:color w:val="auto"/>
          <w:sz w:val="24"/>
          <w:szCs w:val="24"/>
          <w:lang w:val="en-US" w:eastAsia="zh-CN"/>
        </w:rPr>
        <w:t>（</w:t>
      </w:r>
      <w:r>
        <w:rPr>
          <w:rFonts w:hint="eastAsia"/>
          <w:color w:val="auto"/>
          <w:sz w:val="24"/>
          <w:szCs w:val="24"/>
          <w:lang w:val="en-US"/>
        </w:rPr>
        <w:t>或停止经营</w:t>
      </w:r>
      <w:r>
        <w:rPr>
          <w:rFonts w:hint="eastAsia"/>
          <w:color w:val="auto"/>
          <w:sz w:val="24"/>
          <w:szCs w:val="24"/>
          <w:lang w:val="en-US" w:eastAsia="zh-CN"/>
        </w:rPr>
        <w:t>）</w:t>
      </w:r>
      <w:r>
        <w:rPr>
          <w:rFonts w:hint="eastAsia"/>
          <w:color w:val="auto"/>
          <w:sz w:val="24"/>
          <w:szCs w:val="24"/>
          <w:lang w:val="en-US"/>
        </w:rPr>
        <w:t>、吊销生产许可证（或经营许可证）、较大数额罚款（举行听证会）等行政处罚的情形存在；</w:t>
      </w:r>
    </w:p>
    <w:p w14:paraId="4AFB5763">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4.我方无企业财产被查封、冻结或处于破产状态或严重亏损状态等情形存在；</w:t>
      </w:r>
    </w:p>
    <w:p w14:paraId="1E8F7440">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5.我方承诺在投标过程中，保证不予其他单位围标、串标，不出让投标资格， 不采取不正当手段诋毁、排挤其他</w:t>
      </w:r>
      <w:r>
        <w:rPr>
          <w:rFonts w:hint="eastAsia"/>
          <w:color w:val="auto"/>
          <w:sz w:val="24"/>
          <w:szCs w:val="24"/>
          <w:lang w:val="en-US" w:eastAsia="zh-CN"/>
        </w:rPr>
        <w:t>供应商</w:t>
      </w:r>
      <w:r>
        <w:rPr>
          <w:rFonts w:hint="eastAsia"/>
          <w:color w:val="auto"/>
          <w:sz w:val="24"/>
          <w:szCs w:val="24"/>
          <w:lang w:val="en-US"/>
        </w:rPr>
        <w:t>，不向采购人、采购代理机构、评标委员会成员行贿；</w:t>
      </w:r>
    </w:p>
    <w:p w14:paraId="6BD0B768">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6.我方参加政府采购活动近 3 年内，在经营活动中没有重大违法记录；</w:t>
      </w:r>
    </w:p>
    <w:p w14:paraId="7F197CA8">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7.我方在投标时未列入政府采购严重违法失信行为记录名单。</w:t>
      </w:r>
    </w:p>
    <w:p w14:paraId="75B128E7">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以上声明若有违反，一经查实，我方愿意接受政府有关部门的相应处罚，并愿意承担由此带来的法律后果。</w:t>
      </w:r>
    </w:p>
    <w:p w14:paraId="2C444721">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特此声明！</w:t>
      </w:r>
    </w:p>
    <w:p w14:paraId="483C90DE">
      <w:pPr>
        <w:pageBreakBefore w:val="0"/>
        <w:topLinePunct w:val="0"/>
        <w:bidi w:val="0"/>
        <w:spacing w:line="500" w:lineRule="exact"/>
        <w:ind w:left="0" w:leftChars="0" w:right="0" w:rightChars="0" w:firstLine="480" w:firstLineChars="200"/>
        <w:rPr>
          <w:color w:val="auto"/>
          <w:sz w:val="24"/>
          <w:szCs w:val="24"/>
          <w:lang w:val="en-US"/>
        </w:rPr>
      </w:pPr>
    </w:p>
    <w:p w14:paraId="3989E3FA">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声</w:t>
      </w:r>
      <w:r>
        <w:rPr>
          <w:rFonts w:hint="eastAsia"/>
          <w:color w:val="auto"/>
          <w:sz w:val="24"/>
          <w:szCs w:val="24"/>
          <w:lang w:val="en-US"/>
        </w:rPr>
        <w:tab/>
      </w:r>
      <w:r>
        <w:rPr>
          <w:rFonts w:hint="eastAsia"/>
          <w:color w:val="auto"/>
          <w:sz w:val="24"/>
          <w:szCs w:val="24"/>
          <w:lang w:val="en-US"/>
        </w:rPr>
        <w:t>明</w:t>
      </w:r>
      <w:r>
        <w:rPr>
          <w:rFonts w:hint="eastAsia"/>
          <w:color w:val="auto"/>
          <w:sz w:val="24"/>
          <w:szCs w:val="24"/>
          <w:lang w:val="en-US"/>
        </w:rPr>
        <w:tab/>
      </w:r>
      <w:r>
        <w:rPr>
          <w:rFonts w:hint="eastAsia"/>
          <w:color w:val="auto"/>
          <w:sz w:val="24"/>
          <w:szCs w:val="24"/>
          <w:lang w:val="en-US"/>
        </w:rPr>
        <w:t>人</w:t>
      </w:r>
      <w:r>
        <w:rPr>
          <w:rFonts w:hint="eastAsia"/>
          <w:color w:val="auto"/>
          <w:sz w:val="24"/>
          <w:szCs w:val="24"/>
          <w:lang w:val="en-US" w:eastAsia="zh-CN"/>
        </w:rPr>
        <w:t>：</w:t>
      </w:r>
      <w:r>
        <w:rPr>
          <w:rFonts w:hint="eastAsia"/>
          <w:color w:val="auto"/>
          <w:sz w:val="24"/>
          <w:szCs w:val="24"/>
          <w:u w:val="single"/>
          <w:lang w:val="en-US"/>
        </w:rPr>
        <w:t xml:space="preserve">            </w:t>
      </w:r>
      <w:r>
        <w:rPr>
          <w:rFonts w:hint="eastAsia"/>
          <w:color w:val="auto"/>
          <w:sz w:val="24"/>
          <w:szCs w:val="24"/>
          <w:u w:val="single"/>
          <w:lang w:val="en-US"/>
        </w:rPr>
        <w:tab/>
      </w:r>
      <w:r>
        <w:rPr>
          <w:rFonts w:hint="eastAsia"/>
          <w:color w:val="auto"/>
          <w:sz w:val="24"/>
          <w:szCs w:val="24"/>
          <w:u w:val="none"/>
          <w:lang w:val="en-US" w:eastAsia="zh-CN"/>
        </w:rPr>
        <w:t>（</w:t>
      </w:r>
      <w:r>
        <w:rPr>
          <w:rFonts w:hint="eastAsia"/>
          <w:color w:val="auto"/>
          <w:sz w:val="24"/>
          <w:szCs w:val="24"/>
          <w:lang w:val="en-US" w:eastAsia="zh-CN"/>
        </w:rPr>
        <w:t>供应商</w:t>
      </w:r>
      <w:r>
        <w:rPr>
          <w:rFonts w:hint="eastAsia"/>
          <w:color w:val="auto"/>
          <w:sz w:val="24"/>
          <w:szCs w:val="24"/>
          <w:lang w:val="en-US"/>
        </w:rPr>
        <w:t>名称、盖单位章</w:t>
      </w:r>
      <w:r>
        <w:rPr>
          <w:rFonts w:hint="eastAsia"/>
          <w:color w:val="auto"/>
          <w:sz w:val="24"/>
          <w:szCs w:val="24"/>
          <w:lang w:val="en-US" w:eastAsia="zh-CN"/>
        </w:rPr>
        <w:t>）</w:t>
      </w:r>
      <w:r>
        <w:rPr>
          <w:rFonts w:hint="eastAsia"/>
          <w:color w:val="auto"/>
          <w:sz w:val="24"/>
          <w:szCs w:val="24"/>
          <w:lang w:val="en-US"/>
        </w:rPr>
        <w:t xml:space="preserve"> </w:t>
      </w:r>
    </w:p>
    <w:p w14:paraId="5C7F9564">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法定代表人：</w:t>
      </w:r>
      <w:r>
        <w:rPr>
          <w:rFonts w:hint="eastAsia"/>
          <w:color w:val="auto"/>
          <w:sz w:val="24"/>
          <w:szCs w:val="24"/>
          <w:u w:val="single"/>
          <w:lang w:val="en-US"/>
        </w:rPr>
        <w:t xml:space="preserve">        </w:t>
      </w:r>
      <w:r>
        <w:rPr>
          <w:rFonts w:hint="eastAsia"/>
          <w:color w:val="auto"/>
          <w:sz w:val="24"/>
          <w:szCs w:val="24"/>
          <w:u w:val="single"/>
          <w:lang w:val="en-US"/>
        </w:rPr>
        <w:tab/>
      </w:r>
      <w:r>
        <w:rPr>
          <w:rFonts w:hint="eastAsia"/>
          <w:color w:val="auto"/>
          <w:sz w:val="24"/>
          <w:szCs w:val="24"/>
          <w:lang w:val="en-US"/>
        </w:rPr>
        <w:t>（签字）</w:t>
      </w:r>
    </w:p>
    <w:p w14:paraId="3AF8576E">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日</w:t>
      </w:r>
      <w:r>
        <w:rPr>
          <w:rFonts w:hint="eastAsia"/>
          <w:color w:val="auto"/>
          <w:sz w:val="24"/>
          <w:szCs w:val="24"/>
          <w:lang w:val="en-US"/>
        </w:rPr>
        <w:tab/>
      </w:r>
      <w:r>
        <w:rPr>
          <w:rFonts w:hint="eastAsia"/>
          <w:color w:val="auto"/>
          <w:sz w:val="24"/>
          <w:szCs w:val="24"/>
          <w:lang w:val="en-US"/>
        </w:rPr>
        <w:t>期：</w:t>
      </w:r>
      <w:r>
        <w:rPr>
          <w:rFonts w:hint="eastAsia"/>
          <w:color w:val="auto"/>
          <w:sz w:val="24"/>
          <w:szCs w:val="24"/>
          <w:lang w:val="en-US" w:eastAsia="zh-CN"/>
        </w:rPr>
        <w:t xml:space="preserve">    </w:t>
      </w:r>
      <w:r>
        <w:rPr>
          <w:rFonts w:ascii="宋体" w:hAnsi="宋体" w:eastAsia="宋体" w:cs="宋体"/>
          <w:color w:val="000000"/>
          <w:kern w:val="0"/>
          <w:sz w:val="24"/>
          <w:szCs w:val="24"/>
          <w:lang w:val="en-US" w:eastAsia="zh-CN" w:bidi="ar"/>
        </w:rPr>
        <w:t>年</w:t>
      </w:r>
      <w:r>
        <w:rPr>
          <w:rFonts w:hint="eastAsia" w:ascii="宋体" w:hAnsi="宋体" w:eastAsia="宋体" w:cs="宋体"/>
          <w:color w:val="000000"/>
          <w:kern w:val="0"/>
          <w:sz w:val="24"/>
          <w:szCs w:val="24"/>
          <w:lang w:val="en-US" w:eastAsia="zh-CN" w:bidi="ar"/>
        </w:rPr>
        <w:t xml:space="preserve"> </w:t>
      </w:r>
      <w:r>
        <w:rPr>
          <w:rFonts w:ascii="宋体" w:hAnsi="宋体" w:eastAsia="宋体" w:cs="宋体"/>
          <w:color w:val="000000"/>
          <w:kern w:val="0"/>
          <w:sz w:val="24"/>
          <w:szCs w:val="24"/>
          <w:lang w:val="en-US" w:eastAsia="zh-CN" w:bidi="ar"/>
        </w:rPr>
        <w:t xml:space="preserve"> 月</w:t>
      </w:r>
      <w:r>
        <w:rPr>
          <w:rFonts w:hint="eastAsia" w:ascii="宋体" w:hAnsi="宋体" w:eastAsia="宋体" w:cs="宋体"/>
          <w:color w:val="000000"/>
          <w:kern w:val="0"/>
          <w:sz w:val="24"/>
          <w:szCs w:val="24"/>
          <w:lang w:val="en-US" w:eastAsia="zh-CN" w:bidi="ar"/>
        </w:rPr>
        <w:t xml:space="preserve"> </w:t>
      </w:r>
      <w:r>
        <w:rPr>
          <w:rFonts w:ascii="宋体" w:hAnsi="宋体" w:eastAsia="宋体" w:cs="宋体"/>
          <w:color w:val="000000"/>
          <w:kern w:val="0"/>
          <w:sz w:val="24"/>
          <w:szCs w:val="24"/>
          <w:lang w:val="en-US" w:eastAsia="zh-CN" w:bidi="ar"/>
        </w:rPr>
        <w:t xml:space="preserve"> 日</w:t>
      </w:r>
    </w:p>
    <w:p w14:paraId="6D70D929">
      <w:pPr>
        <w:pStyle w:val="12"/>
        <w:pageBreakBefore w:val="0"/>
        <w:topLinePunct w:val="0"/>
        <w:bidi w:val="0"/>
        <w:spacing w:line="500" w:lineRule="exact"/>
        <w:ind w:left="0" w:leftChars="0" w:right="0" w:rightChars="0" w:firstLine="480" w:firstLineChars="200"/>
        <w:rPr>
          <w:rFonts w:hint="eastAsia"/>
          <w:color w:val="auto"/>
          <w:sz w:val="24"/>
          <w:szCs w:val="24"/>
          <w:lang w:val="en-US"/>
        </w:rPr>
      </w:pPr>
    </w:p>
    <w:p w14:paraId="786775BC">
      <w:pPr>
        <w:pStyle w:val="12"/>
        <w:pageBreakBefore w:val="0"/>
        <w:topLinePunct w:val="0"/>
        <w:bidi w:val="0"/>
        <w:spacing w:line="500" w:lineRule="exact"/>
        <w:ind w:left="0" w:leftChars="0" w:right="0" w:rightChars="0" w:firstLine="480" w:firstLineChars="200"/>
        <w:rPr>
          <w:rFonts w:hint="eastAsia"/>
          <w:color w:val="auto"/>
          <w:sz w:val="24"/>
          <w:szCs w:val="24"/>
          <w:lang w:val="en-US"/>
        </w:rPr>
      </w:pPr>
    </w:p>
    <w:p w14:paraId="79401732">
      <w:pPr>
        <w:pStyle w:val="12"/>
        <w:pageBreakBefore w:val="0"/>
        <w:tabs>
          <w:tab w:val="left" w:pos="1625"/>
        </w:tabs>
        <w:topLinePunct w:val="0"/>
        <w:bidi w:val="0"/>
        <w:spacing w:line="500" w:lineRule="exact"/>
        <w:ind w:left="0" w:leftChars="0" w:right="0" w:rightChars="0" w:firstLine="480" w:firstLineChars="200"/>
        <w:rPr>
          <w:rFonts w:hint="eastAsia"/>
          <w:color w:val="auto"/>
          <w:sz w:val="24"/>
          <w:szCs w:val="24"/>
          <w:lang w:val="en-US" w:eastAsia="zh-CN"/>
        </w:rPr>
      </w:pPr>
      <w:r>
        <w:rPr>
          <w:rFonts w:hint="eastAsia"/>
          <w:color w:val="auto"/>
          <w:sz w:val="24"/>
          <w:szCs w:val="24"/>
          <w:lang w:val="en-US" w:eastAsia="zh-CN"/>
        </w:rPr>
        <w:tab/>
      </w:r>
    </w:p>
    <w:p w14:paraId="26CD5D0D">
      <w:pPr>
        <w:pStyle w:val="12"/>
        <w:pageBreakBefore w:val="0"/>
        <w:tabs>
          <w:tab w:val="left" w:pos="1625"/>
        </w:tabs>
        <w:topLinePunct w:val="0"/>
        <w:bidi w:val="0"/>
        <w:spacing w:line="500" w:lineRule="exact"/>
        <w:ind w:left="0" w:leftChars="0" w:right="0" w:rightChars="0" w:firstLine="480" w:firstLineChars="200"/>
        <w:rPr>
          <w:rFonts w:hint="eastAsia"/>
          <w:color w:val="auto"/>
          <w:sz w:val="24"/>
          <w:szCs w:val="24"/>
          <w:lang w:val="en-US" w:eastAsia="zh-CN"/>
        </w:rPr>
      </w:pPr>
    </w:p>
    <w:p w14:paraId="37501964">
      <w:pPr>
        <w:pStyle w:val="12"/>
        <w:pageBreakBefore w:val="0"/>
        <w:tabs>
          <w:tab w:val="left" w:pos="1625"/>
        </w:tabs>
        <w:topLinePunct w:val="0"/>
        <w:bidi w:val="0"/>
        <w:spacing w:line="500" w:lineRule="exact"/>
        <w:ind w:left="0" w:leftChars="0" w:right="0" w:rightChars="0" w:firstLine="480" w:firstLineChars="200"/>
        <w:rPr>
          <w:rFonts w:hint="eastAsia"/>
          <w:color w:val="auto"/>
          <w:sz w:val="24"/>
          <w:szCs w:val="24"/>
          <w:lang w:val="en-US" w:eastAsia="zh-CN"/>
        </w:rPr>
      </w:pPr>
    </w:p>
    <w:p w14:paraId="26C41229">
      <w:pPr>
        <w:pStyle w:val="12"/>
        <w:pageBreakBefore w:val="0"/>
        <w:tabs>
          <w:tab w:val="left" w:pos="1625"/>
        </w:tabs>
        <w:topLinePunct w:val="0"/>
        <w:bidi w:val="0"/>
        <w:spacing w:line="500" w:lineRule="exact"/>
        <w:ind w:left="0" w:leftChars="0" w:right="0" w:rightChars="0" w:firstLine="480" w:firstLineChars="200"/>
        <w:rPr>
          <w:rFonts w:hint="eastAsia"/>
          <w:color w:val="auto"/>
          <w:sz w:val="24"/>
          <w:szCs w:val="24"/>
          <w:lang w:val="en-US" w:eastAsia="zh-CN"/>
        </w:rPr>
      </w:pPr>
    </w:p>
    <w:p w14:paraId="475FE03B">
      <w:pPr>
        <w:pStyle w:val="12"/>
        <w:pageBreakBefore w:val="0"/>
        <w:topLinePunct w:val="0"/>
        <w:bidi w:val="0"/>
        <w:spacing w:line="500" w:lineRule="exact"/>
        <w:ind w:left="0" w:leftChars="0" w:right="0" w:rightChars="0" w:firstLine="480" w:firstLineChars="200"/>
        <w:rPr>
          <w:rFonts w:hint="eastAsia"/>
          <w:color w:val="auto"/>
          <w:sz w:val="24"/>
          <w:szCs w:val="24"/>
          <w:lang w:val="en-US"/>
        </w:rPr>
      </w:pPr>
    </w:p>
    <w:p w14:paraId="6FB32726">
      <w:pPr>
        <w:pageBreakBefore w:val="0"/>
        <w:topLinePunct w:val="0"/>
        <w:bidi w:val="0"/>
        <w:spacing w:line="500" w:lineRule="exact"/>
        <w:ind w:left="0" w:leftChars="0" w:right="0" w:rightChars="0" w:firstLine="440" w:firstLineChars="200"/>
        <w:jc w:val="both"/>
        <w:rPr>
          <w:color w:val="auto"/>
        </w:rPr>
        <w:sectPr>
          <w:headerReference r:id="rId20" w:type="default"/>
          <w:pgSz w:w="11910" w:h="16840"/>
          <w:pgMar w:top="1077" w:right="1083" w:bottom="1077" w:left="1083" w:header="680" w:footer="737" w:gutter="0"/>
          <w:pgNumType w:fmt="decimal"/>
          <w:cols w:space="720" w:num="1"/>
        </w:sectPr>
      </w:pPr>
    </w:p>
    <w:p w14:paraId="5424811F">
      <w:pPr>
        <w:pStyle w:val="4"/>
        <w:pageBreakBefore w:val="0"/>
        <w:tabs>
          <w:tab w:val="left" w:pos="1603"/>
        </w:tabs>
        <w:topLinePunct w:val="0"/>
        <w:bidi w:val="0"/>
        <w:spacing w:before="0" w:line="500" w:lineRule="exact"/>
        <w:ind w:left="0" w:leftChars="0" w:right="0" w:rightChars="0" w:firstLine="643" w:firstLineChars="200"/>
        <w:jc w:val="center"/>
        <w:rPr>
          <w:color w:val="auto"/>
        </w:rPr>
      </w:pPr>
      <w:r>
        <w:rPr>
          <w:rFonts w:hint="eastAsia"/>
          <w:color w:val="auto"/>
        </w:rPr>
        <w:t>本项目不接受联合体投标</w:t>
      </w:r>
    </w:p>
    <w:p w14:paraId="746CDAB9">
      <w:pPr>
        <w:pageBreakBefore w:val="0"/>
        <w:topLinePunct w:val="0"/>
        <w:autoSpaceDE/>
        <w:autoSpaceDN/>
        <w:bidi w:val="0"/>
        <w:spacing w:line="500" w:lineRule="exact"/>
        <w:ind w:left="0" w:leftChars="0" w:right="0" w:rightChars="0" w:firstLine="480" w:firstLineChars="200"/>
        <w:rPr>
          <w:b/>
          <w:color w:val="auto"/>
          <w:szCs w:val="21"/>
          <w:u w:val="single"/>
          <w:lang w:val="en-US"/>
        </w:rPr>
      </w:pPr>
      <w:r>
        <w:rPr>
          <w:rFonts w:hint="eastAsia"/>
          <w:color w:val="auto"/>
          <w:sz w:val="24"/>
        </w:rPr>
        <w:t>致：</w:t>
      </w:r>
      <w:r>
        <w:rPr>
          <w:rFonts w:hint="eastAsia"/>
          <w:color w:val="auto"/>
          <w:sz w:val="24"/>
          <w:u w:val="single"/>
        </w:rPr>
        <w:t xml:space="preserve">     （采购人）     </w:t>
      </w:r>
      <w:r>
        <w:rPr>
          <w:rFonts w:hint="eastAsia"/>
          <w:b/>
          <w:color w:val="auto"/>
          <w:szCs w:val="21"/>
          <w:u w:val="single"/>
          <w:lang w:val="en-US"/>
        </w:rPr>
        <w:t xml:space="preserve"> </w:t>
      </w:r>
    </w:p>
    <w:p w14:paraId="65830C3E">
      <w:pPr>
        <w:pageBreakBefore w:val="0"/>
        <w:topLinePunct w:val="0"/>
        <w:bidi w:val="0"/>
        <w:spacing w:line="500" w:lineRule="exact"/>
        <w:ind w:left="0" w:leftChars="0" w:right="0" w:rightChars="0" w:firstLine="480" w:firstLineChars="200"/>
        <w:rPr>
          <w:color w:val="000000"/>
          <w:sz w:val="24"/>
          <w:szCs w:val="24"/>
        </w:rPr>
      </w:pPr>
      <w:r>
        <w:rPr>
          <w:rFonts w:hint="eastAsia"/>
          <w:color w:val="auto"/>
          <w:sz w:val="24"/>
          <w:szCs w:val="24"/>
          <w:lang w:val="en-US"/>
        </w:rPr>
        <w:t>我方</w:t>
      </w:r>
      <w:r>
        <w:rPr>
          <w:rFonts w:hint="eastAsia"/>
          <w:color w:val="auto"/>
          <w:sz w:val="24"/>
          <w:szCs w:val="24"/>
          <w:u w:val="single"/>
          <w:lang w:val="en-US"/>
        </w:rPr>
        <w:t xml:space="preserve"> </w:t>
      </w:r>
      <w:r>
        <w:rPr>
          <w:rFonts w:hint="eastAsia"/>
          <w:color w:val="auto"/>
          <w:sz w:val="24"/>
          <w:szCs w:val="24"/>
          <w:u w:val="single"/>
          <w:lang w:val="en-US"/>
        </w:rPr>
        <w:tab/>
      </w:r>
      <w:r>
        <w:rPr>
          <w:rFonts w:hint="eastAsia"/>
          <w:color w:val="auto"/>
          <w:sz w:val="24"/>
          <w:szCs w:val="24"/>
          <w:u w:val="single"/>
          <w:lang w:val="en-US"/>
        </w:rPr>
        <w:t xml:space="preserve">  </w:t>
      </w:r>
      <w:r>
        <w:rPr>
          <w:rFonts w:hint="eastAsia"/>
          <w:color w:val="auto"/>
          <w:sz w:val="24"/>
          <w:szCs w:val="24"/>
          <w:lang w:val="en-US"/>
        </w:rPr>
        <w:t>（</w:t>
      </w:r>
      <w:r>
        <w:rPr>
          <w:rFonts w:hint="eastAsia"/>
          <w:color w:val="auto"/>
          <w:sz w:val="24"/>
          <w:szCs w:val="24"/>
          <w:lang w:val="en-US" w:eastAsia="zh-CN"/>
        </w:rPr>
        <w:t>供应商</w:t>
      </w:r>
      <w:r>
        <w:rPr>
          <w:rFonts w:hint="eastAsia"/>
          <w:color w:val="auto"/>
          <w:sz w:val="24"/>
          <w:szCs w:val="24"/>
          <w:lang w:val="en-US"/>
        </w:rPr>
        <w:t>名称），就参加</w:t>
      </w:r>
      <w:r>
        <w:rPr>
          <w:rFonts w:hint="eastAsia"/>
          <w:color w:val="auto"/>
          <w:sz w:val="24"/>
          <w:szCs w:val="24"/>
          <w:u w:val="single"/>
          <w:lang w:val="en-US"/>
        </w:rPr>
        <w:t xml:space="preserve"> </w:t>
      </w:r>
      <w:r>
        <w:rPr>
          <w:rFonts w:hint="eastAsia"/>
          <w:color w:val="auto"/>
          <w:sz w:val="24"/>
          <w:szCs w:val="24"/>
          <w:u w:val="single"/>
          <w:lang w:val="en-US"/>
        </w:rPr>
        <w:tab/>
      </w:r>
      <w:r>
        <w:rPr>
          <w:rFonts w:hint="eastAsia"/>
          <w:color w:val="auto"/>
          <w:sz w:val="24"/>
          <w:szCs w:val="24"/>
          <w:u w:val="single"/>
          <w:lang w:val="en-US"/>
        </w:rPr>
        <w:t xml:space="preserve"> </w:t>
      </w:r>
      <w:r>
        <w:rPr>
          <w:rFonts w:hint="eastAsia"/>
          <w:color w:val="auto"/>
          <w:sz w:val="24"/>
          <w:szCs w:val="24"/>
          <w:lang w:val="en-US"/>
        </w:rPr>
        <w:t>采购项目（采购项目编号</w:t>
      </w:r>
      <w:r>
        <w:rPr>
          <w:rFonts w:hint="eastAsia"/>
          <w:color w:val="auto"/>
          <w:sz w:val="24"/>
          <w:szCs w:val="24"/>
          <w:u w:val="single"/>
          <w:lang w:val="en-US"/>
        </w:rPr>
        <w:t xml:space="preserve">：   </w:t>
      </w:r>
      <w:r>
        <w:rPr>
          <w:rFonts w:hint="eastAsia"/>
          <w:color w:val="auto"/>
          <w:sz w:val="24"/>
          <w:szCs w:val="24"/>
          <w:lang w:val="en-US"/>
        </w:rPr>
        <w:t>）投标事宜，</w:t>
      </w:r>
      <w:r>
        <w:rPr>
          <w:rFonts w:ascii="宋体" w:hAnsi="宋体" w:eastAsia="宋体" w:cs="宋体"/>
          <w:color w:val="000000"/>
          <w:kern w:val="0"/>
          <w:sz w:val="24"/>
          <w:szCs w:val="24"/>
          <w:lang w:val="en-US" w:eastAsia="zh-CN" w:bidi="ar"/>
        </w:rPr>
        <w:t>不存在联合体投标情形，全部投标工作由我方独立完成，未与其他单位组成联合体共同投标。若承诺不实，自愿承担投标无效、取消中标资格等一切违约责任。</w:t>
      </w:r>
    </w:p>
    <w:p w14:paraId="6EC06B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p>
    <w:p w14:paraId="6E39C7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p>
    <w:p w14:paraId="3CE81E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p>
    <w:p w14:paraId="6FACCE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投标人名称、</w:t>
      </w:r>
      <w:r>
        <w:rPr>
          <w:rFonts w:ascii="宋体" w:hAnsi="宋体" w:eastAsia="宋体" w:cs="宋体"/>
          <w:color w:val="000000"/>
          <w:kern w:val="0"/>
          <w:sz w:val="24"/>
          <w:szCs w:val="24"/>
          <w:lang w:val="en-US" w:eastAsia="zh-CN" w:bidi="ar"/>
        </w:rPr>
        <w:t>盖章）：</w:t>
      </w:r>
      <w:r>
        <w:rPr>
          <w:rFonts w:hint="eastAsia" w:ascii="宋体" w:hAnsi="宋体" w:eastAsia="宋体" w:cs="宋体"/>
          <w:color w:val="000000"/>
          <w:kern w:val="0"/>
          <w:sz w:val="24"/>
          <w:szCs w:val="24"/>
          <w:u w:val="single"/>
          <w:lang w:val="en-US" w:eastAsia="zh-CN" w:bidi="ar"/>
        </w:rPr>
        <w:t xml:space="preserve">                    </w:t>
      </w:r>
      <w:r>
        <w:rPr>
          <w:rFonts w:ascii="宋体" w:hAnsi="宋体" w:eastAsia="宋体" w:cs="宋体"/>
          <w:color w:val="000000"/>
          <w:kern w:val="0"/>
          <w:sz w:val="24"/>
          <w:szCs w:val="24"/>
          <w:lang w:val="en-US" w:eastAsia="zh-CN" w:bidi="ar"/>
        </w:rPr>
        <w:t xml:space="preserve"> </w:t>
      </w:r>
    </w:p>
    <w:p w14:paraId="6A8F3C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p>
    <w:p w14:paraId="074FEF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u w:val="single"/>
          <w:lang w:val="en-US" w:eastAsia="zh-CN" w:bidi="ar"/>
        </w:rPr>
      </w:pPr>
      <w:r>
        <w:rPr>
          <w:rFonts w:ascii="宋体" w:hAnsi="宋体" w:eastAsia="宋体" w:cs="宋体"/>
          <w:color w:val="000000"/>
          <w:kern w:val="0"/>
          <w:sz w:val="24"/>
          <w:szCs w:val="24"/>
          <w:lang w:val="en-US" w:eastAsia="zh-CN" w:bidi="ar"/>
        </w:rPr>
        <w:t xml:space="preserve">法定代表人（签字或盖章）： </w:t>
      </w:r>
      <w:r>
        <w:rPr>
          <w:rFonts w:hint="eastAsia" w:ascii="宋体" w:hAnsi="宋体" w:eastAsia="宋体" w:cs="宋体"/>
          <w:color w:val="000000"/>
          <w:kern w:val="0"/>
          <w:sz w:val="24"/>
          <w:szCs w:val="24"/>
          <w:u w:val="single"/>
          <w:lang w:val="en-US" w:eastAsia="zh-CN" w:bidi="ar"/>
        </w:rPr>
        <w:t xml:space="preserve">                  </w:t>
      </w:r>
    </w:p>
    <w:p w14:paraId="738D9E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p>
    <w:p w14:paraId="3A348D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4"/>
          <w:szCs w:val="24"/>
        </w:rPr>
      </w:pPr>
      <w:r>
        <w:rPr>
          <w:rFonts w:ascii="宋体" w:hAnsi="宋体" w:eastAsia="宋体" w:cs="宋体"/>
          <w:color w:val="000000"/>
          <w:kern w:val="0"/>
          <w:sz w:val="24"/>
          <w:szCs w:val="24"/>
          <w:lang w:val="en-US" w:eastAsia="zh-CN" w:bidi="ar"/>
        </w:rPr>
        <w:t>日期：</w:t>
      </w:r>
      <w:r>
        <w:rPr>
          <w:rFonts w:hint="eastAsia" w:ascii="宋体" w:hAnsi="宋体" w:eastAsia="宋体" w:cs="宋体"/>
          <w:color w:val="000000"/>
          <w:kern w:val="0"/>
          <w:sz w:val="24"/>
          <w:szCs w:val="24"/>
          <w:lang w:val="en-US" w:eastAsia="zh-CN" w:bidi="ar"/>
        </w:rPr>
        <w:t xml:space="preserve">  </w:t>
      </w:r>
      <w:r>
        <w:rPr>
          <w:rFonts w:ascii="宋体" w:hAnsi="宋体" w:eastAsia="宋体" w:cs="宋体"/>
          <w:color w:val="000000"/>
          <w:kern w:val="0"/>
          <w:sz w:val="24"/>
          <w:szCs w:val="24"/>
          <w:lang w:val="en-US" w:eastAsia="zh-CN" w:bidi="ar"/>
        </w:rPr>
        <w:t xml:space="preserve"> 年</w:t>
      </w:r>
      <w:r>
        <w:rPr>
          <w:rFonts w:hint="eastAsia" w:ascii="宋体" w:hAnsi="宋体" w:eastAsia="宋体" w:cs="宋体"/>
          <w:color w:val="000000"/>
          <w:kern w:val="0"/>
          <w:sz w:val="24"/>
          <w:szCs w:val="24"/>
          <w:lang w:val="en-US" w:eastAsia="zh-CN" w:bidi="ar"/>
        </w:rPr>
        <w:t xml:space="preserve"> </w:t>
      </w:r>
      <w:r>
        <w:rPr>
          <w:rFonts w:ascii="宋体" w:hAnsi="宋体" w:eastAsia="宋体" w:cs="宋体"/>
          <w:color w:val="000000"/>
          <w:kern w:val="0"/>
          <w:sz w:val="24"/>
          <w:szCs w:val="24"/>
          <w:lang w:val="en-US" w:eastAsia="zh-CN" w:bidi="ar"/>
        </w:rPr>
        <w:t xml:space="preserve"> 月</w:t>
      </w:r>
      <w:r>
        <w:rPr>
          <w:rFonts w:hint="eastAsia" w:ascii="宋体" w:hAnsi="宋体" w:eastAsia="宋体" w:cs="宋体"/>
          <w:color w:val="000000"/>
          <w:kern w:val="0"/>
          <w:sz w:val="24"/>
          <w:szCs w:val="24"/>
          <w:lang w:val="en-US" w:eastAsia="zh-CN" w:bidi="ar"/>
        </w:rPr>
        <w:t xml:space="preserve"> </w:t>
      </w:r>
      <w:r>
        <w:rPr>
          <w:rFonts w:ascii="宋体" w:hAnsi="宋体" w:eastAsia="宋体" w:cs="宋体"/>
          <w:color w:val="000000"/>
          <w:kern w:val="0"/>
          <w:sz w:val="24"/>
          <w:szCs w:val="24"/>
          <w:lang w:val="en-US" w:eastAsia="zh-CN" w:bidi="ar"/>
        </w:rPr>
        <w:t xml:space="preserve"> 日</w:t>
      </w:r>
    </w:p>
    <w:p w14:paraId="16EBBB21">
      <w:pPr>
        <w:pStyle w:val="4"/>
        <w:pageBreakBefore w:val="0"/>
        <w:tabs>
          <w:tab w:val="left" w:pos="1603"/>
        </w:tabs>
        <w:topLinePunct w:val="0"/>
        <w:bidi w:val="0"/>
        <w:spacing w:before="0" w:line="500" w:lineRule="exact"/>
        <w:ind w:left="0" w:leftChars="0" w:right="0" w:rightChars="0" w:firstLine="643" w:firstLineChars="200"/>
        <w:jc w:val="center"/>
        <w:rPr>
          <w:color w:val="auto"/>
        </w:rPr>
      </w:pPr>
    </w:p>
    <w:p w14:paraId="72CAA0A4"/>
    <w:p w14:paraId="13EB3303">
      <w:pPr>
        <w:pStyle w:val="4"/>
        <w:pageBreakBefore w:val="0"/>
        <w:tabs>
          <w:tab w:val="left" w:pos="1603"/>
        </w:tabs>
        <w:topLinePunct w:val="0"/>
        <w:bidi w:val="0"/>
        <w:spacing w:before="0" w:line="500" w:lineRule="exact"/>
        <w:ind w:left="0" w:leftChars="0" w:right="0" w:rightChars="0" w:firstLine="643" w:firstLineChars="200"/>
        <w:jc w:val="center"/>
        <w:rPr>
          <w:color w:val="auto"/>
        </w:rPr>
      </w:pPr>
    </w:p>
    <w:p w14:paraId="3FCCBA5E">
      <w:pPr>
        <w:pStyle w:val="4"/>
        <w:pageBreakBefore w:val="0"/>
        <w:tabs>
          <w:tab w:val="left" w:pos="1603"/>
        </w:tabs>
        <w:topLinePunct w:val="0"/>
        <w:bidi w:val="0"/>
        <w:spacing w:before="0" w:line="500" w:lineRule="exact"/>
        <w:ind w:left="0" w:leftChars="0" w:right="0" w:rightChars="0" w:firstLine="643" w:firstLineChars="200"/>
        <w:jc w:val="center"/>
        <w:rPr>
          <w:color w:val="auto"/>
        </w:rPr>
      </w:pPr>
    </w:p>
    <w:p w14:paraId="50581235">
      <w:pPr>
        <w:pStyle w:val="4"/>
        <w:pageBreakBefore w:val="0"/>
        <w:tabs>
          <w:tab w:val="left" w:pos="1603"/>
        </w:tabs>
        <w:topLinePunct w:val="0"/>
        <w:bidi w:val="0"/>
        <w:spacing w:before="0" w:line="500" w:lineRule="exact"/>
        <w:ind w:left="0" w:leftChars="0" w:right="0" w:rightChars="0" w:firstLine="643" w:firstLineChars="200"/>
        <w:jc w:val="center"/>
        <w:rPr>
          <w:color w:val="auto"/>
        </w:rPr>
      </w:pPr>
    </w:p>
    <w:p w14:paraId="1DAA7FA0">
      <w:pPr>
        <w:pStyle w:val="4"/>
        <w:pageBreakBefore w:val="0"/>
        <w:tabs>
          <w:tab w:val="left" w:pos="1603"/>
        </w:tabs>
        <w:topLinePunct w:val="0"/>
        <w:bidi w:val="0"/>
        <w:spacing w:before="0" w:line="500" w:lineRule="exact"/>
        <w:ind w:left="0" w:leftChars="0" w:right="0" w:rightChars="0" w:firstLine="643" w:firstLineChars="200"/>
        <w:jc w:val="center"/>
        <w:rPr>
          <w:color w:val="auto"/>
        </w:rPr>
      </w:pPr>
    </w:p>
    <w:p w14:paraId="69911F2C">
      <w:pPr>
        <w:pStyle w:val="4"/>
        <w:pageBreakBefore w:val="0"/>
        <w:tabs>
          <w:tab w:val="left" w:pos="1603"/>
        </w:tabs>
        <w:topLinePunct w:val="0"/>
        <w:bidi w:val="0"/>
        <w:spacing w:before="0" w:line="500" w:lineRule="exact"/>
        <w:ind w:left="0" w:leftChars="0" w:right="0" w:rightChars="0" w:firstLine="643" w:firstLineChars="200"/>
        <w:jc w:val="center"/>
        <w:rPr>
          <w:color w:val="auto"/>
        </w:rPr>
      </w:pPr>
    </w:p>
    <w:p w14:paraId="1B403C59">
      <w:pPr>
        <w:pStyle w:val="4"/>
        <w:pageBreakBefore w:val="0"/>
        <w:tabs>
          <w:tab w:val="left" w:pos="1603"/>
        </w:tabs>
        <w:topLinePunct w:val="0"/>
        <w:bidi w:val="0"/>
        <w:spacing w:before="0" w:line="500" w:lineRule="exact"/>
        <w:ind w:left="0" w:leftChars="0" w:right="0" w:rightChars="0" w:firstLine="643" w:firstLineChars="200"/>
        <w:jc w:val="center"/>
        <w:rPr>
          <w:color w:val="auto"/>
        </w:rPr>
      </w:pPr>
    </w:p>
    <w:p w14:paraId="1CDA5583">
      <w:pPr>
        <w:pStyle w:val="4"/>
        <w:pageBreakBefore w:val="0"/>
        <w:tabs>
          <w:tab w:val="left" w:pos="1603"/>
        </w:tabs>
        <w:topLinePunct w:val="0"/>
        <w:bidi w:val="0"/>
        <w:spacing w:before="0" w:line="500" w:lineRule="exact"/>
        <w:ind w:left="0" w:leftChars="0" w:right="0" w:rightChars="0" w:firstLine="643" w:firstLineChars="200"/>
        <w:jc w:val="center"/>
        <w:rPr>
          <w:color w:val="auto"/>
        </w:rPr>
      </w:pPr>
    </w:p>
    <w:p w14:paraId="68D9EA19">
      <w:pPr>
        <w:pStyle w:val="4"/>
        <w:pageBreakBefore w:val="0"/>
        <w:tabs>
          <w:tab w:val="left" w:pos="1603"/>
        </w:tabs>
        <w:topLinePunct w:val="0"/>
        <w:bidi w:val="0"/>
        <w:spacing w:before="0" w:line="500" w:lineRule="exact"/>
        <w:ind w:left="0" w:leftChars="0" w:right="0" w:rightChars="0" w:firstLine="643" w:firstLineChars="200"/>
        <w:jc w:val="center"/>
        <w:rPr>
          <w:color w:val="auto"/>
        </w:rPr>
      </w:pPr>
    </w:p>
    <w:p w14:paraId="26EF6CDC">
      <w:pPr>
        <w:pStyle w:val="4"/>
        <w:pageBreakBefore w:val="0"/>
        <w:tabs>
          <w:tab w:val="left" w:pos="1603"/>
        </w:tabs>
        <w:topLinePunct w:val="0"/>
        <w:bidi w:val="0"/>
        <w:spacing w:before="0" w:line="500" w:lineRule="exact"/>
        <w:ind w:left="0" w:leftChars="0" w:right="0" w:rightChars="0" w:firstLine="643" w:firstLineChars="200"/>
        <w:jc w:val="center"/>
        <w:rPr>
          <w:color w:val="auto"/>
        </w:rPr>
      </w:pPr>
    </w:p>
    <w:p w14:paraId="601338CA">
      <w:pPr>
        <w:pStyle w:val="4"/>
        <w:pageBreakBefore w:val="0"/>
        <w:tabs>
          <w:tab w:val="left" w:pos="1603"/>
        </w:tabs>
        <w:topLinePunct w:val="0"/>
        <w:bidi w:val="0"/>
        <w:spacing w:before="0" w:line="500" w:lineRule="exact"/>
        <w:ind w:left="0" w:leftChars="0" w:right="0" w:rightChars="0" w:firstLine="643" w:firstLineChars="200"/>
        <w:jc w:val="center"/>
        <w:rPr>
          <w:color w:val="auto"/>
        </w:rPr>
      </w:pPr>
    </w:p>
    <w:p w14:paraId="13ECB4E9">
      <w:pPr>
        <w:pStyle w:val="4"/>
        <w:pageBreakBefore w:val="0"/>
        <w:tabs>
          <w:tab w:val="left" w:pos="1603"/>
        </w:tabs>
        <w:topLinePunct w:val="0"/>
        <w:bidi w:val="0"/>
        <w:spacing w:before="0" w:line="500" w:lineRule="exact"/>
        <w:ind w:left="0" w:leftChars="0" w:right="0" w:rightChars="0" w:firstLine="643" w:firstLineChars="200"/>
        <w:jc w:val="center"/>
        <w:rPr>
          <w:color w:val="auto"/>
        </w:rPr>
      </w:pPr>
    </w:p>
    <w:p w14:paraId="1DDF3101">
      <w:pPr>
        <w:pStyle w:val="4"/>
        <w:pageBreakBefore w:val="0"/>
        <w:tabs>
          <w:tab w:val="left" w:pos="1603"/>
        </w:tabs>
        <w:topLinePunct w:val="0"/>
        <w:bidi w:val="0"/>
        <w:spacing w:before="0" w:line="500" w:lineRule="exact"/>
        <w:ind w:left="0" w:leftChars="0" w:right="0" w:rightChars="0" w:firstLine="643" w:firstLineChars="200"/>
        <w:jc w:val="center"/>
        <w:rPr>
          <w:color w:val="auto"/>
        </w:rPr>
      </w:pPr>
    </w:p>
    <w:p w14:paraId="0D391733">
      <w:pPr>
        <w:pStyle w:val="4"/>
        <w:pageBreakBefore w:val="0"/>
        <w:tabs>
          <w:tab w:val="left" w:pos="1603"/>
        </w:tabs>
        <w:topLinePunct w:val="0"/>
        <w:bidi w:val="0"/>
        <w:spacing w:before="0" w:line="500" w:lineRule="exact"/>
        <w:ind w:left="0" w:leftChars="0" w:right="0" w:rightChars="0" w:firstLine="643" w:firstLineChars="200"/>
        <w:jc w:val="center"/>
        <w:rPr>
          <w:color w:val="auto"/>
        </w:rPr>
      </w:pPr>
    </w:p>
    <w:p w14:paraId="2D61A642">
      <w:pPr>
        <w:pStyle w:val="4"/>
        <w:pageBreakBefore w:val="0"/>
        <w:tabs>
          <w:tab w:val="left" w:pos="1603"/>
        </w:tabs>
        <w:topLinePunct w:val="0"/>
        <w:bidi w:val="0"/>
        <w:spacing w:before="0" w:line="500" w:lineRule="exact"/>
        <w:ind w:left="0" w:leftChars="0" w:right="0" w:rightChars="0" w:firstLine="643" w:firstLineChars="200"/>
        <w:jc w:val="center"/>
        <w:rPr>
          <w:color w:val="auto"/>
        </w:rPr>
      </w:pPr>
    </w:p>
    <w:p w14:paraId="12F2BCF1">
      <w:pPr>
        <w:pStyle w:val="4"/>
        <w:pageBreakBefore w:val="0"/>
        <w:tabs>
          <w:tab w:val="left" w:pos="1603"/>
        </w:tabs>
        <w:topLinePunct w:val="0"/>
        <w:bidi w:val="0"/>
        <w:spacing w:before="0" w:line="500" w:lineRule="exact"/>
        <w:ind w:left="0" w:leftChars="0" w:right="0" w:rightChars="0" w:firstLine="643" w:firstLineChars="200"/>
        <w:jc w:val="center"/>
        <w:rPr>
          <w:color w:val="auto"/>
        </w:rPr>
      </w:pPr>
    </w:p>
    <w:p w14:paraId="6AEDB16A">
      <w:pPr>
        <w:pStyle w:val="4"/>
        <w:pageBreakBefore w:val="0"/>
        <w:tabs>
          <w:tab w:val="left" w:pos="1603"/>
        </w:tabs>
        <w:topLinePunct w:val="0"/>
        <w:bidi w:val="0"/>
        <w:spacing w:before="0" w:line="500" w:lineRule="exact"/>
        <w:ind w:right="0" w:rightChars="0"/>
        <w:jc w:val="both"/>
        <w:rPr>
          <w:color w:val="auto"/>
        </w:rPr>
      </w:pPr>
    </w:p>
    <w:p w14:paraId="4782B788">
      <w:pPr>
        <w:pStyle w:val="4"/>
        <w:pageBreakBefore w:val="0"/>
        <w:tabs>
          <w:tab w:val="left" w:pos="1603"/>
        </w:tabs>
        <w:topLinePunct w:val="0"/>
        <w:bidi w:val="0"/>
        <w:spacing w:before="0" w:line="500" w:lineRule="exact"/>
        <w:ind w:left="0" w:leftChars="0" w:right="0" w:rightChars="0" w:firstLine="643" w:firstLineChars="200"/>
        <w:jc w:val="center"/>
        <w:rPr>
          <w:color w:val="auto"/>
        </w:rPr>
      </w:pPr>
      <w:r>
        <w:rPr>
          <w:color w:val="auto"/>
        </w:rPr>
        <w:t>第五部分</w:t>
      </w:r>
      <w:r>
        <w:rPr>
          <w:color w:val="auto"/>
        </w:rPr>
        <w:tab/>
      </w:r>
      <w:r>
        <w:rPr>
          <w:rFonts w:hint="eastAsia"/>
          <w:color w:val="auto"/>
          <w:lang w:eastAsia="zh-CN"/>
        </w:rPr>
        <w:t>供应商</w:t>
      </w:r>
      <w:r>
        <w:rPr>
          <w:color w:val="auto"/>
        </w:rPr>
        <w:t>承诺书</w:t>
      </w:r>
    </w:p>
    <w:p w14:paraId="7B6157D9">
      <w:pPr>
        <w:pStyle w:val="5"/>
        <w:pageBreakBefore w:val="0"/>
        <w:topLinePunct w:val="0"/>
        <w:bidi w:val="0"/>
        <w:spacing w:line="500" w:lineRule="exact"/>
        <w:ind w:left="0" w:leftChars="0" w:right="0" w:rightChars="0" w:firstLine="562" w:firstLineChars="200"/>
        <w:rPr>
          <w:color w:val="auto"/>
        </w:rPr>
      </w:pPr>
      <w:r>
        <w:rPr>
          <w:bCs w:val="0"/>
          <w:color w:val="auto"/>
          <w:lang w:val="en-US"/>
        </w:rPr>
        <w:t>采购</w:t>
      </w:r>
      <w:r>
        <w:rPr>
          <w:rFonts w:hint="eastAsia"/>
          <w:bCs w:val="0"/>
          <w:color w:val="auto"/>
          <w:lang w:val="en-US" w:eastAsia="zh-CN"/>
        </w:rPr>
        <w:t>供应商</w:t>
      </w:r>
      <w:r>
        <w:rPr>
          <w:bCs w:val="0"/>
          <w:color w:val="auto"/>
          <w:lang w:val="en-US"/>
        </w:rPr>
        <w:t>拒绝政府采购领域商业贿赂承诺书</w:t>
      </w:r>
    </w:p>
    <w:p w14:paraId="2B44ECD9">
      <w:pPr>
        <w:pStyle w:val="12"/>
        <w:pageBreakBefore w:val="0"/>
        <w:topLinePunct w:val="0"/>
        <w:bidi w:val="0"/>
        <w:spacing w:line="500" w:lineRule="exact"/>
        <w:ind w:left="0" w:leftChars="0" w:right="0" w:rightChars="0" w:firstLine="783" w:firstLineChars="200"/>
        <w:rPr>
          <w:b/>
          <w:color w:val="auto"/>
          <w:sz w:val="39"/>
        </w:rPr>
      </w:pPr>
    </w:p>
    <w:p w14:paraId="5D194381">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为响应党中央、国务院关于治理采购领域商业贿赂行为的号召，我公司再次承诺：</w:t>
      </w:r>
    </w:p>
    <w:p w14:paraId="4479AC3A">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1</w:t>
      </w:r>
      <w:r>
        <w:rPr>
          <w:rFonts w:hint="eastAsia"/>
          <w:color w:val="auto"/>
          <w:sz w:val="24"/>
          <w:szCs w:val="24"/>
          <w:lang w:val="en-US" w:eastAsia="zh-CN"/>
        </w:rPr>
        <w:t>.</w:t>
      </w:r>
      <w:r>
        <w:rPr>
          <w:rFonts w:hint="eastAsia"/>
          <w:color w:val="auto"/>
          <w:sz w:val="24"/>
          <w:szCs w:val="24"/>
          <w:lang w:val="en-US"/>
        </w:rPr>
        <w:t>在参与采购活动中遵纪守法、诚信经营、公平竞标。</w:t>
      </w:r>
    </w:p>
    <w:p w14:paraId="7908E670">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2</w:t>
      </w:r>
      <w:r>
        <w:rPr>
          <w:rFonts w:hint="eastAsia"/>
          <w:color w:val="auto"/>
          <w:sz w:val="24"/>
          <w:szCs w:val="24"/>
          <w:lang w:val="en-US" w:eastAsia="zh-CN"/>
        </w:rPr>
        <w:t>.</w:t>
      </w:r>
      <w:r>
        <w:rPr>
          <w:rFonts w:hint="eastAsia"/>
          <w:color w:val="auto"/>
          <w:sz w:val="24"/>
          <w:szCs w:val="24"/>
          <w:lang w:val="en-US"/>
        </w:rPr>
        <w:t>不向采购人、采购代理机构和采购评审专家进行任何形式的商业贿赂以谋取交易机会。</w:t>
      </w:r>
    </w:p>
    <w:p w14:paraId="32FD65BF">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3</w:t>
      </w:r>
      <w:r>
        <w:rPr>
          <w:rFonts w:hint="eastAsia"/>
          <w:color w:val="auto"/>
          <w:sz w:val="24"/>
          <w:szCs w:val="24"/>
          <w:lang w:val="en-US" w:eastAsia="zh-CN"/>
        </w:rPr>
        <w:t>.</w:t>
      </w:r>
      <w:r>
        <w:rPr>
          <w:rFonts w:hint="eastAsia"/>
          <w:color w:val="auto"/>
          <w:sz w:val="24"/>
          <w:szCs w:val="24"/>
          <w:lang w:val="en-US"/>
        </w:rPr>
        <w:t>不向采购代理机构和采购人提供虚假资质文件或采用虚假应标方式参与采购市场竞争并谋取中标、成交。</w:t>
      </w:r>
    </w:p>
    <w:p w14:paraId="217B6A12">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4</w:t>
      </w:r>
      <w:r>
        <w:rPr>
          <w:rFonts w:hint="eastAsia"/>
          <w:color w:val="auto"/>
          <w:sz w:val="24"/>
          <w:szCs w:val="24"/>
          <w:lang w:val="en-US" w:eastAsia="zh-CN"/>
        </w:rPr>
        <w:t>.</w:t>
      </w:r>
      <w:r>
        <w:rPr>
          <w:rFonts w:hint="eastAsia"/>
          <w:color w:val="auto"/>
          <w:sz w:val="24"/>
          <w:szCs w:val="24"/>
          <w:lang w:val="en-US"/>
        </w:rPr>
        <w:t>不采取“围标、陪标”等商业欺诈手段获取采购订单。</w:t>
      </w:r>
    </w:p>
    <w:p w14:paraId="54DCE189">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5</w:t>
      </w:r>
      <w:r>
        <w:rPr>
          <w:rFonts w:hint="eastAsia"/>
          <w:color w:val="auto"/>
          <w:sz w:val="24"/>
          <w:szCs w:val="24"/>
          <w:lang w:val="en-US" w:eastAsia="zh-CN"/>
        </w:rPr>
        <w:t>.</w:t>
      </w:r>
      <w:r>
        <w:rPr>
          <w:rFonts w:hint="eastAsia"/>
          <w:color w:val="auto"/>
          <w:sz w:val="24"/>
          <w:szCs w:val="24"/>
          <w:lang w:val="en-US"/>
        </w:rPr>
        <w:t>不采取不正当手段诋毁、排挤其他</w:t>
      </w:r>
      <w:r>
        <w:rPr>
          <w:rFonts w:hint="eastAsia"/>
          <w:color w:val="auto"/>
          <w:sz w:val="24"/>
          <w:szCs w:val="24"/>
          <w:lang w:val="en-US" w:eastAsia="zh-CN"/>
        </w:rPr>
        <w:t>供应商</w:t>
      </w:r>
      <w:r>
        <w:rPr>
          <w:rFonts w:hint="eastAsia"/>
          <w:color w:val="auto"/>
          <w:sz w:val="24"/>
          <w:szCs w:val="24"/>
          <w:lang w:val="en-US"/>
        </w:rPr>
        <w:t>。</w:t>
      </w:r>
    </w:p>
    <w:p w14:paraId="7851356A">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6</w:t>
      </w:r>
      <w:r>
        <w:rPr>
          <w:rFonts w:hint="eastAsia"/>
          <w:color w:val="auto"/>
          <w:sz w:val="24"/>
          <w:szCs w:val="24"/>
          <w:lang w:val="en-US" w:eastAsia="zh-CN"/>
        </w:rPr>
        <w:t>.</w:t>
      </w:r>
      <w:r>
        <w:rPr>
          <w:rFonts w:hint="eastAsia"/>
          <w:color w:val="auto"/>
          <w:sz w:val="24"/>
          <w:szCs w:val="24"/>
          <w:lang w:val="en-US"/>
        </w:rPr>
        <w:t>不在提供商品和服务时“偷梁换柱、以次充好”损害采购人的合法权益。</w:t>
      </w:r>
    </w:p>
    <w:p w14:paraId="37740388">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7</w:t>
      </w:r>
      <w:r>
        <w:rPr>
          <w:rFonts w:hint="eastAsia"/>
          <w:color w:val="auto"/>
          <w:sz w:val="24"/>
          <w:szCs w:val="24"/>
          <w:lang w:val="en-US" w:eastAsia="zh-CN"/>
        </w:rPr>
        <w:t>.</w:t>
      </w:r>
      <w:r>
        <w:rPr>
          <w:rFonts w:hint="eastAsia"/>
          <w:color w:val="auto"/>
          <w:sz w:val="24"/>
          <w:szCs w:val="24"/>
          <w:lang w:val="en-US"/>
        </w:rPr>
        <w:t>不与采购人、采购代理机构、采购评审专家或其他</w:t>
      </w:r>
      <w:r>
        <w:rPr>
          <w:rFonts w:hint="eastAsia"/>
          <w:color w:val="auto"/>
          <w:sz w:val="24"/>
          <w:szCs w:val="24"/>
          <w:lang w:val="en-US" w:eastAsia="zh-CN"/>
        </w:rPr>
        <w:t>供应商</w:t>
      </w:r>
      <w:r>
        <w:rPr>
          <w:rFonts w:hint="eastAsia"/>
          <w:color w:val="auto"/>
          <w:sz w:val="24"/>
          <w:szCs w:val="24"/>
          <w:lang w:val="en-US"/>
        </w:rPr>
        <w:t>恶意串通，进行质疑和投诉，维护采购市场秩序。</w:t>
      </w:r>
    </w:p>
    <w:p w14:paraId="5FAF400A">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8</w:t>
      </w:r>
      <w:r>
        <w:rPr>
          <w:rFonts w:hint="eastAsia"/>
          <w:color w:val="auto"/>
          <w:sz w:val="24"/>
          <w:szCs w:val="24"/>
          <w:lang w:val="en-US" w:eastAsia="zh-CN"/>
        </w:rPr>
        <w:t>.</w:t>
      </w:r>
      <w:r>
        <w:rPr>
          <w:rFonts w:hint="eastAsia"/>
          <w:color w:val="auto"/>
          <w:sz w:val="24"/>
          <w:szCs w:val="24"/>
          <w:lang w:val="en-US"/>
        </w:rPr>
        <w:t>尊重和接受采购监督管理部门的监督和采购代理机构招标采购要求，承担因违约行为给采购人造成的损失。</w:t>
      </w:r>
    </w:p>
    <w:p w14:paraId="2BB06E42">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9</w:t>
      </w:r>
      <w:r>
        <w:rPr>
          <w:rFonts w:hint="eastAsia"/>
          <w:color w:val="auto"/>
          <w:sz w:val="24"/>
          <w:szCs w:val="24"/>
          <w:lang w:val="en-US" w:eastAsia="zh-CN"/>
        </w:rPr>
        <w:t>.</w:t>
      </w:r>
      <w:r>
        <w:rPr>
          <w:rFonts w:hint="eastAsia"/>
          <w:color w:val="auto"/>
          <w:sz w:val="24"/>
          <w:szCs w:val="24"/>
          <w:lang w:val="en-US"/>
        </w:rPr>
        <w:t>不发生其他有悖于政府采购公开、公平、公正和诚信原则的行为。</w:t>
      </w:r>
    </w:p>
    <w:p w14:paraId="769E777A">
      <w:pPr>
        <w:pageBreakBefore w:val="0"/>
        <w:topLinePunct w:val="0"/>
        <w:bidi w:val="0"/>
        <w:spacing w:line="500" w:lineRule="exact"/>
        <w:ind w:left="0" w:leftChars="0" w:right="0" w:rightChars="0" w:firstLine="480" w:firstLineChars="200"/>
        <w:rPr>
          <w:color w:val="auto"/>
          <w:sz w:val="24"/>
          <w:szCs w:val="24"/>
          <w:lang w:val="en-US"/>
        </w:rPr>
      </w:pPr>
    </w:p>
    <w:p w14:paraId="4509D360">
      <w:pPr>
        <w:pageBreakBefore w:val="0"/>
        <w:topLinePunct w:val="0"/>
        <w:bidi w:val="0"/>
        <w:spacing w:line="500" w:lineRule="exact"/>
        <w:ind w:left="0" w:leftChars="0" w:right="0" w:rightChars="0" w:firstLine="480" w:firstLineChars="200"/>
        <w:rPr>
          <w:color w:val="auto"/>
          <w:sz w:val="24"/>
          <w:szCs w:val="24"/>
          <w:lang w:val="en-US"/>
        </w:rPr>
      </w:pPr>
    </w:p>
    <w:p w14:paraId="21002FAC">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 xml:space="preserve">承诺单位：（盖章）                    </w:t>
      </w:r>
      <w:r>
        <w:rPr>
          <w:rFonts w:hint="eastAsia"/>
          <w:color w:val="auto"/>
          <w:sz w:val="24"/>
          <w:szCs w:val="24"/>
          <w:lang w:val="en-US"/>
        </w:rPr>
        <w:tab/>
      </w:r>
    </w:p>
    <w:p w14:paraId="2828F940">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全权代表：（签字）</w:t>
      </w:r>
    </w:p>
    <w:p w14:paraId="7FF8C46B">
      <w:pPr>
        <w:pageBreakBefore w:val="0"/>
        <w:topLinePunct w:val="0"/>
        <w:bidi w:val="0"/>
        <w:spacing w:line="500" w:lineRule="exact"/>
        <w:ind w:left="0" w:leftChars="0" w:right="0" w:rightChars="0" w:firstLine="480" w:firstLineChars="200"/>
        <w:rPr>
          <w:rFonts w:hint="eastAsia"/>
          <w:color w:val="auto"/>
          <w:sz w:val="24"/>
          <w:szCs w:val="24"/>
          <w:lang w:val="en-US"/>
        </w:rPr>
      </w:pPr>
      <w:r>
        <w:rPr>
          <w:rFonts w:hint="eastAsia"/>
          <w:color w:val="auto"/>
          <w:sz w:val="24"/>
          <w:szCs w:val="24"/>
          <w:lang w:val="en-US"/>
        </w:rPr>
        <w:t xml:space="preserve">地址：                                </w:t>
      </w:r>
      <w:r>
        <w:rPr>
          <w:rFonts w:hint="eastAsia"/>
          <w:color w:val="auto"/>
          <w:sz w:val="24"/>
          <w:szCs w:val="24"/>
          <w:lang w:val="en-US"/>
        </w:rPr>
        <w:tab/>
      </w:r>
    </w:p>
    <w:p w14:paraId="604713A9">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邮编：</w:t>
      </w:r>
    </w:p>
    <w:p w14:paraId="21B434DC">
      <w:pPr>
        <w:pageBreakBefore w:val="0"/>
        <w:topLinePunct w:val="0"/>
        <w:bidi w:val="0"/>
        <w:spacing w:line="500" w:lineRule="exact"/>
        <w:ind w:left="0" w:leftChars="0" w:right="0" w:rightChars="0" w:firstLine="480" w:firstLineChars="200"/>
        <w:rPr>
          <w:color w:val="auto"/>
          <w:sz w:val="24"/>
          <w:szCs w:val="24"/>
          <w:lang w:val="en-US"/>
        </w:rPr>
      </w:pPr>
      <w:r>
        <w:rPr>
          <w:rFonts w:hint="eastAsia"/>
          <w:color w:val="auto"/>
          <w:sz w:val="24"/>
          <w:szCs w:val="24"/>
          <w:lang w:val="en-US"/>
        </w:rPr>
        <w:t>电话：</w:t>
      </w:r>
    </w:p>
    <w:p w14:paraId="39241B85">
      <w:pPr>
        <w:pStyle w:val="12"/>
        <w:pageBreakBefore w:val="0"/>
        <w:topLinePunct w:val="0"/>
        <w:bidi w:val="0"/>
        <w:spacing w:line="500" w:lineRule="exact"/>
        <w:ind w:left="0" w:leftChars="0" w:right="0" w:rightChars="0" w:firstLine="480" w:firstLineChars="200"/>
        <w:rPr>
          <w:color w:val="auto"/>
        </w:rPr>
      </w:pPr>
    </w:p>
    <w:p w14:paraId="06092370">
      <w:pPr>
        <w:pStyle w:val="12"/>
        <w:pageBreakBefore w:val="0"/>
        <w:topLinePunct w:val="0"/>
        <w:bidi w:val="0"/>
        <w:spacing w:line="500" w:lineRule="exact"/>
        <w:ind w:left="0" w:leftChars="0" w:right="0" w:rightChars="0" w:firstLine="520" w:firstLineChars="200"/>
        <w:rPr>
          <w:color w:val="auto"/>
          <w:sz w:val="26"/>
        </w:rPr>
      </w:pPr>
    </w:p>
    <w:p w14:paraId="51F67C95">
      <w:pPr>
        <w:pStyle w:val="12"/>
        <w:pageBreakBefore w:val="0"/>
        <w:tabs>
          <w:tab w:val="left" w:pos="719"/>
          <w:tab w:val="left" w:pos="1439"/>
        </w:tabs>
        <w:topLinePunct w:val="0"/>
        <w:bidi w:val="0"/>
        <w:spacing w:line="500" w:lineRule="exact"/>
        <w:ind w:left="0" w:leftChars="0" w:right="0" w:rightChars="0" w:firstLine="480" w:firstLineChars="200"/>
        <w:jc w:val="center"/>
        <w:rPr>
          <w:color w:val="auto"/>
        </w:rPr>
      </w:pPr>
      <w:r>
        <w:rPr>
          <w:rFonts w:hint="eastAsia"/>
          <w:color w:val="auto"/>
          <w:lang w:val="en-US"/>
        </w:rPr>
        <w:t xml:space="preserve">                               </w:t>
      </w:r>
      <w:r>
        <w:rPr>
          <w:color w:val="auto"/>
        </w:rPr>
        <w:t>年</w:t>
      </w:r>
      <w:r>
        <w:rPr>
          <w:color w:val="auto"/>
        </w:rPr>
        <w:tab/>
      </w:r>
      <w:r>
        <w:rPr>
          <w:color w:val="auto"/>
        </w:rPr>
        <w:t>月</w:t>
      </w:r>
      <w:r>
        <w:rPr>
          <w:color w:val="auto"/>
        </w:rPr>
        <w:tab/>
      </w:r>
      <w:r>
        <w:rPr>
          <w:color w:val="auto"/>
        </w:rPr>
        <w:t>日</w:t>
      </w:r>
    </w:p>
    <w:p w14:paraId="05185491">
      <w:pPr>
        <w:pageBreakBefore w:val="0"/>
        <w:topLinePunct w:val="0"/>
        <w:bidi w:val="0"/>
        <w:spacing w:line="500" w:lineRule="exact"/>
        <w:ind w:left="0" w:leftChars="0" w:right="0" w:rightChars="0" w:firstLine="440" w:firstLineChars="200"/>
        <w:jc w:val="right"/>
        <w:rPr>
          <w:color w:val="auto"/>
        </w:rPr>
        <w:sectPr>
          <w:pgSz w:w="11910" w:h="16840"/>
          <w:pgMar w:top="1360" w:right="660" w:bottom="1200" w:left="1340" w:header="872" w:footer="1005" w:gutter="0"/>
          <w:pgNumType w:fmt="decimal"/>
          <w:cols w:space="720" w:num="1"/>
        </w:sectPr>
      </w:pPr>
    </w:p>
    <w:p w14:paraId="68631466">
      <w:pPr>
        <w:pStyle w:val="4"/>
        <w:pageBreakBefore w:val="0"/>
        <w:tabs>
          <w:tab w:val="left" w:pos="1605"/>
        </w:tabs>
        <w:topLinePunct w:val="0"/>
        <w:bidi w:val="0"/>
        <w:spacing w:before="0" w:line="500" w:lineRule="exact"/>
        <w:ind w:left="0" w:leftChars="0" w:right="0" w:rightChars="0" w:firstLine="3213" w:firstLineChars="1000"/>
        <w:jc w:val="both"/>
        <w:rPr>
          <w:rFonts w:hint="eastAsia" w:ascii="Arial" w:hAnsi="Arial" w:cs="Arial"/>
          <w:b/>
          <w:bCs/>
          <w:color w:val="auto"/>
          <w:sz w:val="28"/>
          <w:szCs w:val="28"/>
          <w:lang w:val="en-US" w:eastAsia="zh-CN" w:bidi="ar"/>
        </w:rPr>
      </w:pPr>
      <w:r>
        <w:rPr>
          <w:color w:val="auto"/>
        </w:rPr>
        <w:t>第六部分</w:t>
      </w:r>
      <w:r>
        <w:rPr>
          <w:color w:val="auto"/>
        </w:rPr>
        <w:tab/>
      </w:r>
      <w:r>
        <w:rPr>
          <w:color w:val="auto"/>
          <w:w w:val="95"/>
        </w:rPr>
        <w:t>其他</w:t>
      </w:r>
    </w:p>
    <w:p w14:paraId="50C6F543">
      <w:pPr>
        <w:pageBreakBefore w:val="0"/>
        <w:widowControl/>
        <w:wordWrap w:val="0"/>
        <w:topLinePunct w:val="0"/>
        <w:bidi w:val="0"/>
        <w:spacing w:line="500" w:lineRule="exact"/>
        <w:ind w:right="0" w:rightChars="0" w:firstLine="3092" w:firstLineChars="1100"/>
        <w:jc w:val="both"/>
        <w:rPr>
          <w:rFonts w:hint="eastAsia" w:ascii="Arial" w:hAnsi="Arial" w:cs="Arial"/>
          <w:b/>
          <w:bCs/>
          <w:color w:val="auto"/>
          <w:sz w:val="28"/>
          <w:szCs w:val="28"/>
          <w:lang w:bidi="ar"/>
        </w:rPr>
      </w:pPr>
      <w:r>
        <w:rPr>
          <w:rFonts w:hint="eastAsia" w:ascii="Arial" w:hAnsi="Arial" w:cs="Arial"/>
          <w:b/>
          <w:bCs/>
          <w:color w:val="auto"/>
          <w:sz w:val="28"/>
          <w:szCs w:val="28"/>
          <w:lang w:val="en-US" w:eastAsia="zh-CN" w:bidi="ar"/>
        </w:rPr>
        <w:t xml:space="preserve">6.1  </w:t>
      </w:r>
      <w:r>
        <w:rPr>
          <w:rFonts w:hint="eastAsia" w:ascii="Arial" w:hAnsi="Arial" w:cs="Arial"/>
          <w:b/>
          <w:bCs/>
          <w:color w:val="auto"/>
          <w:sz w:val="28"/>
          <w:szCs w:val="28"/>
          <w:lang w:bidi="ar"/>
        </w:rPr>
        <w:t>中小企业声明函</w:t>
      </w:r>
    </w:p>
    <w:p w14:paraId="0296FFB0">
      <w:pPr>
        <w:pageBreakBefore w:val="0"/>
        <w:widowControl/>
        <w:wordWrap w:val="0"/>
        <w:topLinePunct w:val="0"/>
        <w:bidi w:val="0"/>
        <w:spacing w:line="500" w:lineRule="exact"/>
        <w:ind w:right="0" w:rightChars="0"/>
        <w:jc w:val="both"/>
        <w:rPr>
          <w:rFonts w:ascii="宋体" w:hAnsi="宋体" w:eastAsia="宋体" w:cs="宋体"/>
          <w:b/>
          <w:bCs/>
          <w:color w:val="auto"/>
          <w:spacing w:val="2"/>
          <w:sz w:val="24"/>
          <w:szCs w:val="24"/>
        </w:rPr>
      </w:pPr>
      <w:r>
        <w:rPr>
          <w:rFonts w:hint="eastAsia" w:ascii="Arial" w:hAnsi="Arial" w:cs="Arial"/>
          <w:b/>
          <w:bCs/>
          <w:color w:val="auto"/>
          <w:sz w:val="24"/>
          <w:szCs w:val="24"/>
          <w:lang w:bidi="ar"/>
        </w:rPr>
        <w:t>符合《政府采购促进中小企业发展管理办法》、《关于政府采购支持监狱企业发展有关问题的通知》和《三部门联合发布关于促进残疾人就业政府采购政策的通知》价格扣减条件的投标人须提交:未提供或未按给定格式提供声明</w:t>
      </w:r>
      <w:r>
        <w:rPr>
          <w:rFonts w:hint="eastAsia" w:ascii="Arial" w:hAnsi="Arial" w:cs="Arial"/>
          <w:b/>
          <w:bCs/>
          <w:color w:val="auto"/>
          <w:sz w:val="24"/>
          <w:szCs w:val="24"/>
          <w:lang w:val="en-US" w:eastAsia="zh-CN" w:bidi="ar"/>
        </w:rPr>
        <w:t>函</w:t>
      </w:r>
      <w:r>
        <w:rPr>
          <w:rFonts w:hint="eastAsia" w:ascii="Arial" w:hAnsi="Arial" w:cs="Arial"/>
          <w:b/>
          <w:bCs/>
          <w:color w:val="auto"/>
          <w:sz w:val="24"/>
          <w:szCs w:val="24"/>
          <w:lang w:bidi="ar"/>
        </w:rPr>
        <w:t>将不能享受招标文件规定的价格扣除，但不影响投标文件的有效性。</w:t>
      </w:r>
    </w:p>
    <w:p w14:paraId="436EA789">
      <w:pPr>
        <w:pageBreakBefore w:val="0"/>
        <w:topLinePunct w:val="0"/>
        <w:bidi w:val="0"/>
        <w:spacing w:line="500" w:lineRule="exact"/>
        <w:ind w:right="0" w:rightChars="0" w:firstLine="2843" w:firstLineChars="800"/>
        <w:jc w:val="both"/>
        <w:outlineLvl w:val="0"/>
        <w:rPr>
          <w:rFonts w:ascii="宋体" w:hAnsi="宋体" w:eastAsia="宋体" w:cs="宋体"/>
          <w:b/>
          <w:bCs/>
          <w:color w:val="auto"/>
          <w:spacing w:val="2"/>
          <w:sz w:val="35"/>
          <w:szCs w:val="35"/>
        </w:rPr>
      </w:pPr>
      <w:r>
        <w:rPr>
          <w:rFonts w:ascii="宋体" w:hAnsi="宋体" w:eastAsia="宋体" w:cs="宋体"/>
          <w:b/>
          <w:bCs/>
          <w:color w:val="auto"/>
          <w:spacing w:val="2"/>
          <w:sz w:val="35"/>
          <w:szCs w:val="35"/>
        </w:rPr>
        <w:t>中小企业声明函（货物）</w:t>
      </w:r>
    </w:p>
    <w:p w14:paraId="6571F6A9">
      <w:pPr>
        <w:pageBreakBefore w:val="0"/>
        <w:topLinePunct w:val="0"/>
        <w:bidi w:val="0"/>
        <w:spacing w:line="500" w:lineRule="exact"/>
        <w:ind w:left="0" w:leftChars="0" w:right="0" w:rightChars="0" w:firstLine="651" w:firstLineChars="200"/>
        <w:jc w:val="both"/>
        <w:outlineLvl w:val="0"/>
        <w:rPr>
          <w:rFonts w:hint="eastAsia" w:ascii="宋体" w:hAnsi="宋体" w:eastAsia="宋体" w:cs="宋体"/>
          <w:b/>
          <w:bCs/>
          <w:color w:val="auto"/>
          <w:spacing w:val="2"/>
          <w:sz w:val="32"/>
          <w:szCs w:val="32"/>
          <w:lang w:eastAsia="zh-CN"/>
        </w:rPr>
      </w:pPr>
      <w:r>
        <w:rPr>
          <w:rFonts w:hint="eastAsia" w:cs="宋体"/>
          <w:b/>
          <w:bCs/>
          <w:color w:val="auto"/>
          <w:spacing w:val="2"/>
          <w:sz w:val="32"/>
          <w:szCs w:val="32"/>
          <w:lang w:eastAsia="zh-CN"/>
        </w:rPr>
        <w:t>（</w:t>
      </w:r>
      <w:r>
        <w:rPr>
          <w:rFonts w:hint="eastAsia" w:cs="宋体"/>
          <w:b/>
          <w:bCs/>
          <w:color w:val="auto"/>
          <w:spacing w:val="2"/>
          <w:sz w:val="32"/>
          <w:szCs w:val="32"/>
          <w:lang w:val="en-US" w:eastAsia="zh-CN"/>
        </w:rPr>
        <w:t>注：符合中小企业的提供本函，不符合的不提供本函</w:t>
      </w:r>
      <w:r>
        <w:rPr>
          <w:rFonts w:hint="eastAsia" w:cs="宋体"/>
          <w:b/>
          <w:bCs/>
          <w:color w:val="auto"/>
          <w:spacing w:val="2"/>
          <w:sz w:val="32"/>
          <w:szCs w:val="32"/>
          <w:lang w:eastAsia="zh-CN"/>
        </w:rPr>
        <w:t>）</w:t>
      </w:r>
    </w:p>
    <w:p w14:paraId="5033DD88">
      <w:pPr>
        <w:pageBreakBefore w:val="0"/>
        <w:topLinePunct w:val="0"/>
        <w:bidi w:val="0"/>
        <w:spacing w:line="500" w:lineRule="exact"/>
        <w:ind w:right="0" w:rightChars="0"/>
        <w:rPr>
          <w:rFonts w:ascii="Arial"/>
          <w:color w:val="auto"/>
          <w:sz w:val="21"/>
        </w:rPr>
      </w:pPr>
    </w:p>
    <w:p w14:paraId="11C64036">
      <w:pPr>
        <w:pStyle w:val="12"/>
        <w:pageBreakBefore w:val="0"/>
        <w:topLinePunct w:val="0"/>
        <w:bidi w:val="0"/>
        <w:spacing w:line="500" w:lineRule="exact"/>
        <w:ind w:left="0" w:leftChars="0" w:right="0" w:rightChars="0" w:firstLine="480" w:firstLineChars="200"/>
        <w:rPr>
          <w:rFonts w:hint="eastAsia"/>
          <w:color w:val="auto"/>
          <w:spacing w:val="7"/>
          <w:lang w:val="zh-CN" w:eastAsia="zh-CN"/>
        </w:rPr>
      </w:pPr>
      <w:r>
        <w:rPr>
          <w:rFonts w:hint="eastAsia" w:ascii="宋体" w:hAnsi="宋体" w:eastAsia="宋体" w:cs="宋体"/>
          <w:color w:val="auto"/>
          <w:sz w:val="24"/>
          <w:szCs w:val="22"/>
          <w:lang w:val="zh-CN" w:eastAsia="zh-CN" w:bidi="ar"/>
        </w:rPr>
        <w:t>本公司郑重声明，根据《政府采购促进中小企业发展管理办法》（财库﹝2020﹞46号）的规</w:t>
      </w:r>
      <w:r>
        <w:rPr>
          <w:rFonts w:hint="eastAsia"/>
          <w:color w:val="auto"/>
          <w:spacing w:val="7"/>
          <w:lang w:val="zh-CN" w:eastAsia="zh-CN"/>
        </w:rPr>
        <w:t>定，本公司参加</w:t>
      </w:r>
      <w:r>
        <w:rPr>
          <w:rFonts w:hint="eastAsia"/>
          <w:color w:val="auto"/>
          <w:spacing w:val="7"/>
          <w:u w:val="single"/>
          <w:lang w:val="en-US" w:eastAsia="zh-CN"/>
        </w:rPr>
        <w:t xml:space="preserve">      </w:t>
      </w:r>
      <w:r>
        <w:rPr>
          <w:rFonts w:hint="eastAsia"/>
          <w:color w:val="auto"/>
          <w:spacing w:val="7"/>
          <w:u w:val="single"/>
          <w:lang w:val="zh-CN" w:eastAsia="zh-CN"/>
        </w:rPr>
        <w:t>（单位名称）</w:t>
      </w:r>
      <w:r>
        <w:rPr>
          <w:rFonts w:hint="eastAsia"/>
          <w:color w:val="auto"/>
          <w:spacing w:val="7"/>
          <w:lang w:val="zh-CN" w:eastAsia="zh-CN"/>
        </w:rPr>
        <w:t>的</w:t>
      </w:r>
      <w:r>
        <w:rPr>
          <w:rFonts w:hint="eastAsia"/>
          <w:color w:val="auto"/>
          <w:spacing w:val="7"/>
          <w:u w:val="single"/>
          <w:lang w:val="en-US" w:eastAsia="zh-CN"/>
        </w:rPr>
        <w:t xml:space="preserve">       </w:t>
      </w:r>
      <w:r>
        <w:rPr>
          <w:rFonts w:hint="eastAsia"/>
          <w:color w:val="auto"/>
          <w:spacing w:val="7"/>
          <w:u w:val="single"/>
          <w:lang w:val="zh-CN" w:eastAsia="zh-CN"/>
        </w:rPr>
        <w:t>（项目名称）</w:t>
      </w:r>
      <w:r>
        <w:rPr>
          <w:rFonts w:hint="eastAsia"/>
          <w:color w:val="auto"/>
          <w:spacing w:val="7"/>
          <w:lang w:val="zh-CN" w:eastAsia="zh-CN"/>
        </w:rPr>
        <w:t>采购活动，提供的货物全部由符合政策要求的中小企业制造。相关企业的具体情况如下：</w:t>
      </w:r>
    </w:p>
    <w:p w14:paraId="5AE4D1FE">
      <w:pPr>
        <w:pStyle w:val="12"/>
        <w:pageBreakBefore w:val="0"/>
        <w:topLinePunct w:val="0"/>
        <w:bidi w:val="0"/>
        <w:spacing w:line="500" w:lineRule="exact"/>
        <w:ind w:left="0" w:leftChars="0" w:right="0" w:rightChars="0" w:firstLine="508" w:firstLineChars="200"/>
        <w:rPr>
          <w:rFonts w:hint="eastAsia"/>
          <w:color w:val="auto"/>
          <w:spacing w:val="7"/>
          <w:lang w:val="zh-CN" w:eastAsia="zh-CN"/>
        </w:rPr>
      </w:pPr>
      <w:r>
        <w:rPr>
          <w:rFonts w:hint="eastAsia"/>
          <w:color w:val="auto"/>
          <w:spacing w:val="7"/>
          <w:lang w:val="zh-CN" w:eastAsia="zh-CN"/>
        </w:rPr>
        <w:t>1.</w:t>
      </w:r>
      <w:r>
        <w:rPr>
          <w:rFonts w:hint="eastAsia"/>
          <w:color w:val="auto"/>
          <w:spacing w:val="7"/>
          <w:u w:val="single"/>
          <w:lang w:val="zh-CN" w:eastAsia="zh-CN"/>
        </w:rPr>
        <w:t>（标的名称）</w:t>
      </w:r>
      <w:r>
        <w:rPr>
          <w:rFonts w:hint="eastAsia"/>
          <w:color w:val="auto"/>
          <w:spacing w:val="7"/>
          <w:lang w:val="zh-CN" w:eastAsia="zh-CN"/>
        </w:rPr>
        <w:t>，属于</w:t>
      </w:r>
      <w:r>
        <w:rPr>
          <w:rFonts w:hint="eastAsia"/>
          <w:color w:val="auto"/>
          <w:spacing w:val="7"/>
          <w:u w:val="single"/>
          <w:lang w:val="zh-CN" w:eastAsia="zh-CN"/>
        </w:rPr>
        <w:t>（采购文件中明确的所属行业）</w:t>
      </w:r>
      <w:r>
        <w:rPr>
          <w:rFonts w:hint="eastAsia"/>
          <w:color w:val="auto"/>
          <w:spacing w:val="7"/>
          <w:lang w:val="zh-CN" w:eastAsia="zh-CN"/>
        </w:rPr>
        <w:t>行业；制造商为</w:t>
      </w:r>
      <w:r>
        <w:rPr>
          <w:rFonts w:hint="eastAsia"/>
          <w:color w:val="auto"/>
          <w:spacing w:val="7"/>
          <w:u w:val="single"/>
          <w:lang w:val="zh-CN" w:eastAsia="zh-CN"/>
        </w:rPr>
        <w:t>（企业名称）</w:t>
      </w:r>
      <w:r>
        <w:rPr>
          <w:rFonts w:hint="eastAsia"/>
          <w:color w:val="auto"/>
          <w:spacing w:val="7"/>
          <w:lang w:val="zh-CN" w:eastAsia="zh-CN"/>
        </w:rPr>
        <w:t>，从业人员</w:t>
      </w:r>
      <w:r>
        <w:rPr>
          <w:rFonts w:hint="eastAsia"/>
          <w:color w:val="auto"/>
          <w:spacing w:val="7"/>
          <w:u w:val="single"/>
          <w:lang w:val="zh-CN" w:eastAsia="zh-CN"/>
        </w:rPr>
        <w:t xml:space="preserve">    </w:t>
      </w:r>
      <w:r>
        <w:rPr>
          <w:rFonts w:hint="eastAsia"/>
          <w:color w:val="auto"/>
          <w:spacing w:val="7"/>
          <w:lang w:val="zh-CN" w:eastAsia="zh-CN"/>
        </w:rPr>
        <w:t>人，营业收入为</w:t>
      </w:r>
      <w:r>
        <w:rPr>
          <w:rFonts w:hint="eastAsia"/>
          <w:color w:val="auto"/>
          <w:spacing w:val="7"/>
          <w:u w:val="single"/>
          <w:lang w:val="zh-CN" w:eastAsia="zh-CN"/>
        </w:rPr>
        <w:t xml:space="preserve">     </w:t>
      </w:r>
      <w:r>
        <w:rPr>
          <w:rFonts w:hint="eastAsia"/>
          <w:color w:val="auto"/>
          <w:spacing w:val="7"/>
          <w:lang w:val="zh-CN" w:eastAsia="zh-CN"/>
        </w:rPr>
        <w:t>万元，资产总额为</w:t>
      </w:r>
      <w:r>
        <w:rPr>
          <w:rFonts w:hint="eastAsia"/>
          <w:color w:val="auto"/>
          <w:spacing w:val="7"/>
          <w:u w:val="single"/>
          <w:lang w:val="zh-CN" w:eastAsia="zh-CN"/>
        </w:rPr>
        <w:t xml:space="preserve">     </w:t>
      </w:r>
      <w:r>
        <w:rPr>
          <w:rFonts w:hint="eastAsia"/>
          <w:color w:val="auto"/>
          <w:spacing w:val="7"/>
          <w:lang w:val="zh-CN" w:eastAsia="zh-CN"/>
        </w:rPr>
        <w:t>万元，属于</w:t>
      </w:r>
      <w:r>
        <w:rPr>
          <w:rFonts w:hint="eastAsia"/>
          <w:color w:val="auto"/>
          <w:spacing w:val="7"/>
          <w:u w:val="single"/>
          <w:lang w:val="en-US" w:eastAsia="zh-CN"/>
        </w:rPr>
        <w:t xml:space="preserve">      </w:t>
      </w:r>
      <w:r>
        <w:rPr>
          <w:rFonts w:hint="eastAsia"/>
          <w:color w:val="auto"/>
          <w:spacing w:val="7"/>
          <w:u w:val="single"/>
          <w:lang w:val="zh-CN" w:eastAsia="zh-CN"/>
        </w:rPr>
        <w:t>（中型企业、小型企业、微型企业）</w:t>
      </w:r>
      <w:r>
        <w:rPr>
          <w:rFonts w:hint="eastAsia"/>
          <w:color w:val="auto"/>
          <w:spacing w:val="7"/>
          <w:lang w:val="zh-CN" w:eastAsia="zh-CN"/>
        </w:rPr>
        <w:t>；</w:t>
      </w:r>
    </w:p>
    <w:p w14:paraId="37EEA0ED">
      <w:pPr>
        <w:pStyle w:val="12"/>
        <w:pageBreakBefore w:val="0"/>
        <w:topLinePunct w:val="0"/>
        <w:bidi w:val="0"/>
        <w:spacing w:line="500" w:lineRule="exact"/>
        <w:ind w:left="0" w:leftChars="0" w:right="0" w:rightChars="0" w:firstLine="508" w:firstLineChars="200"/>
        <w:rPr>
          <w:rFonts w:hint="eastAsia" w:ascii="宋体" w:hAnsi="宋体" w:eastAsia="宋体" w:cs="宋体"/>
          <w:color w:val="auto"/>
          <w:sz w:val="24"/>
          <w:szCs w:val="22"/>
          <w:lang w:val="zh-CN" w:eastAsia="zh-CN" w:bidi="ar"/>
        </w:rPr>
      </w:pPr>
      <w:r>
        <w:rPr>
          <w:rFonts w:hint="eastAsia"/>
          <w:color w:val="auto"/>
          <w:spacing w:val="7"/>
          <w:lang w:val="zh-CN" w:eastAsia="zh-CN"/>
        </w:rPr>
        <w:t>2.</w:t>
      </w:r>
      <w:r>
        <w:rPr>
          <w:rFonts w:hint="eastAsia"/>
          <w:color w:val="auto"/>
          <w:spacing w:val="7"/>
          <w:u w:val="single"/>
          <w:lang w:val="zh-CN" w:eastAsia="zh-CN"/>
        </w:rPr>
        <w:t>（标的名称）</w:t>
      </w:r>
      <w:r>
        <w:rPr>
          <w:rFonts w:hint="eastAsia"/>
          <w:color w:val="auto"/>
          <w:spacing w:val="7"/>
          <w:lang w:val="zh-CN" w:eastAsia="zh-CN"/>
        </w:rPr>
        <w:t>，属于</w:t>
      </w:r>
      <w:r>
        <w:rPr>
          <w:rFonts w:hint="eastAsia"/>
          <w:color w:val="auto"/>
          <w:spacing w:val="7"/>
          <w:u w:val="single"/>
          <w:lang w:val="zh-CN" w:eastAsia="zh-CN"/>
        </w:rPr>
        <w:t>（采购文件中明确的所属行业）</w:t>
      </w:r>
      <w:r>
        <w:rPr>
          <w:rFonts w:hint="eastAsia"/>
          <w:color w:val="auto"/>
          <w:spacing w:val="7"/>
          <w:lang w:val="zh-CN" w:eastAsia="zh-CN"/>
        </w:rPr>
        <w:t>行业；制造商为</w:t>
      </w:r>
      <w:r>
        <w:rPr>
          <w:rFonts w:hint="eastAsia"/>
          <w:color w:val="auto"/>
          <w:spacing w:val="7"/>
          <w:u w:val="single"/>
          <w:lang w:val="zh-CN" w:eastAsia="zh-CN"/>
        </w:rPr>
        <w:t>（企业名称）</w:t>
      </w:r>
      <w:r>
        <w:rPr>
          <w:rFonts w:hint="eastAsia"/>
          <w:color w:val="auto"/>
          <w:spacing w:val="7"/>
          <w:lang w:val="zh-CN" w:eastAsia="zh-CN"/>
        </w:rPr>
        <w:t>，从业人员</w:t>
      </w:r>
      <w:r>
        <w:rPr>
          <w:rFonts w:hint="eastAsia"/>
          <w:color w:val="auto"/>
          <w:spacing w:val="7"/>
          <w:u w:val="single"/>
          <w:lang w:val="zh-CN" w:eastAsia="zh-CN"/>
        </w:rPr>
        <w:t xml:space="preserve">    </w:t>
      </w:r>
      <w:r>
        <w:rPr>
          <w:rFonts w:hint="eastAsia"/>
          <w:color w:val="auto"/>
          <w:spacing w:val="7"/>
          <w:lang w:val="zh-CN" w:eastAsia="zh-CN"/>
        </w:rPr>
        <w:t>人，营业收入为</w:t>
      </w:r>
      <w:r>
        <w:rPr>
          <w:rFonts w:hint="eastAsia"/>
          <w:color w:val="auto"/>
          <w:spacing w:val="7"/>
          <w:u w:val="single"/>
          <w:lang w:val="zh-CN" w:eastAsia="zh-CN"/>
        </w:rPr>
        <w:t xml:space="preserve">     </w:t>
      </w:r>
      <w:r>
        <w:rPr>
          <w:rFonts w:hint="eastAsia"/>
          <w:color w:val="auto"/>
          <w:spacing w:val="7"/>
          <w:lang w:val="zh-CN" w:eastAsia="zh-CN"/>
        </w:rPr>
        <w:t>万元，资产总额为</w:t>
      </w:r>
      <w:r>
        <w:rPr>
          <w:rFonts w:hint="eastAsia"/>
          <w:color w:val="auto"/>
          <w:spacing w:val="7"/>
          <w:u w:val="single"/>
          <w:lang w:val="zh-CN" w:eastAsia="zh-CN"/>
        </w:rPr>
        <w:t xml:space="preserve">      </w:t>
      </w:r>
      <w:r>
        <w:rPr>
          <w:rFonts w:hint="eastAsia"/>
          <w:color w:val="auto"/>
          <w:spacing w:val="7"/>
          <w:lang w:val="zh-CN" w:eastAsia="zh-CN"/>
        </w:rPr>
        <w:t>万元，属于</w:t>
      </w:r>
      <w:r>
        <w:rPr>
          <w:rFonts w:hint="eastAsia"/>
          <w:color w:val="auto"/>
          <w:spacing w:val="7"/>
          <w:u w:val="single"/>
          <w:lang w:val="en-US" w:eastAsia="zh-CN"/>
        </w:rPr>
        <w:t xml:space="preserve">     </w:t>
      </w:r>
      <w:r>
        <w:rPr>
          <w:rFonts w:hint="eastAsia"/>
          <w:color w:val="auto"/>
          <w:spacing w:val="7"/>
          <w:u w:val="single"/>
          <w:lang w:val="zh-CN" w:eastAsia="zh-CN"/>
        </w:rPr>
        <w:t>（中型企业、小型企业、微型企</w:t>
      </w:r>
      <w:r>
        <w:rPr>
          <w:rFonts w:hint="eastAsia" w:ascii="宋体" w:hAnsi="宋体" w:eastAsia="宋体" w:cs="宋体"/>
          <w:color w:val="auto"/>
          <w:sz w:val="24"/>
          <w:szCs w:val="22"/>
          <w:u w:val="single"/>
          <w:lang w:val="zh-CN" w:eastAsia="zh-CN" w:bidi="ar"/>
        </w:rPr>
        <w:t>业）</w:t>
      </w:r>
      <w:r>
        <w:rPr>
          <w:rFonts w:hint="eastAsia" w:ascii="宋体" w:hAnsi="宋体" w:eastAsia="宋体" w:cs="宋体"/>
          <w:color w:val="auto"/>
          <w:sz w:val="24"/>
          <w:szCs w:val="22"/>
          <w:lang w:val="zh-CN" w:eastAsia="zh-CN" w:bidi="ar"/>
        </w:rPr>
        <w:t>；</w:t>
      </w:r>
    </w:p>
    <w:p w14:paraId="2211B55A">
      <w:pPr>
        <w:pStyle w:val="12"/>
        <w:pageBreakBefore w:val="0"/>
        <w:topLinePunct w:val="0"/>
        <w:bidi w:val="0"/>
        <w:spacing w:line="500" w:lineRule="exact"/>
        <w:ind w:left="0" w:leftChars="0" w:right="0" w:rightChars="0" w:firstLine="480" w:firstLineChars="200"/>
        <w:rPr>
          <w:rFonts w:hint="eastAsia" w:ascii="宋体" w:hAnsi="宋体" w:eastAsia="宋体" w:cs="宋体"/>
          <w:color w:val="auto"/>
          <w:sz w:val="24"/>
          <w:szCs w:val="22"/>
          <w:lang w:val="zh-CN" w:eastAsia="zh-CN" w:bidi="ar"/>
        </w:rPr>
      </w:pPr>
      <w:r>
        <w:rPr>
          <w:rFonts w:hint="eastAsia" w:ascii="宋体" w:hAnsi="宋体" w:eastAsia="宋体" w:cs="宋体"/>
          <w:color w:val="auto"/>
          <w:sz w:val="24"/>
          <w:szCs w:val="22"/>
          <w:lang w:val="zh-CN" w:eastAsia="zh-CN" w:bidi="ar"/>
        </w:rPr>
        <w:t>……</w:t>
      </w:r>
    </w:p>
    <w:p w14:paraId="6C494F66">
      <w:pPr>
        <w:pStyle w:val="12"/>
        <w:pageBreakBefore w:val="0"/>
        <w:topLinePunct w:val="0"/>
        <w:bidi w:val="0"/>
        <w:spacing w:line="500" w:lineRule="exact"/>
        <w:ind w:left="0" w:leftChars="0" w:right="0" w:rightChars="0" w:firstLine="508" w:firstLineChars="200"/>
        <w:rPr>
          <w:color w:val="auto"/>
        </w:rPr>
      </w:pPr>
      <w:r>
        <w:rPr>
          <w:color w:val="auto"/>
          <w:spacing w:val="7"/>
        </w:rPr>
        <w:t>以上企业，不属于大企业的分支机构，不存</w:t>
      </w:r>
      <w:r>
        <w:rPr>
          <w:color w:val="auto"/>
          <w:spacing w:val="6"/>
        </w:rPr>
        <w:t>在控股股东</w:t>
      </w:r>
      <w:r>
        <w:rPr>
          <w:color w:val="auto"/>
        </w:rPr>
        <w:t xml:space="preserve"> </w:t>
      </w:r>
      <w:r>
        <w:rPr>
          <w:color w:val="auto"/>
          <w:spacing w:val="8"/>
        </w:rPr>
        <w:t>为大企业的情形，也不存在与大企业的负责人为同一人的情</w:t>
      </w:r>
      <w:r>
        <w:rPr>
          <w:color w:val="auto"/>
          <w:spacing w:val="-7"/>
        </w:rPr>
        <w:t>形。</w:t>
      </w:r>
    </w:p>
    <w:p w14:paraId="244E0E02">
      <w:pPr>
        <w:pStyle w:val="12"/>
        <w:pageBreakBefore w:val="0"/>
        <w:topLinePunct w:val="0"/>
        <w:bidi w:val="0"/>
        <w:spacing w:line="500" w:lineRule="exact"/>
        <w:ind w:left="0" w:leftChars="0" w:right="0" w:rightChars="0" w:firstLine="512" w:firstLineChars="200"/>
        <w:rPr>
          <w:color w:val="auto"/>
          <w:sz w:val="24"/>
          <w:lang w:bidi="ar"/>
        </w:rPr>
      </w:pPr>
      <w:r>
        <w:rPr>
          <w:color w:val="auto"/>
          <w:spacing w:val="8"/>
        </w:rPr>
        <w:t>本企业对上述声明内容的真实性负责。如有虚假，将依</w:t>
      </w:r>
      <w:r>
        <w:rPr>
          <w:color w:val="auto"/>
          <w:spacing w:val="4"/>
        </w:rPr>
        <w:t>法承担相应责任。</w:t>
      </w:r>
    </w:p>
    <w:p w14:paraId="2357099F">
      <w:pPr>
        <w:pageBreakBefore w:val="0"/>
        <w:widowControl/>
        <w:topLinePunct w:val="0"/>
        <w:bidi w:val="0"/>
        <w:spacing w:line="500" w:lineRule="exact"/>
        <w:ind w:left="0" w:leftChars="0" w:right="0" w:rightChars="0" w:firstLine="480" w:firstLineChars="200"/>
        <w:rPr>
          <w:color w:val="auto"/>
          <w:sz w:val="24"/>
          <w:lang w:bidi="ar"/>
        </w:rPr>
      </w:pPr>
      <w:r>
        <w:rPr>
          <w:rFonts w:hint="eastAsia"/>
          <w:color w:val="auto"/>
          <w:sz w:val="24"/>
          <w:lang w:bidi="ar"/>
        </w:rPr>
        <w:t xml:space="preserve">企业名称（盖章）： </w:t>
      </w:r>
    </w:p>
    <w:p w14:paraId="7EC8FAF6">
      <w:pPr>
        <w:pageBreakBefore w:val="0"/>
        <w:topLinePunct w:val="0"/>
        <w:bidi w:val="0"/>
        <w:spacing w:line="500" w:lineRule="exact"/>
        <w:ind w:left="0" w:leftChars="0" w:right="0" w:rightChars="0" w:firstLine="480" w:firstLineChars="200"/>
        <w:rPr>
          <w:rFonts w:hint="eastAsia"/>
          <w:b/>
          <w:bCs/>
          <w:color w:val="auto"/>
          <w:sz w:val="24"/>
        </w:rPr>
      </w:pPr>
      <w:r>
        <w:rPr>
          <w:rFonts w:hint="eastAsia"/>
          <w:color w:val="auto"/>
          <w:sz w:val="24"/>
          <w:lang w:bidi="ar"/>
        </w:rPr>
        <w:t>日    期：</w:t>
      </w:r>
    </w:p>
    <w:p w14:paraId="0B0CCCED">
      <w:pPr>
        <w:pageBreakBefore w:val="0"/>
        <w:topLinePunct w:val="0"/>
        <w:bidi w:val="0"/>
        <w:spacing w:line="500" w:lineRule="exact"/>
        <w:ind w:left="0" w:leftChars="0" w:right="0" w:rightChars="0" w:firstLine="482" w:firstLineChars="200"/>
        <w:rPr>
          <w:rFonts w:hint="eastAsia" w:ascii="宋体" w:hAnsi="宋体" w:eastAsia="宋体" w:cs="宋体"/>
          <w:b/>
          <w:bCs/>
          <w:color w:val="auto"/>
          <w:sz w:val="24"/>
          <w:szCs w:val="22"/>
          <w:lang w:val="en-US" w:eastAsia="zh-CN" w:bidi="zh-CN"/>
        </w:rPr>
      </w:pPr>
      <w:r>
        <w:rPr>
          <w:rFonts w:hint="eastAsia"/>
          <w:b/>
          <w:bCs/>
          <w:color w:val="auto"/>
          <w:sz w:val="24"/>
        </w:rPr>
        <w:t>注：</w:t>
      </w:r>
      <w:r>
        <w:rPr>
          <w:rFonts w:hint="eastAsia" w:ascii="宋体" w:hAnsi="宋体" w:eastAsia="宋体" w:cs="宋体"/>
          <w:b/>
          <w:bCs/>
          <w:color w:val="auto"/>
          <w:sz w:val="24"/>
          <w:szCs w:val="22"/>
          <w:lang w:val="en-US" w:eastAsia="zh-CN" w:bidi="zh-CN"/>
        </w:rPr>
        <w:t>1</w:t>
      </w:r>
      <w:r>
        <w:rPr>
          <w:rFonts w:hint="eastAsia" w:cs="宋体"/>
          <w:b/>
          <w:bCs/>
          <w:color w:val="auto"/>
          <w:sz w:val="24"/>
          <w:szCs w:val="22"/>
          <w:lang w:val="en-US" w:eastAsia="zh-CN" w:bidi="zh-CN"/>
        </w:rPr>
        <w:t>.</w:t>
      </w:r>
      <w:r>
        <w:rPr>
          <w:rFonts w:hint="eastAsia" w:ascii="宋体" w:hAnsi="宋体" w:eastAsia="宋体" w:cs="宋体"/>
          <w:b/>
          <w:bCs/>
          <w:color w:val="auto"/>
          <w:sz w:val="24"/>
          <w:szCs w:val="22"/>
          <w:lang w:val="en-US" w:eastAsia="zh-CN" w:bidi="zh-CN"/>
        </w:rPr>
        <w:t>中小企业参加政府采购活动，应当按照《政府采购促进中小企业发展管理办法》（财库〔2020〕46号）规定和《中小企业划型标准规定》（工信部联企业〔2011〕300号），如实填写并提交本《中小企业声明函》。</w:t>
      </w:r>
    </w:p>
    <w:p w14:paraId="4B5FB17B">
      <w:pPr>
        <w:pageBreakBefore w:val="0"/>
        <w:topLinePunct w:val="0"/>
        <w:bidi w:val="0"/>
        <w:spacing w:line="500" w:lineRule="exact"/>
        <w:ind w:left="0" w:leftChars="0" w:right="0" w:rightChars="0" w:firstLine="482" w:firstLineChars="200"/>
        <w:rPr>
          <w:rFonts w:hint="eastAsia" w:ascii="宋体" w:hAnsi="宋体" w:eastAsia="宋体" w:cs="宋体"/>
          <w:b/>
          <w:bCs/>
          <w:color w:val="auto"/>
          <w:sz w:val="24"/>
          <w:szCs w:val="22"/>
          <w:lang w:val="en-US" w:eastAsia="zh-CN" w:bidi="zh-CN"/>
        </w:rPr>
      </w:pPr>
      <w:r>
        <w:rPr>
          <w:rFonts w:hint="eastAsia" w:cs="宋体"/>
          <w:b/>
          <w:bCs/>
          <w:color w:val="auto"/>
          <w:sz w:val="24"/>
          <w:szCs w:val="22"/>
          <w:lang w:val="en-US" w:eastAsia="zh-CN" w:bidi="zh-CN"/>
        </w:rPr>
        <w:t>2.</w:t>
      </w:r>
      <w:r>
        <w:rPr>
          <w:rFonts w:hint="eastAsia" w:ascii="宋体" w:hAnsi="宋体" w:eastAsia="宋体" w:cs="宋体"/>
          <w:b/>
          <w:bCs/>
          <w:color w:val="auto"/>
          <w:sz w:val="24"/>
          <w:szCs w:val="22"/>
          <w:lang w:val="en-US" w:eastAsia="zh-CN" w:bidi="zh-CN"/>
        </w:rPr>
        <w:t>本项目采购标的对应的中小企业划分标准所属行业为：</w:t>
      </w:r>
      <w:r>
        <w:rPr>
          <w:rFonts w:hint="eastAsia" w:cs="宋体"/>
          <w:b/>
          <w:bCs/>
          <w:color w:val="auto"/>
          <w:sz w:val="24"/>
          <w:szCs w:val="22"/>
          <w:lang w:val="en-US" w:eastAsia="zh-CN" w:bidi="zh-CN"/>
        </w:rPr>
        <w:t>批发业</w:t>
      </w:r>
      <w:r>
        <w:rPr>
          <w:rFonts w:hint="eastAsia" w:ascii="宋体" w:hAnsi="宋体" w:eastAsia="宋体" w:cs="宋体"/>
          <w:b/>
          <w:bCs/>
          <w:color w:val="auto"/>
          <w:sz w:val="24"/>
          <w:szCs w:val="22"/>
          <w:lang w:val="en-US" w:eastAsia="zh-CN" w:bidi="zh-CN"/>
        </w:rPr>
        <w:t>；</w:t>
      </w:r>
    </w:p>
    <w:p w14:paraId="74B0B09A">
      <w:pPr>
        <w:pageBreakBefore w:val="0"/>
        <w:topLinePunct w:val="0"/>
        <w:bidi w:val="0"/>
        <w:spacing w:line="500" w:lineRule="exact"/>
        <w:ind w:left="0" w:leftChars="0" w:right="0" w:rightChars="0" w:firstLine="482" w:firstLineChars="200"/>
        <w:rPr>
          <w:rFonts w:hint="eastAsia" w:ascii="宋体" w:hAnsi="宋体" w:eastAsia="宋体" w:cs="宋体"/>
          <w:b/>
          <w:bCs/>
          <w:color w:val="auto"/>
          <w:sz w:val="24"/>
          <w:szCs w:val="22"/>
          <w:lang w:val="en-US" w:eastAsia="zh-CN" w:bidi="zh-CN"/>
        </w:rPr>
      </w:pPr>
      <w:r>
        <w:rPr>
          <w:rFonts w:hint="eastAsia"/>
          <w:b/>
          <w:bCs/>
          <w:color w:val="auto"/>
          <w:sz w:val="24"/>
          <w:lang w:val="en-US" w:eastAsia="zh-CN"/>
        </w:rPr>
        <w:t>3.</w:t>
      </w:r>
      <w:r>
        <w:rPr>
          <w:rFonts w:hint="eastAsia"/>
          <w:b/>
          <w:bCs/>
          <w:color w:val="auto"/>
          <w:sz w:val="24"/>
        </w:rPr>
        <w:t>从业人员、营业收入、资产总额填报上一年度数据，无上一年度数据的新成立企业及监狱企业可不填报。</w:t>
      </w:r>
    </w:p>
    <w:p w14:paraId="2E5857CB">
      <w:pPr>
        <w:pageBreakBefore w:val="0"/>
        <w:topLinePunct w:val="0"/>
        <w:bidi w:val="0"/>
        <w:spacing w:line="500" w:lineRule="exact"/>
        <w:ind w:left="0" w:leftChars="0" w:right="0" w:rightChars="0" w:firstLine="711" w:firstLineChars="200"/>
        <w:jc w:val="center"/>
        <w:outlineLvl w:val="0"/>
        <w:rPr>
          <w:rFonts w:ascii="宋体" w:hAnsi="宋体" w:eastAsia="宋体" w:cs="宋体"/>
          <w:b/>
          <w:bCs/>
          <w:color w:val="auto"/>
          <w:spacing w:val="2"/>
          <w:sz w:val="35"/>
          <w:szCs w:val="35"/>
        </w:rPr>
      </w:pPr>
    </w:p>
    <w:p w14:paraId="41AC0D1C">
      <w:pPr>
        <w:pStyle w:val="12"/>
        <w:pageBreakBefore w:val="0"/>
        <w:topLinePunct w:val="0"/>
        <w:bidi w:val="0"/>
        <w:spacing w:line="500" w:lineRule="exact"/>
        <w:ind w:left="0" w:leftChars="0" w:right="0" w:rightChars="0" w:firstLine="562" w:firstLineChars="200"/>
        <w:jc w:val="center"/>
        <w:rPr>
          <w:rFonts w:hint="eastAsia" w:ascii="宋体" w:hAnsi="宋体" w:eastAsia="宋体" w:cs="宋体"/>
          <w:b/>
          <w:bCs/>
          <w:color w:val="auto"/>
          <w:sz w:val="28"/>
          <w:szCs w:val="28"/>
          <w:lang w:val="zh-CN" w:eastAsia="zh-CN" w:bidi="zh-CN"/>
        </w:rPr>
      </w:pPr>
      <w:r>
        <w:rPr>
          <w:rFonts w:hint="eastAsia" w:cs="宋体"/>
          <w:b/>
          <w:bCs/>
          <w:color w:val="auto"/>
          <w:sz w:val="28"/>
          <w:szCs w:val="28"/>
          <w:lang w:val="en-US" w:eastAsia="zh-CN" w:bidi="zh-CN"/>
        </w:rPr>
        <w:t>6.2</w:t>
      </w:r>
      <w:r>
        <w:rPr>
          <w:rFonts w:hint="eastAsia" w:ascii="宋体" w:hAnsi="宋体" w:eastAsia="宋体" w:cs="宋体"/>
          <w:b/>
          <w:bCs/>
          <w:color w:val="auto"/>
          <w:sz w:val="28"/>
          <w:szCs w:val="28"/>
          <w:lang w:val="en-US" w:eastAsia="zh-CN" w:bidi="zh-CN"/>
        </w:rPr>
        <w:t xml:space="preserve"> </w:t>
      </w:r>
      <w:r>
        <w:rPr>
          <w:rFonts w:hint="eastAsia" w:ascii="宋体" w:hAnsi="宋体" w:eastAsia="宋体" w:cs="宋体"/>
          <w:b/>
          <w:bCs/>
          <w:color w:val="auto"/>
          <w:sz w:val="28"/>
          <w:szCs w:val="28"/>
          <w:lang w:val="zh-CN" w:eastAsia="zh-CN" w:bidi="zh-CN"/>
        </w:rPr>
        <w:t>监狱企业证明文件（格式）</w:t>
      </w:r>
    </w:p>
    <w:p w14:paraId="31212CF0">
      <w:pPr>
        <w:pageBreakBefore w:val="0"/>
        <w:topLinePunct w:val="0"/>
        <w:bidi w:val="0"/>
        <w:spacing w:line="500" w:lineRule="exact"/>
        <w:ind w:left="0" w:leftChars="0" w:right="0" w:rightChars="0" w:firstLine="440" w:firstLineChars="200"/>
        <w:rPr>
          <w:color w:val="auto"/>
        </w:rPr>
      </w:pPr>
    </w:p>
    <w:p w14:paraId="5A1BFB14">
      <w:pPr>
        <w:pageBreakBefore w:val="0"/>
        <w:topLinePunct w:val="0"/>
        <w:bidi w:val="0"/>
        <w:spacing w:line="500" w:lineRule="exact"/>
        <w:ind w:left="0" w:leftChars="0" w:right="0" w:rightChars="0" w:firstLine="480" w:firstLineChars="200"/>
        <w:rPr>
          <w:color w:val="auto"/>
          <w:sz w:val="24"/>
        </w:rPr>
      </w:pPr>
      <w:r>
        <w:rPr>
          <w:rFonts w:hint="eastAsia"/>
          <w:color w:val="auto"/>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19D49BB">
      <w:pPr>
        <w:pageBreakBefore w:val="0"/>
        <w:topLinePunct w:val="0"/>
        <w:bidi w:val="0"/>
        <w:spacing w:line="500" w:lineRule="exact"/>
        <w:ind w:left="0" w:leftChars="0" w:right="0" w:rightChars="0" w:firstLine="480" w:firstLineChars="200"/>
        <w:rPr>
          <w:b/>
          <w:bCs/>
          <w:color w:val="auto"/>
          <w:sz w:val="24"/>
        </w:rPr>
      </w:pPr>
      <w:r>
        <w:rPr>
          <w:rFonts w:hint="eastAsia"/>
          <w:color w:val="auto"/>
          <w:sz w:val="24"/>
        </w:rPr>
        <w:t>监狱企业参加政府采购活动时，应当提供由省级以上监狱管理局、戒毒管理局（含新疆生产建设兵团）出具的属于监狱企业的证明文件。</w:t>
      </w:r>
    </w:p>
    <w:p w14:paraId="359D7665">
      <w:pPr>
        <w:pageBreakBefore w:val="0"/>
        <w:topLinePunct w:val="0"/>
        <w:bidi w:val="0"/>
        <w:adjustRightInd w:val="0"/>
        <w:snapToGrid w:val="0"/>
        <w:spacing w:line="500" w:lineRule="exact"/>
        <w:ind w:left="0" w:leftChars="0" w:right="0" w:rightChars="0" w:firstLine="482" w:firstLineChars="200"/>
        <w:rPr>
          <w:b/>
          <w:bCs/>
          <w:color w:val="auto"/>
          <w:sz w:val="24"/>
        </w:rPr>
      </w:pPr>
    </w:p>
    <w:p w14:paraId="2B46F7E4">
      <w:pPr>
        <w:pStyle w:val="8"/>
        <w:pageBreakBefore w:val="0"/>
        <w:topLinePunct w:val="0"/>
        <w:bidi w:val="0"/>
        <w:spacing w:line="500" w:lineRule="exact"/>
        <w:ind w:left="0" w:leftChars="0" w:right="0" w:rightChars="0" w:firstLine="400" w:firstLineChars="200"/>
        <w:rPr>
          <w:color w:val="auto"/>
        </w:rPr>
      </w:pPr>
    </w:p>
    <w:p w14:paraId="3A52BBF1">
      <w:pPr>
        <w:pageBreakBefore w:val="0"/>
        <w:topLinePunct w:val="0"/>
        <w:bidi w:val="0"/>
        <w:spacing w:line="500" w:lineRule="exact"/>
        <w:ind w:left="0" w:leftChars="0" w:right="0" w:rightChars="0" w:firstLine="480" w:firstLineChars="200"/>
        <w:rPr>
          <w:color w:val="auto"/>
          <w:sz w:val="24"/>
        </w:rPr>
      </w:pPr>
      <w:r>
        <w:rPr>
          <w:rFonts w:hint="eastAsia"/>
          <w:color w:val="auto"/>
          <w:sz w:val="24"/>
        </w:rPr>
        <w:t>单位名称（盖章）：</w:t>
      </w:r>
    </w:p>
    <w:p w14:paraId="039FD6F3">
      <w:pPr>
        <w:pageBreakBefore w:val="0"/>
        <w:topLinePunct w:val="0"/>
        <w:bidi w:val="0"/>
        <w:spacing w:line="500" w:lineRule="exact"/>
        <w:ind w:left="0" w:leftChars="0" w:right="0" w:rightChars="0" w:firstLine="480" w:firstLineChars="200"/>
        <w:rPr>
          <w:color w:val="auto"/>
          <w:sz w:val="24"/>
        </w:rPr>
      </w:pPr>
      <w:r>
        <w:rPr>
          <w:rFonts w:hint="eastAsia"/>
          <w:color w:val="auto"/>
          <w:sz w:val="24"/>
        </w:rPr>
        <w:t>日  期：</w:t>
      </w:r>
    </w:p>
    <w:p w14:paraId="316BF9A2">
      <w:pPr>
        <w:pStyle w:val="8"/>
        <w:pageBreakBefore w:val="0"/>
        <w:topLinePunct w:val="0"/>
        <w:bidi w:val="0"/>
        <w:spacing w:line="500" w:lineRule="exact"/>
        <w:ind w:left="0" w:leftChars="0" w:right="0" w:rightChars="0" w:firstLine="400" w:firstLineChars="200"/>
        <w:rPr>
          <w:color w:val="auto"/>
        </w:rPr>
      </w:pPr>
    </w:p>
    <w:p w14:paraId="0011265C">
      <w:pPr>
        <w:pageBreakBefore w:val="0"/>
        <w:topLinePunct w:val="0"/>
        <w:bidi w:val="0"/>
        <w:spacing w:line="500" w:lineRule="exact"/>
        <w:ind w:left="0" w:leftChars="0" w:right="0" w:rightChars="0" w:firstLine="482" w:firstLineChars="200"/>
        <w:rPr>
          <w:b/>
          <w:bCs/>
          <w:color w:val="auto"/>
          <w:sz w:val="24"/>
        </w:rPr>
      </w:pPr>
      <w:r>
        <w:rPr>
          <w:rFonts w:hint="eastAsia"/>
          <w:b/>
          <w:bCs/>
          <w:color w:val="auto"/>
          <w:sz w:val="24"/>
        </w:rPr>
        <w:t>注：1</w:t>
      </w:r>
      <w:r>
        <w:rPr>
          <w:rFonts w:hint="eastAsia"/>
          <w:b/>
          <w:bCs/>
          <w:color w:val="auto"/>
          <w:sz w:val="24"/>
          <w:lang w:val="en-US" w:eastAsia="zh-CN"/>
        </w:rPr>
        <w:t>.</w:t>
      </w:r>
      <w:r>
        <w:rPr>
          <w:rFonts w:hint="eastAsia"/>
          <w:b/>
          <w:bCs/>
          <w:color w:val="auto"/>
          <w:sz w:val="24"/>
        </w:rPr>
        <w:t>在政府采购活动中，监狱企业视同小型、微型企业，享受预留份额、</w:t>
      </w:r>
      <w:r>
        <w:rPr>
          <w:rFonts w:hint="eastAsia"/>
          <w:b/>
          <w:bCs/>
          <w:color w:val="auto"/>
          <w:sz w:val="24"/>
          <w:lang w:eastAsia="zh-CN"/>
        </w:rPr>
        <w:t>评审</w:t>
      </w:r>
      <w:r>
        <w:rPr>
          <w:rFonts w:hint="eastAsia"/>
          <w:b/>
          <w:bCs/>
          <w:color w:val="auto"/>
          <w:sz w:val="24"/>
        </w:rPr>
        <w:t>价格扣除等政府采购促进中小企业发展的政府采购政策。监狱企业参加政府采购活动时，还应当提供由省级以上监狱管理局、戒毒管理局</w:t>
      </w:r>
      <w:r>
        <w:rPr>
          <w:rFonts w:hint="eastAsia"/>
          <w:b/>
          <w:bCs/>
          <w:color w:val="auto"/>
          <w:sz w:val="24"/>
          <w:lang w:eastAsia="zh-CN"/>
        </w:rPr>
        <w:t>（</w:t>
      </w:r>
      <w:r>
        <w:rPr>
          <w:rFonts w:hint="eastAsia"/>
          <w:b/>
          <w:bCs/>
          <w:color w:val="auto"/>
          <w:sz w:val="24"/>
        </w:rPr>
        <w:t>含新疆生产建设兵团</w:t>
      </w:r>
      <w:r>
        <w:rPr>
          <w:rFonts w:hint="eastAsia"/>
          <w:b/>
          <w:bCs/>
          <w:color w:val="auto"/>
          <w:sz w:val="24"/>
          <w:lang w:eastAsia="zh-CN"/>
        </w:rPr>
        <w:t>）</w:t>
      </w:r>
      <w:r>
        <w:rPr>
          <w:rFonts w:hint="eastAsia"/>
          <w:b/>
          <w:bCs/>
          <w:color w:val="auto"/>
          <w:sz w:val="24"/>
        </w:rPr>
        <w:t>出具的属于监狱企业的证明文件。）</w:t>
      </w:r>
    </w:p>
    <w:p w14:paraId="258215B9">
      <w:pPr>
        <w:pageBreakBefore w:val="0"/>
        <w:topLinePunct w:val="0"/>
        <w:bidi w:val="0"/>
        <w:spacing w:line="500" w:lineRule="exact"/>
        <w:ind w:left="0" w:leftChars="0" w:right="0" w:rightChars="0" w:firstLine="482" w:firstLineChars="200"/>
        <w:rPr>
          <w:b/>
          <w:bCs/>
          <w:color w:val="auto"/>
          <w:sz w:val="24"/>
        </w:rPr>
      </w:pPr>
      <w:r>
        <w:rPr>
          <w:rFonts w:hint="eastAsia"/>
          <w:b/>
          <w:bCs/>
          <w:color w:val="auto"/>
          <w:sz w:val="24"/>
        </w:rPr>
        <w:t>2</w:t>
      </w:r>
      <w:r>
        <w:rPr>
          <w:rFonts w:hint="eastAsia"/>
          <w:b/>
          <w:bCs/>
          <w:color w:val="auto"/>
          <w:sz w:val="24"/>
          <w:lang w:val="en-US" w:eastAsia="zh-CN"/>
        </w:rPr>
        <w:t>.</w:t>
      </w:r>
      <w:r>
        <w:rPr>
          <w:rFonts w:hint="eastAsia"/>
          <w:b/>
          <w:bCs/>
          <w:color w:val="auto"/>
          <w:sz w:val="24"/>
        </w:rPr>
        <w:t>如不是该类企业则不需提供证明文件（可删除此页）。</w:t>
      </w:r>
    </w:p>
    <w:p w14:paraId="42523B50">
      <w:pPr>
        <w:pageBreakBefore w:val="0"/>
        <w:topLinePunct w:val="0"/>
        <w:bidi w:val="0"/>
        <w:spacing w:line="500" w:lineRule="exact"/>
        <w:ind w:left="0" w:leftChars="0" w:right="0" w:rightChars="0" w:firstLine="440" w:firstLineChars="200"/>
        <w:rPr>
          <w:color w:val="auto"/>
        </w:rPr>
      </w:pPr>
    </w:p>
    <w:p w14:paraId="2A7C30D1">
      <w:pPr>
        <w:pageBreakBefore w:val="0"/>
        <w:topLinePunct w:val="0"/>
        <w:bidi w:val="0"/>
        <w:spacing w:line="500" w:lineRule="exact"/>
        <w:ind w:left="0" w:leftChars="0" w:right="0" w:rightChars="0" w:firstLine="562" w:firstLineChars="200"/>
        <w:jc w:val="center"/>
        <w:rPr>
          <w:b/>
          <w:bCs/>
          <w:color w:val="auto"/>
          <w:sz w:val="28"/>
          <w:szCs w:val="28"/>
        </w:rPr>
      </w:pPr>
    </w:p>
    <w:p w14:paraId="0C88021A">
      <w:pPr>
        <w:pageBreakBefore w:val="0"/>
        <w:topLinePunct w:val="0"/>
        <w:bidi w:val="0"/>
        <w:spacing w:line="500" w:lineRule="exact"/>
        <w:ind w:left="0" w:leftChars="0" w:right="0" w:rightChars="0" w:firstLine="562" w:firstLineChars="200"/>
        <w:jc w:val="center"/>
        <w:rPr>
          <w:b/>
          <w:bCs/>
          <w:color w:val="auto"/>
          <w:sz w:val="28"/>
          <w:szCs w:val="28"/>
        </w:rPr>
      </w:pPr>
    </w:p>
    <w:p w14:paraId="47A89186">
      <w:pPr>
        <w:pageBreakBefore w:val="0"/>
        <w:topLinePunct w:val="0"/>
        <w:bidi w:val="0"/>
        <w:spacing w:line="500" w:lineRule="exact"/>
        <w:ind w:left="0" w:leftChars="0" w:right="0" w:rightChars="0" w:firstLine="562" w:firstLineChars="200"/>
        <w:jc w:val="center"/>
        <w:rPr>
          <w:b/>
          <w:bCs/>
          <w:color w:val="auto"/>
          <w:sz w:val="28"/>
          <w:szCs w:val="28"/>
        </w:rPr>
      </w:pPr>
    </w:p>
    <w:p w14:paraId="04CE3391">
      <w:pPr>
        <w:pageBreakBefore w:val="0"/>
        <w:topLinePunct w:val="0"/>
        <w:bidi w:val="0"/>
        <w:spacing w:line="500" w:lineRule="exact"/>
        <w:ind w:left="0" w:leftChars="0" w:right="0" w:rightChars="0" w:firstLine="562" w:firstLineChars="200"/>
        <w:jc w:val="center"/>
        <w:rPr>
          <w:b/>
          <w:bCs/>
          <w:color w:val="auto"/>
          <w:sz w:val="28"/>
          <w:szCs w:val="28"/>
        </w:rPr>
      </w:pPr>
    </w:p>
    <w:p w14:paraId="5C88D25E">
      <w:pPr>
        <w:pStyle w:val="8"/>
        <w:pageBreakBefore w:val="0"/>
        <w:topLinePunct w:val="0"/>
        <w:bidi w:val="0"/>
        <w:spacing w:line="500" w:lineRule="exact"/>
        <w:ind w:right="0" w:rightChars="0"/>
        <w:rPr>
          <w:color w:val="auto"/>
        </w:rPr>
      </w:pPr>
    </w:p>
    <w:p w14:paraId="2281861C">
      <w:pPr>
        <w:pageBreakBefore w:val="0"/>
        <w:topLinePunct w:val="0"/>
        <w:bidi w:val="0"/>
        <w:spacing w:line="500" w:lineRule="exact"/>
        <w:ind w:left="0" w:leftChars="0" w:right="0" w:rightChars="0" w:firstLine="562" w:firstLineChars="200"/>
        <w:jc w:val="center"/>
        <w:rPr>
          <w:b/>
          <w:bCs/>
          <w:color w:val="auto"/>
          <w:sz w:val="28"/>
          <w:szCs w:val="28"/>
        </w:rPr>
      </w:pPr>
      <w:r>
        <w:rPr>
          <w:rFonts w:hint="eastAsia"/>
          <w:b/>
          <w:bCs/>
          <w:color w:val="auto"/>
          <w:sz w:val="28"/>
          <w:szCs w:val="28"/>
          <w:lang w:val="en-US" w:eastAsia="zh-CN"/>
        </w:rPr>
        <w:t>6.3</w:t>
      </w:r>
      <w:r>
        <w:rPr>
          <w:rFonts w:hint="eastAsia"/>
          <w:b/>
          <w:bCs/>
          <w:color w:val="auto"/>
          <w:sz w:val="28"/>
          <w:szCs w:val="28"/>
          <w:lang w:val="en-US"/>
        </w:rPr>
        <w:t xml:space="preserve"> </w:t>
      </w:r>
      <w:r>
        <w:rPr>
          <w:rFonts w:hint="eastAsia"/>
          <w:b/>
          <w:bCs/>
          <w:color w:val="auto"/>
          <w:sz w:val="28"/>
          <w:szCs w:val="28"/>
        </w:rPr>
        <w:t>残疾人福利性单位声明函（格式）</w:t>
      </w:r>
    </w:p>
    <w:p w14:paraId="1DD851C0">
      <w:pPr>
        <w:pageBreakBefore w:val="0"/>
        <w:topLinePunct w:val="0"/>
        <w:bidi w:val="0"/>
        <w:spacing w:line="500" w:lineRule="exact"/>
        <w:ind w:left="0" w:leftChars="0" w:right="0" w:rightChars="0" w:firstLine="480" w:firstLineChars="200"/>
        <w:rPr>
          <w:color w:val="auto"/>
          <w:sz w:val="24"/>
        </w:rPr>
      </w:pPr>
    </w:p>
    <w:p w14:paraId="526F4FED">
      <w:pPr>
        <w:pageBreakBefore w:val="0"/>
        <w:topLinePunct w:val="0"/>
        <w:bidi w:val="0"/>
        <w:spacing w:line="500" w:lineRule="exact"/>
        <w:ind w:left="0" w:leftChars="0" w:right="0" w:rightChars="0" w:firstLine="480" w:firstLineChars="200"/>
        <w:rPr>
          <w:color w:val="auto"/>
          <w:sz w:val="24"/>
        </w:rPr>
      </w:pPr>
      <w:r>
        <w:rPr>
          <w:rFonts w:hint="eastAsia"/>
          <w:color w:val="auto"/>
          <w:sz w:val="24"/>
        </w:rPr>
        <w:t>本单位郑重声明，根据《财政部 民政部 中国残疾人联合会关于促进残疾人就业政府采购政策的通知》（财库〔2017〕141号）的规定，本单位为符合条件的残疾人福利性单位，且本单位参加</w:t>
      </w:r>
      <w:r>
        <w:rPr>
          <w:rFonts w:hint="eastAsia"/>
          <w:color w:val="auto"/>
          <w:sz w:val="24"/>
          <w:u w:val="single"/>
        </w:rPr>
        <w:t xml:space="preserve">           </w:t>
      </w:r>
      <w:r>
        <w:rPr>
          <w:rFonts w:hint="eastAsia"/>
          <w:color w:val="auto"/>
          <w:sz w:val="24"/>
        </w:rPr>
        <w:t>单位的</w:t>
      </w:r>
      <w:r>
        <w:rPr>
          <w:rFonts w:hint="eastAsia"/>
          <w:color w:val="auto"/>
          <w:sz w:val="24"/>
          <w:u w:val="single"/>
        </w:rPr>
        <w:t xml:space="preserve">           </w:t>
      </w:r>
      <w:r>
        <w:rPr>
          <w:rFonts w:hint="eastAsia"/>
          <w:color w:val="auto"/>
          <w:sz w:val="24"/>
        </w:rPr>
        <w:t>项目采购活动提供本单位制造的货物（由本单位承担工程/提供服务），或者提供其他残疾人福利性单位制造的货物（不包括使用非残疾人福利性单位注册商标的货物）。</w:t>
      </w:r>
    </w:p>
    <w:p w14:paraId="69D4A6A0">
      <w:pPr>
        <w:pageBreakBefore w:val="0"/>
        <w:topLinePunct w:val="0"/>
        <w:bidi w:val="0"/>
        <w:spacing w:line="500" w:lineRule="exact"/>
        <w:ind w:left="0" w:leftChars="0" w:right="0" w:rightChars="0" w:firstLine="480" w:firstLineChars="200"/>
        <w:rPr>
          <w:color w:val="auto"/>
          <w:sz w:val="24"/>
        </w:rPr>
      </w:pPr>
      <w:r>
        <w:rPr>
          <w:rFonts w:hint="eastAsia"/>
          <w:color w:val="auto"/>
          <w:sz w:val="24"/>
        </w:rPr>
        <w:t>本单位对上述声明的真实性负责。如有虚假，将依法承担相应责任。</w:t>
      </w:r>
    </w:p>
    <w:p w14:paraId="55702486">
      <w:pPr>
        <w:pageBreakBefore w:val="0"/>
        <w:topLinePunct w:val="0"/>
        <w:bidi w:val="0"/>
        <w:spacing w:line="500" w:lineRule="exact"/>
        <w:ind w:left="0" w:leftChars="0" w:right="0" w:rightChars="0" w:firstLine="560" w:firstLineChars="200"/>
        <w:rPr>
          <w:color w:val="auto"/>
          <w:sz w:val="28"/>
          <w:szCs w:val="28"/>
        </w:rPr>
      </w:pPr>
    </w:p>
    <w:p w14:paraId="32831CA3">
      <w:pPr>
        <w:pageBreakBefore w:val="0"/>
        <w:topLinePunct w:val="0"/>
        <w:bidi w:val="0"/>
        <w:spacing w:line="500" w:lineRule="exact"/>
        <w:ind w:left="0" w:leftChars="0" w:right="0" w:rightChars="0" w:firstLine="480" w:firstLineChars="200"/>
        <w:rPr>
          <w:color w:val="auto"/>
          <w:sz w:val="24"/>
        </w:rPr>
      </w:pPr>
      <w:r>
        <w:rPr>
          <w:rFonts w:hint="eastAsia"/>
          <w:color w:val="auto"/>
          <w:sz w:val="24"/>
        </w:rPr>
        <w:t>单位名称（盖章）：</w:t>
      </w:r>
    </w:p>
    <w:p w14:paraId="6660F904">
      <w:pPr>
        <w:pageBreakBefore w:val="0"/>
        <w:topLinePunct w:val="0"/>
        <w:bidi w:val="0"/>
        <w:spacing w:line="500" w:lineRule="exact"/>
        <w:ind w:left="0" w:leftChars="0" w:right="0" w:rightChars="0" w:firstLine="480" w:firstLineChars="200"/>
        <w:rPr>
          <w:color w:val="auto"/>
          <w:sz w:val="24"/>
        </w:rPr>
      </w:pPr>
      <w:r>
        <w:rPr>
          <w:rFonts w:hint="eastAsia"/>
          <w:color w:val="auto"/>
          <w:sz w:val="24"/>
        </w:rPr>
        <w:t>日  期：</w:t>
      </w:r>
    </w:p>
    <w:p w14:paraId="4D1C978C">
      <w:pPr>
        <w:pageBreakBefore w:val="0"/>
        <w:topLinePunct w:val="0"/>
        <w:bidi w:val="0"/>
        <w:spacing w:line="500" w:lineRule="exact"/>
        <w:ind w:left="0" w:leftChars="0" w:right="0" w:rightChars="0" w:firstLine="560" w:firstLineChars="200"/>
        <w:rPr>
          <w:color w:val="auto"/>
          <w:sz w:val="28"/>
          <w:szCs w:val="28"/>
        </w:rPr>
      </w:pPr>
    </w:p>
    <w:p w14:paraId="18B1DEDF">
      <w:pPr>
        <w:pageBreakBefore w:val="0"/>
        <w:topLinePunct w:val="0"/>
        <w:bidi w:val="0"/>
        <w:spacing w:line="500" w:lineRule="exact"/>
        <w:ind w:left="0" w:leftChars="0" w:right="0" w:rightChars="0" w:firstLine="482" w:firstLineChars="200"/>
        <w:rPr>
          <w:b/>
          <w:bCs/>
          <w:color w:val="auto"/>
          <w:sz w:val="24"/>
        </w:rPr>
      </w:pPr>
      <w:r>
        <w:rPr>
          <w:rFonts w:hint="eastAsia"/>
          <w:b/>
          <w:bCs/>
          <w:color w:val="auto"/>
          <w:sz w:val="24"/>
        </w:rPr>
        <w:t>注：1.</w:t>
      </w:r>
      <w:r>
        <w:rPr>
          <w:rFonts w:hint="eastAsia"/>
          <w:b/>
          <w:bCs/>
          <w:color w:val="auto"/>
          <w:sz w:val="24"/>
          <w:lang w:eastAsia="zh-CN"/>
        </w:rPr>
        <w:t>供应商</w:t>
      </w:r>
      <w:r>
        <w:rPr>
          <w:rFonts w:hint="eastAsia"/>
          <w:b/>
          <w:bCs/>
          <w:color w:val="auto"/>
          <w:sz w:val="24"/>
        </w:rPr>
        <w:t>应仔细阅读《财政部 民政部 中国残疾人联合会关于促进残疾人就业政府采购政策的通知》，并如实填写本表，符合条件的</w:t>
      </w:r>
      <w:r>
        <w:rPr>
          <w:rFonts w:hint="eastAsia"/>
          <w:b/>
          <w:bCs/>
          <w:color w:val="auto"/>
          <w:sz w:val="24"/>
          <w:lang w:eastAsia="zh-CN"/>
        </w:rPr>
        <w:t>供应商</w:t>
      </w:r>
      <w:r>
        <w:rPr>
          <w:rFonts w:hint="eastAsia"/>
          <w:b/>
          <w:bCs/>
          <w:color w:val="auto"/>
          <w:sz w:val="24"/>
        </w:rPr>
        <w:t>未按上述要求提供、填写的，评审时不予以考虑。</w:t>
      </w:r>
    </w:p>
    <w:p w14:paraId="35DFC933">
      <w:pPr>
        <w:pageBreakBefore w:val="0"/>
        <w:topLinePunct w:val="0"/>
        <w:bidi w:val="0"/>
        <w:spacing w:line="500" w:lineRule="exact"/>
        <w:ind w:left="0" w:leftChars="0" w:right="0" w:rightChars="0" w:firstLine="482" w:firstLineChars="200"/>
        <w:rPr>
          <w:b/>
          <w:bCs/>
          <w:color w:val="auto"/>
          <w:sz w:val="24"/>
        </w:rPr>
      </w:pPr>
      <w:r>
        <w:rPr>
          <w:rFonts w:hint="eastAsia"/>
          <w:b/>
          <w:bCs/>
          <w:color w:val="auto"/>
          <w:sz w:val="24"/>
        </w:rPr>
        <w:t>2.如不是该类企业则不需提供此声明函（可删除此页）。</w:t>
      </w:r>
    </w:p>
    <w:p w14:paraId="33A51E1F">
      <w:pPr>
        <w:rPr>
          <w:rFonts w:hint="eastAsia"/>
          <w:color w:val="auto"/>
          <w:lang w:val="en-US" w:eastAsia="zh-CN"/>
        </w:rPr>
      </w:pPr>
    </w:p>
    <w:p w14:paraId="0F24E1D2">
      <w:pPr>
        <w:rPr>
          <w:rFonts w:hint="eastAsia"/>
          <w:color w:val="auto"/>
          <w:lang w:val="en-US" w:eastAsia="zh-CN"/>
        </w:rPr>
      </w:pPr>
    </w:p>
    <w:p w14:paraId="3CA7E71B">
      <w:pPr>
        <w:rPr>
          <w:rFonts w:hint="eastAsia"/>
          <w:color w:val="auto"/>
          <w:lang w:val="en-US" w:eastAsia="zh-CN"/>
        </w:rPr>
      </w:pPr>
    </w:p>
    <w:p w14:paraId="4C2E6FAE">
      <w:pPr>
        <w:rPr>
          <w:rFonts w:hint="eastAsia"/>
          <w:color w:val="auto"/>
          <w:lang w:val="en-US" w:eastAsia="zh-CN"/>
        </w:rPr>
      </w:pPr>
    </w:p>
    <w:p w14:paraId="62900BF2">
      <w:pPr>
        <w:rPr>
          <w:rFonts w:hint="eastAsia"/>
          <w:color w:val="auto"/>
          <w:lang w:val="en-US" w:eastAsia="zh-CN"/>
        </w:rPr>
      </w:pPr>
    </w:p>
    <w:p w14:paraId="76E7B551">
      <w:pPr>
        <w:rPr>
          <w:rFonts w:hint="eastAsia"/>
          <w:color w:val="auto"/>
          <w:lang w:val="en-US" w:eastAsia="zh-CN"/>
        </w:rPr>
      </w:pPr>
    </w:p>
    <w:p w14:paraId="3F1EF106">
      <w:pPr>
        <w:rPr>
          <w:rFonts w:hint="eastAsia"/>
          <w:color w:val="auto"/>
          <w:lang w:val="en-US" w:eastAsia="zh-CN"/>
        </w:rPr>
      </w:pPr>
    </w:p>
    <w:p w14:paraId="232FE16E">
      <w:pPr>
        <w:rPr>
          <w:rFonts w:hint="eastAsia"/>
          <w:color w:val="auto"/>
          <w:lang w:val="en-US" w:eastAsia="zh-CN"/>
        </w:rPr>
      </w:pPr>
    </w:p>
    <w:p w14:paraId="5658A0FD">
      <w:pPr>
        <w:rPr>
          <w:rFonts w:hint="eastAsia"/>
          <w:color w:val="auto"/>
          <w:lang w:val="en-US" w:eastAsia="zh-CN"/>
        </w:rPr>
      </w:pPr>
    </w:p>
    <w:p w14:paraId="717E0518">
      <w:pPr>
        <w:rPr>
          <w:rFonts w:hint="eastAsia"/>
          <w:color w:val="auto"/>
          <w:lang w:val="en-US" w:eastAsia="zh-CN"/>
        </w:rPr>
      </w:pPr>
    </w:p>
    <w:p w14:paraId="6374C833">
      <w:pPr>
        <w:rPr>
          <w:rFonts w:hint="eastAsia"/>
          <w:color w:val="auto"/>
          <w:lang w:val="en-US" w:eastAsia="zh-CN"/>
        </w:rPr>
      </w:pPr>
    </w:p>
    <w:p w14:paraId="3BD2CC47">
      <w:pPr>
        <w:rPr>
          <w:rFonts w:hint="eastAsia"/>
          <w:color w:val="auto"/>
          <w:lang w:val="en-US" w:eastAsia="zh-CN"/>
        </w:rPr>
      </w:pPr>
    </w:p>
    <w:p w14:paraId="7071FFB4">
      <w:pPr>
        <w:rPr>
          <w:rFonts w:hint="eastAsia"/>
          <w:color w:val="auto"/>
          <w:lang w:val="en-US" w:eastAsia="zh-CN"/>
        </w:rPr>
      </w:pPr>
    </w:p>
    <w:p w14:paraId="1FAF6CAE">
      <w:pPr>
        <w:rPr>
          <w:rFonts w:hint="eastAsia"/>
          <w:color w:val="auto"/>
          <w:lang w:val="en-US" w:eastAsia="zh-CN"/>
        </w:rPr>
      </w:pPr>
    </w:p>
    <w:p w14:paraId="102FB148">
      <w:pPr>
        <w:rPr>
          <w:rFonts w:hint="eastAsia"/>
          <w:color w:val="auto"/>
          <w:lang w:val="en-US" w:eastAsia="zh-CN"/>
        </w:rPr>
      </w:pPr>
    </w:p>
    <w:p w14:paraId="193688F6">
      <w:pPr>
        <w:rPr>
          <w:rFonts w:hint="eastAsia"/>
          <w:color w:val="auto"/>
          <w:lang w:val="en-US" w:eastAsia="zh-CN"/>
        </w:rPr>
      </w:pPr>
    </w:p>
    <w:p w14:paraId="4F4CB4E0">
      <w:pPr>
        <w:rPr>
          <w:rFonts w:hint="eastAsia"/>
          <w:color w:val="auto"/>
          <w:lang w:val="en-US" w:eastAsia="zh-CN"/>
        </w:rPr>
      </w:pPr>
    </w:p>
    <w:p w14:paraId="4098CF09">
      <w:pPr>
        <w:pStyle w:val="12"/>
        <w:pageBreakBefore w:val="0"/>
        <w:topLinePunct w:val="0"/>
        <w:bidi w:val="0"/>
        <w:spacing w:line="500" w:lineRule="exact"/>
        <w:ind w:left="0" w:leftChars="0" w:right="0" w:rightChars="0" w:firstLine="440" w:firstLineChars="200"/>
        <w:rPr>
          <w:bCs/>
          <w:color w:val="auto"/>
          <w:sz w:val="22"/>
          <w:szCs w:val="20"/>
          <w:lang w:val="en-US"/>
        </w:rPr>
      </w:pPr>
    </w:p>
    <w:p w14:paraId="07C72F5F">
      <w:pPr>
        <w:pStyle w:val="12"/>
        <w:pageBreakBefore w:val="0"/>
        <w:topLinePunct w:val="0"/>
        <w:bidi w:val="0"/>
        <w:spacing w:line="500" w:lineRule="exact"/>
        <w:ind w:right="0" w:rightChars="0" w:firstLine="2240" w:firstLineChars="800"/>
        <w:jc w:val="both"/>
        <w:rPr>
          <w:rFonts w:hint="eastAsia"/>
          <w:bCs/>
          <w:color w:val="auto"/>
          <w:sz w:val="28"/>
          <w:szCs w:val="28"/>
          <w:lang w:val="en-US" w:eastAsia="zh-CN"/>
        </w:rPr>
      </w:pPr>
    </w:p>
    <w:p w14:paraId="60EE3BD6">
      <w:pPr>
        <w:pStyle w:val="12"/>
        <w:pageBreakBefore w:val="0"/>
        <w:topLinePunct w:val="0"/>
        <w:bidi w:val="0"/>
        <w:spacing w:line="500" w:lineRule="exact"/>
        <w:ind w:right="0" w:rightChars="0" w:firstLine="2240" w:firstLineChars="800"/>
        <w:jc w:val="both"/>
        <w:rPr>
          <w:rFonts w:hint="eastAsia" w:eastAsia="宋体"/>
          <w:bCs/>
          <w:color w:val="auto"/>
          <w:sz w:val="22"/>
          <w:szCs w:val="20"/>
          <w:lang w:val="en-US" w:eastAsia="zh-CN"/>
        </w:rPr>
      </w:pPr>
      <w:r>
        <w:rPr>
          <w:rFonts w:hint="eastAsia"/>
          <w:bCs/>
          <w:color w:val="auto"/>
          <w:sz w:val="28"/>
          <w:szCs w:val="28"/>
          <w:lang w:val="en-US" w:eastAsia="zh-CN"/>
        </w:rPr>
        <w:t>2、供应商</w:t>
      </w:r>
      <w:r>
        <w:rPr>
          <w:rFonts w:hint="eastAsia"/>
          <w:bCs/>
          <w:color w:val="auto"/>
          <w:sz w:val="28"/>
          <w:szCs w:val="28"/>
          <w:lang w:val="en-US"/>
        </w:rPr>
        <w:t>认为需要说明的其他事项</w:t>
      </w:r>
    </w:p>
    <w:p w14:paraId="35CCC6A8">
      <w:pPr>
        <w:pStyle w:val="12"/>
        <w:pageBreakBefore w:val="0"/>
        <w:topLinePunct w:val="0"/>
        <w:bidi w:val="0"/>
        <w:spacing w:line="500" w:lineRule="exact"/>
        <w:ind w:right="0" w:rightChars="0" w:firstLine="2200" w:firstLineChars="1000"/>
        <w:jc w:val="both"/>
        <w:rPr>
          <w:rFonts w:hint="eastAsia" w:eastAsia="宋体"/>
          <w:bCs/>
          <w:color w:val="auto"/>
          <w:sz w:val="22"/>
          <w:szCs w:val="20"/>
          <w:lang w:val="en-US" w:eastAsia="zh-CN"/>
        </w:rPr>
      </w:pPr>
    </w:p>
    <w:sectPr>
      <w:pgSz w:w="11910" w:h="16840"/>
      <w:pgMar w:top="1360" w:right="660" w:bottom="1200" w:left="1340" w:header="872" w:footer="1005"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1719EDF-9758-4AAF-A19E-297C29C7F653}"/>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embedRegular r:id="rId2" w:fontKey="{7F75D204-D4CE-48D1-9E49-B5B2B299381C}"/>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方正小标宋简体">
    <w:panose1 w:val="02000000000000000000"/>
    <w:charset w:val="86"/>
    <w:family w:val="auto"/>
    <w:pitch w:val="default"/>
    <w:sig w:usb0="00000001" w:usb1="08000000" w:usb2="00000000" w:usb3="00000000" w:csb0="00040000" w:csb1="00000000"/>
    <w:embedRegular r:id="rId3" w:fontKey="{943B97DF-8DEF-4304-B09B-406101EBCDE0}"/>
  </w:font>
  <w:font w:name="仿宋">
    <w:panose1 w:val="02010609060101010101"/>
    <w:charset w:val="86"/>
    <w:family w:val="auto"/>
    <w:pitch w:val="default"/>
    <w:sig w:usb0="800002BF" w:usb1="38CF7CFA" w:usb2="00000016" w:usb3="00000000" w:csb0="00040001" w:csb1="00000000"/>
    <w:embedRegular r:id="rId4" w:fontKey="{B54391B1-64CE-4BB9-B5F8-B99135A9BE59}"/>
  </w:font>
  <w:font w:name="新宋体">
    <w:panose1 w:val="02010609030101010101"/>
    <w:charset w:val="86"/>
    <w:family w:val="modern"/>
    <w:pitch w:val="default"/>
    <w:sig w:usb0="00000283" w:usb1="288F0000" w:usb2="00000006" w:usb3="00000000" w:csb0="00040001" w:csb1="00000000"/>
    <w:embedRegular r:id="rId5" w:fontKey="{137FB3E7-FC53-4767-A653-0BC2E32969CE}"/>
  </w:font>
  <w:font w:name="WPSEMBED1">
    <w:panose1 w:val="02010609030101010101"/>
    <w:charset w:val="86"/>
    <w:family w:val="auto"/>
    <w:pitch w:val="default"/>
    <w:sig w:usb0="00000001" w:usb1="080E0000" w:usb2="00000000" w:usb3="00000000" w:csb0="00040000" w:csb1="00000000"/>
  </w:font>
  <w:font w:name="WPSEMBED2">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98273">
    <w:pPr>
      <w:pStyle w:val="16"/>
      <w:framePr w:wrap="auto" w:vAnchor="margin" w:hAnchor="text" w:xAlign="left" w:yAlign="inlin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DA282">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35A44">
    <w:pPr>
      <w:pStyle w:val="12"/>
      <w:spacing w:line="14" w:lineRule="auto"/>
      <w:rPr>
        <w:sz w:val="20"/>
      </w:rPr>
    </w:pPr>
    <w:r>
      <w:rPr>
        <w:sz w:val="24"/>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BCCA03">
                          <w:pPr>
                            <w:pStyle w:val="16"/>
                            <w:jc w:val="both"/>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07BCCA03">
                    <w:pPr>
                      <w:pStyle w:val="16"/>
                      <w:jc w:val="both"/>
                    </w:pPr>
                  </w:p>
                </w:txbxContent>
              </v:textbox>
            </v:shape>
          </w:pict>
        </mc:Fallback>
      </mc:AlternateContent>
    </w:r>
    <w:r>
      <w:rPr>
        <w:lang w:val="en-US" w:bidi="ar-SA"/>
      </w:rPr>
      <mc:AlternateContent>
        <mc:Choice Requires="wps">
          <w:drawing>
            <wp:anchor distT="0" distB="0" distL="114300" distR="114300" simplePos="0" relativeHeight="251659264" behindDoc="1" locked="0" layoutInCell="1" allowOverlap="1">
              <wp:simplePos x="0" y="0"/>
              <wp:positionH relativeFrom="page">
                <wp:posOffset>1130300</wp:posOffset>
              </wp:positionH>
              <wp:positionV relativeFrom="page">
                <wp:posOffset>9918700</wp:posOffset>
              </wp:positionV>
              <wp:extent cx="1854200" cy="139700"/>
              <wp:effectExtent l="0" t="0" r="0" b="0"/>
              <wp:wrapNone/>
              <wp:docPr id="20" name="文本框 4"/>
              <wp:cNvGraphicFramePr/>
              <a:graphic xmlns:a="http://schemas.openxmlformats.org/drawingml/2006/main">
                <a:graphicData uri="http://schemas.microsoft.com/office/word/2010/wordprocessingShape">
                  <wps:wsp>
                    <wps:cNvSpPr txBox="1"/>
                    <wps:spPr>
                      <a:xfrm>
                        <a:off x="0" y="0"/>
                        <a:ext cx="1854200" cy="139700"/>
                      </a:xfrm>
                      <a:prstGeom prst="rect">
                        <a:avLst/>
                      </a:prstGeom>
                      <a:noFill/>
                      <a:ln>
                        <a:noFill/>
                      </a:ln>
                    </wps:spPr>
                    <wps:txbx>
                      <w:txbxContent>
                        <w:p w14:paraId="138F3347">
                          <w:pPr>
                            <w:spacing w:line="220" w:lineRule="exact"/>
                            <w:rPr>
                              <w:sz w:val="18"/>
                            </w:rPr>
                          </w:pPr>
                        </w:p>
                      </w:txbxContent>
                    </wps:txbx>
                    <wps:bodyPr lIns="0" tIns="0" rIns="0" bIns="0" upright="1"/>
                  </wps:wsp>
                </a:graphicData>
              </a:graphic>
            </wp:anchor>
          </w:drawing>
        </mc:Choice>
        <mc:Fallback>
          <w:pict>
            <v:shape id="文本框 4" o:spid="_x0000_s1026" o:spt="202" type="#_x0000_t202" style="position:absolute;left:0pt;margin-left:89pt;margin-top:781pt;height:11pt;width:146pt;mso-position-horizontal-relative:page;mso-position-vertical-relative:page;z-index:-251657216;mso-width-relative:page;mso-height-relative:page;" filled="f" stroked="f" coordsize="21600,21600" o:gfxdata="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kh8yEdgAAAANAQAADwAAAAAAAAABACAAAAAiAAAAZHJzL2Rvd25yZXYueG1sUEsBAhQA&#10;FAAAAAgAh07iQBveoay5AQAAcwMAAA4AAAAAAAAAAQAgAAAAJwEAAGRycy9lMm9Eb2MueG1sUEsF&#10;BgAAAAAGAAYAWQEAAFIFAAAAAA==&#10;">
              <v:fill on="f" focussize="0,0"/>
              <v:stroke on="f"/>
              <v:imagedata o:title=""/>
              <o:lock v:ext="edit" aspectratio="f"/>
              <v:textbox inset="0mm,0mm,0mm,0mm">
                <w:txbxContent>
                  <w:p w14:paraId="138F3347">
                    <w:pPr>
                      <w:spacing w:line="220" w:lineRule="exact"/>
                      <w:rPr>
                        <w:sz w:val="18"/>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6ACF38">
    <w:pPr>
      <w:pStyle w:val="12"/>
      <w:spacing w:line="14" w:lineRule="auto"/>
      <w:rPr>
        <w:sz w:val="20"/>
      </w:rPr>
    </w:pPr>
    <w:r>
      <w:rPr>
        <w:sz w:val="24"/>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4387E5">
                          <w:pPr>
                            <w:pStyle w:val="16"/>
                            <w:jc w:val="both"/>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7A4387E5">
                    <w:pPr>
                      <w:pStyle w:val="16"/>
                      <w:jc w:val="both"/>
                    </w:pPr>
                  </w:p>
                </w:txbxContent>
              </v:textbox>
            </v:shape>
          </w:pict>
        </mc:Fallback>
      </mc:AlternateContent>
    </w:r>
    <w:r>
      <w:rPr>
        <w:lang w:val="en-US" w:bidi="ar-SA"/>
      </w:rPr>
      <mc:AlternateContent>
        <mc:Choice Requires="wps">
          <w:drawing>
            <wp:anchor distT="0" distB="0" distL="114300" distR="114300" simplePos="0" relativeHeight="251675648" behindDoc="1" locked="0" layoutInCell="1" allowOverlap="1">
              <wp:simplePos x="0" y="0"/>
              <wp:positionH relativeFrom="page">
                <wp:posOffset>1130300</wp:posOffset>
              </wp:positionH>
              <wp:positionV relativeFrom="page">
                <wp:posOffset>9918700</wp:posOffset>
              </wp:positionV>
              <wp:extent cx="1854200" cy="139700"/>
              <wp:effectExtent l="0" t="0" r="0" b="0"/>
              <wp:wrapNone/>
              <wp:docPr id="11" name="文本框 4"/>
              <wp:cNvGraphicFramePr/>
              <a:graphic xmlns:a="http://schemas.openxmlformats.org/drawingml/2006/main">
                <a:graphicData uri="http://schemas.microsoft.com/office/word/2010/wordprocessingShape">
                  <wps:wsp>
                    <wps:cNvSpPr txBox="1"/>
                    <wps:spPr>
                      <a:xfrm>
                        <a:off x="0" y="0"/>
                        <a:ext cx="1854200" cy="139700"/>
                      </a:xfrm>
                      <a:prstGeom prst="rect">
                        <a:avLst/>
                      </a:prstGeom>
                      <a:noFill/>
                      <a:ln>
                        <a:noFill/>
                      </a:ln>
                    </wps:spPr>
                    <wps:txbx>
                      <w:txbxContent>
                        <w:p w14:paraId="1891605B">
                          <w:pPr>
                            <w:spacing w:line="220" w:lineRule="exact"/>
                            <w:rPr>
                              <w:sz w:val="18"/>
                            </w:rPr>
                          </w:pPr>
                        </w:p>
                      </w:txbxContent>
                    </wps:txbx>
                    <wps:bodyPr lIns="0" tIns="0" rIns="0" bIns="0" upright="1"/>
                  </wps:wsp>
                </a:graphicData>
              </a:graphic>
            </wp:anchor>
          </w:drawing>
        </mc:Choice>
        <mc:Fallback>
          <w:pict>
            <v:shape id="文本框 4" o:spid="_x0000_s1026" o:spt="202" type="#_x0000_t202" style="position:absolute;left:0pt;margin-left:89pt;margin-top:781pt;height:11pt;width:146pt;mso-position-horizontal-relative:page;mso-position-vertical-relative:page;z-index:-251640832;mso-width-relative:page;mso-height-relative:page;" filled="f" stroked="f" coordsize="21600,21600" o:gfxdata="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JIfMhHYAAAADQEAAA8AAAAAAAAAAQAgAAAAIgAAAGRycy9kb3ducmV2LnhtbFBLAQIU&#10;ABQAAAAIAIdO4kBvJR4JugEAAHMDAAAOAAAAAAAAAAEAIAAAACcBAABkcnMvZTJvRG9jLnhtbFBL&#10;BQYAAAAABgAGAFkBAABTBQAAAAA=&#10;">
              <v:fill on="f" focussize="0,0"/>
              <v:stroke on="f"/>
              <v:imagedata o:title=""/>
              <o:lock v:ext="edit" aspectratio="f"/>
              <v:textbox inset="0mm,0mm,0mm,0mm">
                <w:txbxContent>
                  <w:p w14:paraId="1891605B">
                    <w:pPr>
                      <w:spacing w:line="220" w:lineRule="exact"/>
                      <w:rPr>
                        <w:sz w:val="18"/>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5CB3CA">
    <w:pPr>
      <w:pStyle w:val="12"/>
      <w:spacing w:line="14" w:lineRule="auto"/>
      <w:rPr>
        <w:sz w:val="20"/>
      </w:rPr>
    </w:pPr>
    <w:r>
      <w:rPr>
        <w:sz w:val="24"/>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745D07">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134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56745D07">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134</w:t>
                    </w:r>
                    <w:r>
                      <w:fldChar w:fldCharType="end"/>
                    </w:r>
                    <w:r>
                      <w:t xml:space="preserve"> 页</w:t>
                    </w:r>
                  </w:p>
                </w:txbxContent>
              </v:textbox>
            </v:shape>
          </w:pict>
        </mc:Fallback>
      </mc:AlternateContent>
    </w:r>
    <w:r>
      <w:rPr>
        <w:lang w:val="en-US" w:bidi="ar-SA"/>
      </w:rPr>
      <mc:AlternateContent>
        <mc:Choice Requires="wps">
          <w:drawing>
            <wp:anchor distT="0" distB="0" distL="114300" distR="114300" simplePos="0" relativeHeight="251667456" behindDoc="1" locked="0" layoutInCell="1" allowOverlap="1">
              <wp:simplePos x="0" y="0"/>
              <wp:positionH relativeFrom="page">
                <wp:posOffset>1130300</wp:posOffset>
              </wp:positionH>
              <wp:positionV relativeFrom="page">
                <wp:posOffset>9918700</wp:posOffset>
              </wp:positionV>
              <wp:extent cx="1854200" cy="139700"/>
              <wp:effectExtent l="0" t="0" r="0" b="0"/>
              <wp:wrapNone/>
              <wp:docPr id="52" name="文本框 48"/>
              <wp:cNvGraphicFramePr/>
              <a:graphic xmlns:a="http://schemas.openxmlformats.org/drawingml/2006/main">
                <a:graphicData uri="http://schemas.microsoft.com/office/word/2010/wordprocessingShape">
                  <wps:wsp>
                    <wps:cNvSpPr txBox="1"/>
                    <wps:spPr>
                      <a:xfrm>
                        <a:off x="0" y="0"/>
                        <a:ext cx="1854200" cy="139700"/>
                      </a:xfrm>
                      <a:prstGeom prst="rect">
                        <a:avLst/>
                      </a:prstGeom>
                      <a:noFill/>
                      <a:ln>
                        <a:noFill/>
                      </a:ln>
                    </wps:spPr>
                    <wps:txbx>
                      <w:txbxContent>
                        <w:p w14:paraId="76B1ECCE">
                          <w:pPr>
                            <w:spacing w:line="220" w:lineRule="exact"/>
                            <w:ind w:left="20"/>
                            <w:rPr>
                              <w:sz w:val="18"/>
                            </w:rPr>
                          </w:pPr>
                        </w:p>
                      </w:txbxContent>
                    </wps:txbx>
                    <wps:bodyPr lIns="0" tIns="0" rIns="0" bIns="0" upright="1"/>
                  </wps:wsp>
                </a:graphicData>
              </a:graphic>
            </wp:anchor>
          </w:drawing>
        </mc:Choice>
        <mc:Fallback>
          <w:pict>
            <v:shape id="文本框 48" o:spid="_x0000_s1026" o:spt="202" type="#_x0000_t202" style="position:absolute;left:0pt;margin-left:89pt;margin-top:781pt;height:11pt;width:146pt;mso-position-horizontal-relative:page;mso-position-vertical-relative:page;z-index:-251649024;mso-width-relative:page;mso-height-relative:page;" filled="f" stroked="f" coordsize="21600,21600" o:gfxdata="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kh8yEdgAAAANAQAADwAAAAAAAAABACAAAAAiAAAAZHJzL2Rvd25yZXYueG1sUEsB&#10;AhQAFAAAAAgAh07iQFut/uS8AQAAdAMAAA4AAAAAAAAAAQAgAAAAJwEAAGRycy9lMm9Eb2MueG1s&#10;UEsFBgAAAAAGAAYAWQEAAFUFAAAAAA==&#10;">
              <v:fill on="f" focussize="0,0"/>
              <v:stroke on="f"/>
              <v:imagedata o:title=""/>
              <o:lock v:ext="edit" aspectratio="f"/>
              <v:textbox inset="0mm,0mm,0mm,0mm">
                <w:txbxContent>
                  <w:p w14:paraId="76B1ECCE">
                    <w:pPr>
                      <w:spacing w:line="220" w:lineRule="exact"/>
                      <w:ind w:left="20"/>
                      <w:rPr>
                        <w:sz w:val="18"/>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D828EA">
    <w:pPr>
      <w:pStyle w:val="12"/>
      <w:spacing w:line="14" w:lineRule="auto"/>
      <w:rPr>
        <w:sz w:val="20"/>
      </w:rPr>
    </w:pPr>
    <w:r>
      <w:rPr>
        <w:sz w:val="24"/>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C38BE4">
                          <w:pPr>
                            <w:pStyle w:val="16"/>
                          </w:pPr>
                          <w:r>
                            <w:t xml:space="preserve">第 </w:t>
                          </w:r>
                          <w:r>
                            <w:fldChar w:fldCharType="begin"/>
                          </w:r>
                          <w:r>
                            <w:instrText xml:space="preserve"> PAGE  \* MERGEFORMAT </w:instrText>
                          </w:r>
                          <w:r>
                            <w:fldChar w:fldCharType="separate"/>
                          </w:r>
                          <w:r>
                            <w:t>113</w:t>
                          </w:r>
                          <w:r>
                            <w:fldChar w:fldCharType="end"/>
                          </w:r>
                          <w:r>
                            <w:t xml:space="preserve"> 页 共 </w:t>
                          </w:r>
                          <w:r>
                            <w:fldChar w:fldCharType="begin"/>
                          </w:r>
                          <w:r>
                            <w:instrText xml:space="preserve"> NUMPAGES  \* MERGEFORMAT </w:instrText>
                          </w:r>
                          <w:r>
                            <w:fldChar w:fldCharType="separate"/>
                          </w:r>
                          <w:r>
                            <w:t>134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4BC38BE4">
                    <w:pPr>
                      <w:pStyle w:val="16"/>
                    </w:pPr>
                    <w:r>
                      <w:t xml:space="preserve">第 </w:t>
                    </w:r>
                    <w:r>
                      <w:fldChar w:fldCharType="begin"/>
                    </w:r>
                    <w:r>
                      <w:instrText xml:space="preserve"> PAGE  \* MERGEFORMAT </w:instrText>
                    </w:r>
                    <w:r>
                      <w:fldChar w:fldCharType="separate"/>
                    </w:r>
                    <w:r>
                      <w:t>113</w:t>
                    </w:r>
                    <w:r>
                      <w:fldChar w:fldCharType="end"/>
                    </w:r>
                    <w:r>
                      <w:t xml:space="preserve"> 页 共 </w:t>
                    </w:r>
                    <w:r>
                      <w:fldChar w:fldCharType="begin"/>
                    </w:r>
                    <w:r>
                      <w:instrText xml:space="preserve"> NUMPAGES  \* MERGEFORMAT </w:instrText>
                    </w:r>
                    <w:r>
                      <w:fldChar w:fldCharType="separate"/>
                    </w:r>
                    <w:r>
                      <w:t>134</w:t>
                    </w:r>
                    <w:r>
                      <w:fldChar w:fldCharType="end"/>
                    </w:r>
                    <w:r>
                      <w:t xml:space="preserve"> 页</w:t>
                    </w:r>
                  </w:p>
                </w:txbxContent>
              </v:textbox>
            </v:shape>
          </w:pict>
        </mc:Fallback>
      </mc:AlternateContent>
    </w:r>
    <w:r>
      <w:rPr>
        <w:lang w:val="en-US" w:bidi="ar-SA"/>
      </w:rPr>
      <mc:AlternateContent>
        <mc:Choice Requires="wps">
          <w:drawing>
            <wp:anchor distT="0" distB="0" distL="114300" distR="114300" simplePos="0" relativeHeight="251671552" behindDoc="1" locked="0" layoutInCell="1" allowOverlap="1">
              <wp:simplePos x="0" y="0"/>
              <wp:positionH relativeFrom="page">
                <wp:posOffset>8577580</wp:posOffset>
              </wp:positionH>
              <wp:positionV relativeFrom="page">
                <wp:posOffset>6781800</wp:posOffset>
              </wp:positionV>
              <wp:extent cx="998220" cy="152400"/>
              <wp:effectExtent l="0" t="0" r="0" b="0"/>
              <wp:wrapNone/>
              <wp:docPr id="40" name="文本框 33"/>
              <wp:cNvGraphicFramePr/>
              <a:graphic xmlns:a="http://schemas.openxmlformats.org/drawingml/2006/main">
                <a:graphicData uri="http://schemas.microsoft.com/office/word/2010/wordprocessingShape">
                  <wps:wsp>
                    <wps:cNvSpPr txBox="1"/>
                    <wps:spPr>
                      <a:xfrm>
                        <a:off x="0" y="0"/>
                        <a:ext cx="998220" cy="152400"/>
                      </a:xfrm>
                      <a:prstGeom prst="rect">
                        <a:avLst/>
                      </a:prstGeom>
                      <a:noFill/>
                      <a:ln>
                        <a:noFill/>
                      </a:ln>
                    </wps:spPr>
                    <wps:txbx>
                      <w:txbxContent>
                        <w:p w14:paraId="7C5CA494"/>
                      </w:txbxContent>
                    </wps:txbx>
                    <wps:bodyPr lIns="0" tIns="0" rIns="0" bIns="0" upright="1"/>
                  </wps:wsp>
                </a:graphicData>
              </a:graphic>
            </wp:anchor>
          </w:drawing>
        </mc:Choice>
        <mc:Fallback>
          <w:pict>
            <v:shape id="文本框 33" o:spid="_x0000_s1026" o:spt="202" type="#_x0000_t202" style="position:absolute;left:0pt;margin-left:675.4pt;margin-top:534pt;height:12pt;width:78.6pt;mso-position-horizontal-relative:page;mso-position-vertical-relative:page;z-index:-251644928;mso-width-relative:page;mso-height-relative:page;" filled="f" stroked="f" coordsize="21600,21600" o:gfxdata="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aYRavNgAAAAPAQAADwAAAAAAAAABACAAAAAiAAAAZHJzL2Rvd25yZXYueG1sUEsB&#10;AhQAFAAAAAgAh07iQHl9Rxu8AQAAcwMAAA4AAAAAAAAAAQAgAAAAJwEAAGRycy9lMm9Eb2MueG1s&#10;UEsFBgAAAAAGAAYAWQEAAFUFAAAAAA==&#10;">
              <v:fill on="f" focussize="0,0"/>
              <v:stroke on="f"/>
              <v:imagedata o:title=""/>
              <o:lock v:ext="edit" aspectratio="f"/>
              <v:textbox inset="0mm,0mm,0mm,0mm">
                <w:txbxContent>
                  <w:p w14:paraId="7C5CA494"/>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99C1AF">
    <w:pPr>
      <w:pStyle w:val="12"/>
      <w:spacing w:line="14" w:lineRule="auto"/>
      <w:rPr>
        <w:sz w:val="20"/>
      </w:rPr>
    </w:pPr>
    <w:r>
      <w:rPr>
        <w:sz w:val="20"/>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BB934B">
                          <w:pPr>
                            <w:pStyle w:val="16"/>
                          </w:pPr>
                          <w:r>
                            <w:t xml:space="preserve">第 </w:t>
                          </w:r>
                          <w:r>
                            <w:fldChar w:fldCharType="begin"/>
                          </w:r>
                          <w:r>
                            <w:instrText xml:space="preserve"> PAGE  \* MERGEFORMAT </w:instrText>
                          </w:r>
                          <w:r>
                            <w:fldChar w:fldCharType="separate"/>
                          </w:r>
                          <w:r>
                            <w:t>114</w:t>
                          </w:r>
                          <w:r>
                            <w:fldChar w:fldCharType="end"/>
                          </w:r>
                          <w:r>
                            <w:t xml:space="preserve"> 页 共 </w:t>
                          </w:r>
                          <w:r>
                            <w:fldChar w:fldCharType="begin"/>
                          </w:r>
                          <w:r>
                            <w:instrText xml:space="preserve"> NUMPAGES  \* MERGEFORMAT </w:instrText>
                          </w:r>
                          <w:r>
                            <w:fldChar w:fldCharType="separate"/>
                          </w:r>
                          <w:r>
                            <w:t>134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2CBB934B">
                    <w:pPr>
                      <w:pStyle w:val="16"/>
                    </w:pPr>
                    <w:r>
                      <w:t xml:space="preserve">第 </w:t>
                    </w:r>
                    <w:r>
                      <w:fldChar w:fldCharType="begin"/>
                    </w:r>
                    <w:r>
                      <w:instrText xml:space="preserve"> PAGE  \* MERGEFORMAT </w:instrText>
                    </w:r>
                    <w:r>
                      <w:fldChar w:fldCharType="separate"/>
                    </w:r>
                    <w:r>
                      <w:t>114</w:t>
                    </w:r>
                    <w:r>
                      <w:fldChar w:fldCharType="end"/>
                    </w:r>
                    <w:r>
                      <w:t xml:space="preserve"> 页 共 </w:t>
                    </w:r>
                    <w:r>
                      <w:fldChar w:fldCharType="begin"/>
                    </w:r>
                    <w:r>
                      <w:instrText xml:space="preserve"> NUMPAGES  \* MERGEFORMAT </w:instrText>
                    </w:r>
                    <w:r>
                      <w:fldChar w:fldCharType="separate"/>
                    </w:r>
                    <w:r>
                      <w:t>134</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F94E21">
    <w:pPr>
      <w:pStyle w:val="12"/>
      <w:spacing w:line="14" w:lineRule="auto"/>
      <w:rPr>
        <w:sz w:val="20"/>
      </w:rPr>
    </w:pPr>
    <w:r>
      <w:rPr>
        <w:sz w:val="20"/>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74012D">
                          <w:pPr>
                            <w:pStyle w:val="16"/>
                          </w:pPr>
                          <w:r>
                            <w:t xml:space="preserve">第 </w:t>
                          </w:r>
                          <w:r>
                            <w:fldChar w:fldCharType="begin"/>
                          </w:r>
                          <w:r>
                            <w:instrText xml:space="preserve"> PAGE  \* MERGEFORMAT </w:instrText>
                          </w:r>
                          <w:r>
                            <w:fldChar w:fldCharType="separate"/>
                          </w:r>
                          <w:r>
                            <w:t>116</w:t>
                          </w:r>
                          <w:r>
                            <w:fldChar w:fldCharType="end"/>
                          </w:r>
                          <w:r>
                            <w:t xml:space="preserve"> 页 共 </w:t>
                          </w:r>
                          <w:r>
                            <w:fldChar w:fldCharType="begin"/>
                          </w:r>
                          <w:r>
                            <w:instrText xml:space="preserve"> NUMPAGES  \* MERGEFORMAT </w:instrText>
                          </w:r>
                          <w:r>
                            <w:fldChar w:fldCharType="separate"/>
                          </w:r>
                          <w:r>
                            <w:t>134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2874012D">
                    <w:pPr>
                      <w:pStyle w:val="16"/>
                    </w:pPr>
                    <w:r>
                      <w:t xml:space="preserve">第 </w:t>
                    </w:r>
                    <w:r>
                      <w:fldChar w:fldCharType="begin"/>
                    </w:r>
                    <w:r>
                      <w:instrText xml:space="preserve"> PAGE  \* MERGEFORMAT </w:instrText>
                    </w:r>
                    <w:r>
                      <w:fldChar w:fldCharType="separate"/>
                    </w:r>
                    <w:r>
                      <w:t>116</w:t>
                    </w:r>
                    <w:r>
                      <w:fldChar w:fldCharType="end"/>
                    </w:r>
                    <w:r>
                      <w:t xml:space="preserve"> 页 共 </w:t>
                    </w:r>
                    <w:r>
                      <w:fldChar w:fldCharType="begin"/>
                    </w:r>
                    <w:r>
                      <w:instrText xml:space="preserve"> NUMPAGES  \* MERGEFORMAT </w:instrText>
                    </w:r>
                    <w:r>
                      <w:fldChar w:fldCharType="separate"/>
                    </w:r>
                    <w:r>
                      <w:t>134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961B44">
    <w:pPr>
      <w:pStyle w:val="17"/>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4A41A">
    <w:pPr>
      <w:pStyle w:val="12"/>
      <w:pBdr>
        <w:bottom w:val="none" w:color="auto" w:sz="0" w:space="0"/>
      </w:pBdr>
      <w:spacing w:line="14" w:lineRule="auto"/>
      <w:rPr>
        <w:sz w:val="20"/>
      </w:rPr>
    </w:pPr>
    <w:r>
      <w:rPr>
        <w:lang w:val="en-US" w:bidi="ar-SA"/>
      </w:rPr>
      <mc:AlternateContent>
        <mc:Choice Requires="wps">
          <w:drawing>
            <wp:anchor distT="0" distB="0" distL="114300" distR="114300" simplePos="0" relativeHeight="251660288" behindDoc="1" locked="0" layoutInCell="1" allowOverlap="1">
              <wp:simplePos x="0" y="0"/>
              <wp:positionH relativeFrom="page">
                <wp:posOffset>1122680</wp:posOffset>
              </wp:positionH>
              <wp:positionV relativeFrom="page">
                <wp:posOffset>1205230</wp:posOffset>
              </wp:positionV>
              <wp:extent cx="776605" cy="109220"/>
              <wp:effectExtent l="0" t="0" r="0" b="0"/>
              <wp:wrapNone/>
              <wp:docPr id="17" name="文本框 1"/>
              <wp:cNvGraphicFramePr/>
              <a:graphic xmlns:a="http://schemas.openxmlformats.org/drawingml/2006/main">
                <a:graphicData uri="http://schemas.microsoft.com/office/word/2010/wordprocessingShape">
                  <wps:wsp>
                    <wps:cNvSpPr txBox="1"/>
                    <wps:spPr>
                      <a:xfrm>
                        <a:off x="0" y="0"/>
                        <a:ext cx="776605" cy="109220"/>
                      </a:xfrm>
                      <a:prstGeom prst="rect">
                        <a:avLst/>
                      </a:prstGeom>
                      <a:noFill/>
                      <a:ln>
                        <a:noFill/>
                      </a:ln>
                    </wps:spPr>
                    <wps:txbx>
                      <w:txbxContent>
                        <w:p w14:paraId="254898FE">
                          <w:pPr>
                            <w:rPr>
                              <w:sz w:val="18"/>
                            </w:rPr>
                          </w:pPr>
                        </w:p>
                      </w:txbxContent>
                    </wps:txbx>
                    <wps:bodyPr lIns="0" tIns="0" rIns="0" bIns="0" upright="1"/>
                  </wps:wsp>
                </a:graphicData>
              </a:graphic>
            </wp:anchor>
          </w:drawing>
        </mc:Choice>
        <mc:Fallback>
          <w:pict>
            <v:shape id="文本框 1" o:spid="_x0000_s1026" o:spt="202" type="#_x0000_t202" style="position:absolute;left:0pt;margin-left:88.4pt;margin-top:94.9pt;height:8.6pt;width:61.15pt;mso-position-horizontal-relative:page;mso-position-vertical-relative:page;z-index:-251656192;mso-width-relative:page;mso-height-relative:page;" filled="f" stroked="f" coordsize="21600,21600" o:gfxdata="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L+6wYTXAAAACwEAAA8AAAAAAAAAAQAgAAAAIgAAAGRycy9kb3ducmV2LnhtbFBLAQIU&#10;ABQAAAAIAIdO4kDonveHuwEAAHIDAAAOAAAAAAAAAAEAIAAAACYBAABkcnMvZTJvRG9jLnhtbFBL&#10;BQYAAAAABgAGAFkBAABTBQAAAAA=&#10;">
              <v:fill on="f" focussize="0,0"/>
              <v:stroke on="f"/>
              <v:imagedata o:title=""/>
              <o:lock v:ext="edit" aspectratio="f"/>
              <v:textbox inset="0mm,0mm,0mm,0mm">
                <w:txbxContent>
                  <w:p w14:paraId="254898FE">
                    <w:pPr>
                      <w:rPr>
                        <w:sz w:val="18"/>
                      </w:rPr>
                    </w:pPr>
                  </w:p>
                </w:txbxContent>
              </v:textbox>
            </v:shape>
          </w:pict>
        </mc:Fallback>
      </mc:AlternateContent>
    </w:r>
    <w:r>
      <w:rPr>
        <w:lang w:val="en-US" w:bidi="ar-SA"/>
      </w:rPr>
      <mc:AlternateContent>
        <mc:Choice Requires="wps">
          <w:drawing>
            <wp:anchor distT="0" distB="0" distL="114300" distR="114300" simplePos="0" relativeHeight="251661312" behindDoc="1" locked="0" layoutInCell="1" allowOverlap="1">
              <wp:simplePos x="0" y="0"/>
              <wp:positionH relativeFrom="page">
                <wp:posOffset>5910580</wp:posOffset>
              </wp:positionH>
              <wp:positionV relativeFrom="page">
                <wp:posOffset>544830</wp:posOffset>
              </wp:positionV>
              <wp:extent cx="482600" cy="139700"/>
              <wp:effectExtent l="0" t="0" r="0" b="0"/>
              <wp:wrapNone/>
              <wp:docPr id="18" name="文本框 2"/>
              <wp:cNvGraphicFramePr/>
              <a:graphic xmlns:a="http://schemas.openxmlformats.org/drawingml/2006/main">
                <a:graphicData uri="http://schemas.microsoft.com/office/word/2010/wordprocessingShape">
                  <wps:wsp>
                    <wps:cNvSpPr txBox="1"/>
                    <wps:spPr>
                      <a:xfrm>
                        <a:off x="0" y="0"/>
                        <a:ext cx="482600" cy="139700"/>
                      </a:xfrm>
                      <a:prstGeom prst="rect">
                        <a:avLst/>
                      </a:prstGeom>
                      <a:noFill/>
                      <a:ln>
                        <a:noFill/>
                      </a:ln>
                    </wps:spPr>
                    <wps:txbx>
                      <w:txbxContent>
                        <w:p w14:paraId="19C8EBF1">
                          <w:pPr>
                            <w:spacing w:line="220" w:lineRule="exact"/>
                            <w:rPr>
                              <w:sz w:val="18"/>
                            </w:rPr>
                          </w:pPr>
                        </w:p>
                      </w:txbxContent>
                    </wps:txbx>
                    <wps:bodyPr lIns="0" tIns="0" rIns="0" bIns="0" upright="1"/>
                  </wps:wsp>
                </a:graphicData>
              </a:graphic>
            </wp:anchor>
          </w:drawing>
        </mc:Choice>
        <mc:Fallback>
          <w:pict>
            <v:shape id="文本框 2" o:spid="_x0000_s1026" o:spt="202" type="#_x0000_t202" style="position:absolute;left:0pt;margin-left:465.4pt;margin-top:42.9pt;height:11pt;width:38pt;mso-position-horizontal-relative:page;mso-position-vertical-relative:page;z-index:-251655168;mso-width-relative:page;mso-height-relative:page;" filled="f" stroked="f" coordsize="21600,21600" o:gfxdata="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swqvl1wAAAAsBAAAPAAAAAAAAAAEAIAAAACIAAABkcnMvZG93bnJldi54bWxQSwECFAAU&#10;AAAACACHTuJAuSYQ4bkBAAByAwAADgAAAAAAAAABACAAAAAmAQAAZHJzL2Uyb0RvYy54bWxQSwUG&#10;AAAAAAYABgBZAQAAUQUAAAAA&#10;">
              <v:fill on="f" focussize="0,0"/>
              <v:stroke on="f"/>
              <v:imagedata o:title=""/>
              <o:lock v:ext="edit" aspectratio="f"/>
              <v:textbox inset="0mm,0mm,0mm,0mm">
                <w:txbxContent>
                  <w:p w14:paraId="19C8EBF1">
                    <w:pPr>
                      <w:spacing w:line="220" w:lineRule="exact"/>
                      <w:rPr>
                        <w:sz w:val="18"/>
                      </w:rPr>
                    </w:pP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BAEB3">
    <w:pPr>
      <w:pBdr>
        <w:bottom w:val="none" w:color="auto" w:sz="0" w:space="0"/>
      </w:pBdr>
      <w:spacing w:line="440" w:lineRule="exact"/>
      <w:ind w:firstLine="442" w:firstLineChars="200"/>
      <w:jc w:val="center"/>
      <w:rPr>
        <w:rFonts w:hint="eastAsia" w:ascii="宋体" w:hAnsi="宋体" w:eastAsia="宋体"/>
        <w:b/>
        <w:i/>
        <w:iCs/>
        <w:kern w:val="0"/>
        <w:sz w:val="18"/>
        <w:szCs w:val="18"/>
        <w:lang w:val="en-US" w:eastAsia="zh-CN" w:bidi="ar-SA"/>
      </w:rPr>
    </w:pPr>
    <w:r>
      <w:rPr>
        <w:rFonts w:hint="eastAsia" w:ascii="宋体" w:hAnsi="宋体"/>
        <w:b/>
      </w:rPr>
      <w:t xml:space="preserve">            </w:t>
    </w:r>
    <w:r>
      <w:rPr>
        <w:rFonts w:hint="eastAsia" w:ascii="宋体" w:hAnsi="宋体"/>
        <w:b/>
        <w:lang w:val="en-US" w:eastAsia="zh-CN"/>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97D7BE">
    <w:pPr>
      <w:pStyle w:val="12"/>
      <w:spacing w:line="14" w:lineRule="auto"/>
      <w:rPr>
        <w:sz w:val="20"/>
      </w:rPr>
    </w:pPr>
    <w:r>
      <w:rPr>
        <w:lang w:val="en-US" w:bidi="ar-SA"/>
      </w:rPr>
      <mc:AlternateContent>
        <mc:Choice Requires="wps">
          <w:drawing>
            <wp:anchor distT="0" distB="0" distL="114300" distR="114300" simplePos="0" relativeHeight="251662336" behindDoc="1" locked="0" layoutInCell="1" allowOverlap="1">
              <wp:simplePos x="0" y="0"/>
              <wp:positionH relativeFrom="page">
                <wp:posOffset>887730</wp:posOffset>
              </wp:positionH>
              <wp:positionV relativeFrom="page">
                <wp:posOffset>541020</wp:posOffset>
              </wp:positionV>
              <wp:extent cx="2977515" cy="152400"/>
              <wp:effectExtent l="0" t="0" r="0" b="0"/>
              <wp:wrapNone/>
              <wp:docPr id="33" name="文本框 26"/>
              <wp:cNvGraphicFramePr/>
              <a:graphic xmlns:a="http://schemas.openxmlformats.org/drawingml/2006/main">
                <a:graphicData uri="http://schemas.microsoft.com/office/word/2010/wordprocessingShape">
                  <wps:wsp>
                    <wps:cNvSpPr txBox="1"/>
                    <wps:spPr>
                      <a:xfrm>
                        <a:off x="0" y="0"/>
                        <a:ext cx="2977515" cy="152400"/>
                      </a:xfrm>
                      <a:prstGeom prst="rect">
                        <a:avLst/>
                      </a:prstGeom>
                      <a:noFill/>
                      <a:ln>
                        <a:noFill/>
                      </a:ln>
                    </wps:spPr>
                    <wps:txbx>
                      <w:txbxContent>
                        <w:p w14:paraId="3E0489EA">
                          <w:pPr>
                            <w:ind w:left="20"/>
                            <w:rPr>
                              <w:sz w:val="18"/>
                            </w:rPr>
                          </w:pPr>
                        </w:p>
                      </w:txbxContent>
                    </wps:txbx>
                    <wps:bodyPr lIns="0" tIns="0" rIns="0" bIns="0" upright="1"/>
                  </wps:wsp>
                </a:graphicData>
              </a:graphic>
            </wp:anchor>
          </w:drawing>
        </mc:Choice>
        <mc:Fallback>
          <w:pict>
            <v:shape id="文本框 26" o:spid="_x0000_s1026" o:spt="202" type="#_x0000_t202" style="position:absolute;left:0pt;margin-left:69.9pt;margin-top:42.6pt;height:12pt;width:234.45pt;mso-position-horizontal-relative:page;mso-position-vertical-relative:page;z-index:-251654144;mso-width-relative:page;mso-height-relative:page;" filled="f" stroked="f" coordsize="21600,21600" o:gfxdata="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HXctHrXAAAACgEAAA8AAAAAAAAAAQAgAAAAIgAAAGRycy9kb3ducmV2LnhtbFBL&#10;AQIUABQAAAAIAIdO4kAKwiiAvgEAAHQDAAAOAAAAAAAAAAEAIAAAACYBAABkcnMvZTJvRG9jLnht&#10;bFBLBQYAAAAABgAGAFkBAABWBQAAAAA=&#10;">
              <v:fill on="f" focussize="0,0"/>
              <v:stroke on="f"/>
              <v:imagedata o:title=""/>
              <o:lock v:ext="edit" aspectratio="f"/>
              <v:textbox inset="0mm,0mm,0mm,0mm">
                <w:txbxContent>
                  <w:p w14:paraId="3E0489EA">
                    <w:pPr>
                      <w:ind w:left="20"/>
                      <w:rPr>
                        <w:sz w:val="18"/>
                      </w:rPr>
                    </w:pPr>
                  </w:p>
                </w:txbxContent>
              </v:textbox>
            </v:shape>
          </w:pict>
        </mc:Fallback>
      </mc:AlternateContent>
    </w:r>
    <w:r>
      <w:rPr>
        <w:lang w:val="en-US" w:bidi="ar-SA"/>
      </w:rPr>
      <mc:AlternateContent>
        <mc:Choice Requires="wps">
          <w:drawing>
            <wp:anchor distT="0" distB="0" distL="114300" distR="114300" simplePos="0" relativeHeight="251663360" behindDoc="1" locked="0" layoutInCell="1" allowOverlap="1">
              <wp:simplePos x="0" y="0"/>
              <wp:positionH relativeFrom="page">
                <wp:posOffset>5668645</wp:posOffset>
              </wp:positionH>
              <wp:positionV relativeFrom="page">
                <wp:posOffset>544830</wp:posOffset>
              </wp:positionV>
              <wp:extent cx="482600" cy="139700"/>
              <wp:effectExtent l="0" t="0" r="0" b="0"/>
              <wp:wrapNone/>
              <wp:docPr id="34" name="文本框 27"/>
              <wp:cNvGraphicFramePr/>
              <a:graphic xmlns:a="http://schemas.openxmlformats.org/drawingml/2006/main">
                <a:graphicData uri="http://schemas.microsoft.com/office/word/2010/wordprocessingShape">
                  <wps:wsp>
                    <wps:cNvSpPr txBox="1"/>
                    <wps:spPr>
                      <a:xfrm>
                        <a:off x="0" y="0"/>
                        <a:ext cx="482600" cy="139700"/>
                      </a:xfrm>
                      <a:prstGeom prst="rect">
                        <a:avLst/>
                      </a:prstGeom>
                      <a:noFill/>
                      <a:ln>
                        <a:noFill/>
                      </a:ln>
                    </wps:spPr>
                    <wps:txbx>
                      <w:txbxContent>
                        <w:p w14:paraId="3AFD2C71">
                          <w:pPr>
                            <w:spacing w:line="220" w:lineRule="exact"/>
                            <w:rPr>
                              <w:sz w:val="18"/>
                            </w:rPr>
                          </w:pPr>
                        </w:p>
                      </w:txbxContent>
                    </wps:txbx>
                    <wps:bodyPr lIns="0" tIns="0" rIns="0" bIns="0" upright="1"/>
                  </wps:wsp>
                </a:graphicData>
              </a:graphic>
            </wp:anchor>
          </w:drawing>
        </mc:Choice>
        <mc:Fallback>
          <w:pict>
            <v:shape id="文本框 27" o:spid="_x0000_s1026" o:spt="202" type="#_x0000_t202" style="position:absolute;left:0pt;margin-left:446.35pt;margin-top:42.9pt;height:11pt;width:38pt;mso-position-horizontal-relative:page;mso-position-vertical-relative:page;z-index:-251653120;mso-width-relative:page;mso-height-relative:page;" filled="f" stroked="f" coordsize="21600,21600" o:gfxdata="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bqiHi2AAAAAoBAAAPAAAAAAAAAAEAIAAAACIAAABkcnMvZG93bnJldi54bWxQSwEC&#10;FAAUAAAACACHTuJAktTWn7sBAABzAwAADgAAAAAAAAABACAAAAAnAQAAZHJzL2Uyb0RvYy54bWxQ&#10;SwUGAAAAAAYABgBZAQAAVAUAAAAA&#10;">
              <v:fill on="f" focussize="0,0"/>
              <v:stroke on="f"/>
              <v:imagedata o:title=""/>
              <o:lock v:ext="edit" aspectratio="f"/>
              <v:textbox inset="0mm,0mm,0mm,0mm">
                <w:txbxContent>
                  <w:p w14:paraId="3AFD2C71">
                    <w:pPr>
                      <w:spacing w:line="220" w:lineRule="exact"/>
                      <w:rPr>
                        <w:sz w:val="18"/>
                      </w:rPr>
                    </w:pPr>
                  </w:p>
                </w:txbxContent>
              </v:textbox>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19B90">
    <w:pPr>
      <w:pStyle w:val="12"/>
      <w:spacing w:line="14" w:lineRule="auto"/>
      <w:rPr>
        <w:sz w:val="20"/>
      </w:rPr>
    </w:pPr>
    <w:r>
      <w:rPr>
        <w:lang w:val="en-US" w:bidi="ar-SA"/>
      </w:rPr>
      <mc:AlternateContent>
        <mc:Choice Requires="wps">
          <w:drawing>
            <wp:anchor distT="0" distB="0" distL="114300" distR="114300" simplePos="0" relativeHeight="251672576" behindDoc="1" locked="0" layoutInCell="1" allowOverlap="1">
              <wp:simplePos x="0" y="0"/>
              <wp:positionH relativeFrom="page">
                <wp:posOffset>887730</wp:posOffset>
              </wp:positionH>
              <wp:positionV relativeFrom="page">
                <wp:posOffset>541020</wp:posOffset>
              </wp:positionV>
              <wp:extent cx="2977515" cy="152400"/>
              <wp:effectExtent l="0" t="0" r="0" b="0"/>
              <wp:wrapNone/>
              <wp:docPr id="5" name="文本框 26"/>
              <wp:cNvGraphicFramePr/>
              <a:graphic xmlns:a="http://schemas.openxmlformats.org/drawingml/2006/main">
                <a:graphicData uri="http://schemas.microsoft.com/office/word/2010/wordprocessingShape">
                  <wps:wsp>
                    <wps:cNvSpPr txBox="1"/>
                    <wps:spPr>
                      <a:xfrm>
                        <a:off x="0" y="0"/>
                        <a:ext cx="2977515" cy="152400"/>
                      </a:xfrm>
                      <a:prstGeom prst="rect">
                        <a:avLst/>
                      </a:prstGeom>
                      <a:noFill/>
                      <a:ln>
                        <a:noFill/>
                      </a:ln>
                    </wps:spPr>
                    <wps:txbx>
                      <w:txbxContent>
                        <w:p w14:paraId="5C4B75E5">
                          <w:pPr>
                            <w:ind w:left="20"/>
                            <w:rPr>
                              <w:sz w:val="18"/>
                            </w:rPr>
                          </w:pPr>
                        </w:p>
                      </w:txbxContent>
                    </wps:txbx>
                    <wps:bodyPr lIns="0" tIns="0" rIns="0" bIns="0" upright="1"/>
                  </wps:wsp>
                </a:graphicData>
              </a:graphic>
            </wp:anchor>
          </w:drawing>
        </mc:Choice>
        <mc:Fallback>
          <w:pict>
            <v:shape id="文本框 26" o:spid="_x0000_s1026" o:spt="202" type="#_x0000_t202" style="position:absolute;left:0pt;margin-left:69.9pt;margin-top:42.6pt;height:12pt;width:234.45pt;mso-position-horizontal-relative:page;mso-position-vertical-relative:page;z-index:-251643904;mso-width-relative:page;mso-height-relative:page;" filled="f" stroked="f" coordsize="21600,21600" o:gfxdata="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13LR61wAAAAoBAAAPAAAAAAAAAAEAIAAAACIAAABkcnMvZG93bnJldi54bWxQSwEC&#10;FAAUAAAACACHTuJAYO3ayrwBAABzAwAADgAAAAAAAAABACAAAAAmAQAAZHJzL2Uyb0RvYy54bWxQ&#10;SwUGAAAAAAYABgBZAQAAVAUAAAAA&#10;">
              <v:fill on="f" focussize="0,0"/>
              <v:stroke on="f"/>
              <v:imagedata o:title=""/>
              <o:lock v:ext="edit" aspectratio="f"/>
              <v:textbox inset="0mm,0mm,0mm,0mm">
                <w:txbxContent>
                  <w:p w14:paraId="5C4B75E5">
                    <w:pPr>
                      <w:ind w:left="20"/>
                      <w:rPr>
                        <w:sz w:val="18"/>
                      </w:rPr>
                    </w:pPr>
                  </w:p>
                </w:txbxContent>
              </v:textbox>
            </v:shape>
          </w:pict>
        </mc:Fallback>
      </mc:AlternateContent>
    </w:r>
    <w:r>
      <w:rPr>
        <w:lang w:val="en-US" w:bidi="ar-SA"/>
      </w:rPr>
      <mc:AlternateContent>
        <mc:Choice Requires="wps">
          <w:drawing>
            <wp:anchor distT="0" distB="0" distL="114300" distR="114300" simplePos="0" relativeHeight="251673600" behindDoc="1" locked="0" layoutInCell="1" allowOverlap="1">
              <wp:simplePos x="0" y="0"/>
              <wp:positionH relativeFrom="page">
                <wp:posOffset>5668645</wp:posOffset>
              </wp:positionH>
              <wp:positionV relativeFrom="page">
                <wp:posOffset>544830</wp:posOffset>
              </wp:positionV>
              <wp:extent cx="482600" cy="139700"/>
              <wp:effectExtent l="0" t="0" r="0" b="0"/>
              <wp:wrapNone/>
              <wp:docPr id="7" name="文本框 27"/>
              <wp:cNvGraphicFramePr/>
              <a:graphic xmlns:a="http://schemas.openxmlformats.org/drawingml/2006/main">
                <a:graphicData uri="http://schemas.microsoft.com/office/word/2010/wordprocessingShape">
                  <wps:wsp>
                    <wps:cNvSpPr txBox="1"/>
                    <wps:spPr>
                      <a:xfrm>
                        <a:off x="0" y="0"/>
                        <a:ext cx="482600" cy="139700"/>
                      </a:xfrm>
                      <a:prstGeom prst="rect">
                        <a:avLst/>
                      </a:prstGeom>
                      <a:noFill/>
                      <a:ln>
                        <a:noFill/>
                      </a:ln>
                    </wps:spPr>
                    <wps:txbx>
                      <w:txbxContent>
                        <w:p w14:paraId="01005FB3">
                          <w:pPr>
                            <w:spacing w:line="220" w:lineRule="exact"/>
                            <w:rPr>
                              <w:sz w:val="18"/>
                            </w:rPr>
                          </w:pPr>
                        </w:p>
                      </w:txbxContent>
                    </wps:txbx>
                    <wps:bodyPr lIns="0" tIns="0" rIns="0" bIns="0" upright="1"/>
                  </wps:wsp>
                </a:graphicData>
              </a:graphic>
            </wp:anchor>
          </w:drawing>
        </mc:Choice>
        <mc:Fallback>
          <w:pict>
            <v:shape id="文本框 27" o:spid="_x0000_s1026" o:spt="202" type="#_x0000_t202" style="position:absolute;left:0pt;margin-left:446.35pt;margin-top:42.9pt;height:11pt;width:38pt;mso-position-horizontal-relative:page;mso-position-vertical-relative:page;z-index:-251642880;mso-width-relative:page;mso-height-relative:page;" filled="f" stroked="f" coordsize="21600,21600" o:gfxdata="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JuqIeLYAAAACgEAAA8AAAAAAAAAAQAgAAAAIgAAAGRycy9kb3ducmV2LnhtbFBLAQIU&#10;ABQAAAAIAIdO4kCylwp/ugEAAHIDAAAOAAAAAAAAAAEAIAAAACcBAABkcnMvZTJvRG9jLnhtbFBL&#10;BQYAAAAABgAGAFkBAABTBQAAAAA=&#10;">
              <v:fill on="f" focussize="0,0"/>
              <v:stroke on="f"/>
              <v:imagedata o:title=""/>
              <o:lock v:ext="edit" aspectratio="f"/>
              <v:textbox inset="0mm,0mm,0mm,0mm">
                <w:txbxContent>
                  <w:p w14:paraId="01005FB3">
                    <w:pPr>
                      <w:spacing w:line="220" w:lineRule="exact"/>
                      <w:rPr>
                        <w:sz w:val="18"/>
                      </w:rPr>
                    </w:pPr>
                  </w:p>
                </w:txbxContent>
              </v:textbox>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196058">
    <w:pPr>
      <w:pStyle w:val="12"/>
      <w:spacing w:line="14" w:lineRule="auto"/>
      <w:rPr>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03806">
    <w:pPr>
      <w:pStyle w:val="12"/>
      <w:spacing w:line="14" w:lineRule="auto"/>
      <w:rPr>
        <w:sz w:val="20"/>
      </w:rPr>
    </w:pPr>
    <w:r>
      <w:rPr>
        <w:lang w:val="en-US" w:bidi="ar-SA"/>
      </w:rPr>
      <mc:AlternateContent>
        <mc:Choice Requires="wps">
          <w:drawing>
            <wp:anchor distT="0" distB="0" distL="114300" distR="114300" simplePos="0" relativeHeight="251668480" behindDoc="1" locked="0" layoutInCell="1" allowOverlap="1">
              <wp:simplePos x="0" y="0"/>
              <wp:positionH relativeFrom="page">
                <wp:posOffset>887730</wp:posOffset>
              </wp:positionH>
              <wp:positionV relativeFrom="page">
                <wp:posOffset>541020</wp:posOffset>
              </wp:positionV>
              <wp:extent cx="2977515" cy="152400"/>
              <wp:effectExtent l="0" t="0" r="0" b="0"/>
              <wp:wrapNone/>
              <wp:docPr id="54" name="文本框 34"/>
              <wp:cNvGraphicFramePr/>
              <a:graphic xmlns:a="http://schemas.openxmlformats.org/drawingml/2006/main">
                <a:graphicData uri="http://schemas.microsoft.com/office/word/2010/wordprocessingShape">
                  <wps:wsp>
                    <wps:cNvSpPr txBox="1"/>
                    <wps:spPr>
                      <a:xfrm>
                        <a:off x="0" y="0"/>
                        <a:ext cx="2977515" cy="152400"/>
                      </a:xfrm>
                      <a:prstGeom prst="rect">
                        <a:avLst/>
                      </a:prstGeom>
                      <a:noFill/>
                      <a:ln>
                        <a:noFill/>
                      </a:ln>
                    </wps:spPr>
                    <wps:txbx>
                      <w:txbxContent>
                        <w:p w14:paraId="6836486E">
                          <w:pPr>
                            <w:rPr>
                              <w:sz w:val="18"/>
                            </w:rPr>
                          </w:pPr>
                        </w:p>
                      </w:txbxContent>
                    </wps:txbx>
                    <wps:bodyPr lIns="0" tIns="0" rIns="0" bIns="0" upright="1"/>
                  </wps:wsp>
                </a:graphicData>
              </a:graphic>
            </wp:anchor>
          </w:drawing>
        </mc:Choice>
        <mc:Fallback>
          <w:pict>
            <v:shape id="文本框 34" o:spid="_x0000_s1026" o:spt="202" type="#_x0000_t202" style="position:absolute;left:0pt;margin-left:69.9pt;margin-top:42.6pt;height:12pt;width:234.45pt;mso-position-horizontal-relative:page;mso-position-vertical-relative:page;z-index:-251648000;mso-width-relative:page;mso-height-relative:page;" filled="f" stroked="f" coordsize="21600,21600" o:gfxdata="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HXctHrXAAAACgEAAA8AAAAAAAAAAQAgAAAAIgAAAGRycy9kb3ducmV2LnhtbFBL&#10;AQIUABQAAAAIAIdO4kCU10nevgEAAHQDAAAOAAAAAAAAAAEAIAAAACYBAABkcnMvZTJvRG9jLnht&#10;bFBLBQYAAAAABgAGAFkBAABWBQAAAAA=&#10;">
              <v:fill on="f" focussize="0,0"/>
              <v:stroke on="f"/>
              <v:imagedata o:title=""/>
              <o:lock v:ext="edit" aspectratio="f"/>
              <v:textbox inset="0mm,0mm,0mm,0mm">
                <w:txbxContent>
                  <w:p w14:paraId="6836486E">
                    <w:pPr>
                      <w:rPr>
                        <w:sz w:val="18"/>
                      </w:rPr>
                    </w:pPr>
                  </w:p>
                </w:txbxContent>
              </v:textbox>
            </v:shape>
          </w:pict>
        </mc:Fallback>
      </mc:AlternateContent>
    </w:r>
    <w:r>
      <w:rPr>
        <w:lang w:val="en-US" w:bidi="ar-SA"/>
      </w:rPr>
      <mc:AlternateContent>
        <mc:Choice Requires="wps">
          <w:drawing>
            <wp:anchor distT="0" distB="0" distL="114300" distR="114300" simplePos="0" relativeHeight="251669504" behindDoc="1" locked="0" layoutInCell="1" allowOverlap="1">
              <wp:simplePos x="0" y="0"/>
              <wp:positionH relativeFrom="page">
                <wp:posOffset>5668645</wp:posOffset>
              </wp:positionH>
              <wp:positionV relativeFrom="page">
                <wp:posOffset>544830</wp:posOffset>
              </wp:positionV>
              <wp:extent cx="482600" cy="139700"/>
              <wp:effectExtent l="0" t="0" r="0" b="0"/>
              <wp:wrapNone/>
              <wp:docPr id="55" name="文本框 35"/>
              <wp:cNvGraphicFramePr/>
              <a:graphic xmlns:a="http://schemas.openxmlformats.org/drawingml/2006/main">
                <a:graphicData uri="http://schemas.microsoft.com/office/word/2010/wordprocessingShape">
                  <wps:wsp>
                    <wps:cNvSpPr txBox="1"/>
                    <wps:spPr>
                      <a:xfrm>
                        <a:off x="0" y="0"/>
                        <a:ext cx="482600" cy="139700"/>
                      </a:xfrm>
                      <a:prstGeom prst="rect">
                        <a:avLst/>
                      </a:prstGeom>
                      <a:noFill/>
                      <a:ln>
                        <a:noFill/>
                      </a:ln>
                    </wps:spPr>
                    <wps:txbx>
                      <w:txbxContent>
                        <w:p w14:paraId="02E349FD">
                          <w:pPr>
                            <w:spacing w:line="220" w:lineRule="exact"/>
                            <w:ind w:left="20"/>
                            <w:rPr>
                              <w:sz w:val="18"/>
                            </w:rPr>
                          </w:pPr>
                        </w:p>
                      </w:txbxContent>
                    </wps:txbx>
                    <wps:bodyPr lIns="0" tIns="0" rIns="0" bIns="0" upright="1"/>
                  </wps:wsp>
                </a:graphicData>
              </a:graphic>
            </wp:anchor>
          </w:drawing>
        </mc:Choice>
        <mc:Fallback>
          <w:pict>
            <v:shape id="文本框 35" o:spid="_x0000_s1026" o:spt="202" type="#_x0000_t202" style="position:absolute;left:0pt;margin-left:446.35pt;margin-top:42.9pt;height:11pt;width:38pt;mso-position-horizontal-relative:page;mso-position-vertical-relative:page;z-index:-251646976;mso-width-relative:page;mso-height-relative:page;" filled="f" stroked="f" coordsize="21600,21600" o:gfxdata="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bqiHi2AAAAAoBAAAPAAAAAAAAAAEAIAAAACIAAABkcnMvZG93bnJldi54bWxQSwEC&#10;FAAUAAAACACHTuJAkvShqbsBAABzAwAADgAAAAAAAAABACAAAAAnAQAAZHJzL2Uyb0RvYy54bWxQ&#10;SwUGAAAAAAYABgBZAQAAVAUAAAAA&#10;">
              <v:fill on="f" focussize="0,0"/>
              <v:stroke on="f"/>
              <v:imagedata o:title=""/>
              <o:lock v:ext="edit" aspectratio="f"/>
              <v:textbox inset="0mm,0mm,0mm,0mm">
                <w:txbxContent>
                  <w:p w14:paraId="02E349FD">
                    <w:pPr>
                      <w:spacing w:line="220" w:lineRule="exact"/>
                      <w:ind w:left="20"/>
                      <w:rPr>
                        <w:sz w:val="18"/>
                      </w:rPr>
                    </w:pPr>
                  </w:p>
                </w:txbxContent>
              </v:textbox>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22B915">
    <w:pPr>
      <w:pStyle w:val="12"/>
      <w:spacing w:line="14" w:lineRule="auto"/>
      <w:rPr>
        <w:sz w:val="20"/>
      </w:rPr>
    </w:pPr>
    <w:r>
      <w:rPr>
        <w:lang w:val="en-US" w:bidi="ar-SA"/>
      </w:rPr>
      <mc:AlternateContent>
        <mc:Choice Requires="wps">
          <w:drawing>
            <wp:anchor distT="0" distB="0" distL="114300" distR="114300" simplePos="0" relativeHeight="251664384" behindDoc="1" locked="0" layoutInCell="1" allowOverlap="1">
              <wp:simplePos x="0" y="0"/>
              <wp:positionH relativeFrom="page">
                <wp:posOffset>887730</wp:posOffset>
              </wp:positionH>
              <wp:positionV relativeFrom="page">
                <wp:posOffset>541020</wp:posOffset>
              </wp:positionV>
              <wp:extent cx="2977515" cy="152400"/>
              <wp:effectExtent l="0" t="0" r="0" b="0"/>
              <wp:wrapNone/>
              <wp:docPr id="41" name="文本框 34"/>
              <wp:cNvGraphicFramePr/>
              <a:graphic xmlns:a="http://schemas.openxmlformats.org/drawingml/2006/main">
                <a:graphicData uri="http://schemas.microsoft.com/office/word/2010/wordprocessingShape">
                  <wps:wsp>
                    <wps:cNvSpPr txBox="1"/>
                    <wps:spPr>
                      <a:xfrm>
                        <a:off x="0" y="0"/>
                        <a:ext cx="2977515" cy="152400"/>
                      </a:xfrm>
                      <a:prstGeom prst="rect">
                        <a:avLst/>
                      </a:prstGeom>
                      <a:noFill/>
                      <a:ln>
                        <a:noFill/>
                      </a:ln>
                    </wps:spPr>
                    <wps:txbx>
                      <w:txbxContent>
                        <w:p w14:paraId="3E9D31DE">
                          <w:pPr>
                            <w:ind w:left="20"/>
                            <w:rPr>
                              <w:sz w:val="18"/>
                            </w:rPr>
                          </w:pPr>
                        </w:p>
                      </w:txbxContent>
                    </wps:txbx>
                    <wps:bodyPr lIns="0" tIns="0" rIns="0" bIns="0" upright="1"/>
                  </wps:wsp>
                </a:graphicData>
              </a:graphic>
            </wp:anchor>
          </w:drawing>
        </mc:Choice>
        <mc:Fallback>
          <w:pict>
            <v:shape id="文本框 34" o:spid="_x0000_s1026" o:spt="202" type="#_x0000_t202" style="position:absolute;left:0pt;margin-left:69.9pt;margin-top:42.6pt;height:12pt;width:234.45pt;mso-position-horizontal-relative:page;mso-position-vertical-relative:page;z-index:-251652096;mso-width-relative:page;mso-height-relative:page;" filled="f" stroked="f" coordsize="21600,21600" o:gfxdata="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HXctHrXAAAACgEAAA8AAAAAAAAAAQAgAAAAIgAAAGRycy9kb3ducmV2LnhtbFBL&#10;AQIUABQAAAAIAIdO4kAG20xPvgEAAHQDAAAOAAAAAAAAAAEAIAAAACYBAABkcnMvZTJvRG9jLnht&#10;bFBLBQYAAAAABgAGAFkBAABWBQAAAAA=&#10;">
              <v:fill on="f" focussize="0,0"/>
              <v:stroke on="f"/>
              <v:imagedata o:title=""/>
              <o:lock v:ext="edit" aspectratio="f"/>
              <v:textbox inset="0mm,0mm,0mm,0mm">
                <w:txbxContent>
                  <w:p w14:paraId="3E9D31DE">
                    <w:pPr>
                      <w:ind w:left="20"/>
                      <w:rPr>
                        <w:sz w:val="18"/>
                      </w:rPr>
                    </w:pPr>
                  </w:p>
                </w:txbxContent>
              </v:textbox>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036645">
    <w:pPr>
      <w:pStyle w:val="12"/>
      <w:spacing w:line="14" w:lineRule="auto"/>
      <w:rPr>
        <w:sz w:val="20"/>
      </w:rPr>
    </w:pPr>
    <w:r>
      <w:rPr>
        <w:lang w:val="en-US" w:bidi="ar-SA"/>
      </w:rPr>
      <mc:AlternateContent>
        <mc:Choice Requires="wps">
          <w:drawing>
            <wp:anchor distT="0" distB="0" distL="114300" distR="114300" simplePos="0" relativeHeight="251665408" behindDoc="1" locked="0" layoutInCell="1" allowOverlap="1">
              <wp:simplePos x="0" y="0"/>
              <wp:positionH relativeFrom="page">
                <wp:posOffset>1130300</wp:posOffset>
              </wp:positionH>
              <wp:positionV relativeFrom="page">
                <wp:posOffset>483235</wp:posOffset>
              </wp:positionV>
              <wp:extent cx="2977515" cy="76200"/>
              <wp:effectExtent l="0" t="0" r="0" b="0"/>
              <wp:wrapNone/>
              <wp:docPr id="45" name="文本框 38"/>
              <wp:cNvGraphicFramePr/>
              <a:graphic xmlns:a="http://schemas.openxmlformats.org/drawingml/2006/main">
                <a:graphicData uri="http://schemas.microsoft.com/office/word/2010/wordprocessingShape">
                  <wps:wsp>
                    <wps:cNvSpPr txBox="1"/>
                    <wps:spPr>
                      <a:xfrm flipV="1">
                        <a:off x="0" y="0"/>
                        <a:ext cx="2977515" cy="76200"/>
                      </a:xfrm>
                      <a:prstGeom prst="rect">
                        <a:avLst/>
                      </a:prstGeom>
                      <a:noFill/>
                      <a:ln>
                        <a:noFill/>
                      </a:ln>
                    </wps:spPr>
                    <wps:txbx>
                      <w:txbxContent>
                        <w:p w14:paraId="70947A4C">
                          <w:pPr>
                            <w:rPr>
                              <w:sz w:val="18"/>
                            </w:rPr>
                          </w:pPr>
                        </w:p>
                      </w:txbxContent>
                    </wps:txbx>
                    <wps:bodyPr lIns="0" tIns="0" rIns="0" bIns="0" upright="1"/>
                  </wps:wsp>
                </a:graphicData>
              </a:graphic>
            </wp:anchor>
          </w:drawing>
        </mc:Choice>
        <mc:Fallback>
          <w:pict>
            <v:shape id="文本框 38" o:spid="_x0000_s1026" o:spt="202" type="#_x0000_t202" style="position:absolute;left:0pt;flip:y;margin-left:89pt;margin-top:38.05pt;height:6pt;width:234.45pt;mso-position-horizontal-relative:page;mso-position-vertical-relative:page;z-index:-251651072;mso-width-relative:page;mso-height-relative:page;" filled="f" stroked="f" coordsize="21600,21600" o:gfxdata="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0r1uwdgAAAAJAQAADwAAAAAAAAABACAAAAAiAAAAZHJzL2Rvd25yZXYu&#10;eG1sUEsBAhQAFAAAAAgAh07iQGMfVADCAQAAfQMAAA4AAAAAAAAAAQAgAAAAJwEAAGRycy9lMm9E&#10;b2MueG1sUEsFBgAAAAAGAAYAWQEAAFsFAAAAAA==&#10;">
              <v:fill on="f" focussize="0,0"/>
              <v:stroke on="f"/>
              <v:imagedata o:title=""/>
              <o:lock v:ext="edit" aspectratio="f"/>
              <v:textbox inset="0mm,0mm,0mm,0mm">
                <w:txbxContent>
                  <w:p w14:paraId="70947A4C">
                    <w:pPr>
                      <w:rPr>
                        <w:sz w:val="18"/>
                      </w:rPr>
                    </w:pPr>
                  </w:p>
                </w:txbxContent>
              </v:textbox>
            </v:shape>
          </w:pict>
        </mc:Fallback>
      </mc:AlternateContent>
    </w:r>
    <w:r>
      <w:rPr>
        <w:lang w:val="en-US" w:bidi="ar-SA"/>
      </w:rPr>
      <mc:AlternateContent>
        <mc:Choice Requires="wps">
          <w:drawing>
            <wp:anchor distT="0" distB="0" distL="114300" distR="114300" simplePos="0" relativeHeight="251666432" behindDoc="1" locked="0" layoutInCell="1" allowOverlap="1">
              <wp:simplePos x="0" y="0"/>
              <wp:positionH relativeFrom="page">
                <wp:posOffset>5910580</wp:posOffset>
              </wp:positionH>
              <wp:positionV relativeFrom="page">
                <wp:posOffset>544830</wp:posOffset>
              </wp:positionV>
              <wp:extent cx="482600" cy="139700"/>
              <wp:effectExtent l="0" t="0" r="0" b="0"/>
              <wp:wrapNone/>
              <wp:docPr id="46" name="文本框 39"/>
              <wp:cNvGraphicFramePr/>
              <a:graphic xmlns:a="http://schemas.openxmlformats.org/drawingml/2006/main">
                <a:graphicData uri="http://schemas.microsoft.com/office/word/2010/wordprocessingShape">
                  <wps:wsp>
                    <wps:cNvSpPr txBox="1"/>
                    <wps:spPr>
                      <a:xfrm>
                        <a:off x="0" y="0"/>
                        <a:ext cx="482600" cy="139700"/>
                      </a:xfrm>
                      <a:prstGeom prst="rect">
                        <a:avLst/>
                      </a:prstGeom>
                      <a:noFill/>
                      <a:ln>
                        <a:noFill/>
                      </a:ln>
                    </wps:spPr>
                    <wps:txbx>
                      <w:txbxContent>
                        <w:p w14:paraId="6F5CBE3D">
                          <w:pPr>
                            <w:spacing w:line="220" w:lineRule="exact"/>
                            <w:rPr>
                              <w:sz w:val="18"/>
                            </w:rPr>
                          </w:pPr>
                        </w:p>
                      </w:txbxContent>
                    </wps:txbx>
                    <wps:bodyPr lIns="0" tIns="0" rIns="0" bIns="0" upright="1"/>
                  </wps:wsp>
                </a:graphicData>
              </a:graphic>
            </wp:anchor>
          </w:drawing>
        </mc:Choice>
        <mc:Fallback>
          <w:pict>
            <v:shape id="文本框 39" o:spid="_x0000_s1026" o:spt="202" type="#_x0000_t202" style="position:absolute;left:0pt;margin-left:465.4pt;margin-top:42.9pt;height:11pt;width:38pt;mso-position-horizontal-relative:page;mso-position-vertical-relative:page;z-index:-251650048;mso-width-relative:page;mso-height-relative:page;" filled="f" stroked="f" coordsize="21600,21600" o:gfxdata="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OzCq+XXAAAACwEAAA8AAAAAAAAAAQAgAAAAIgAAAGRycy9kb3ducmV2LnhtbFBLAQIU&#10;ABQAAAAIAIdO4kDuIUEouwEAAHMDAAAOAAAAAAAAAAEAIAAAACYBAABkcnMvZTJvRG9jLnhtbFBL&#10;BQYAAAAABgAGAFkBAABTBQAAAAA=&#10;">
              <v:fill on="f" focussize="0,0"/>
              <v:stroke on="f"/>
              <v:imagedata o:title=""/>
              <o:lock v:ext="edit" aspectratio="f"/>
              <v:textbox inset="0mm,0mm,0mm,0mm">
                <w:txbxContent>
                  <w:p w14:paraId="6F5CBE3D">
                    <w:pPr>
                      <w:spacing w:line="220" w:lineRule="exact"/>
                      <w:rPr>
                        <w:sz w:val="18"/>
                      </w:rPr>
                    </w:pPr>
                  </w:p>
                </w:txbxContent>
              </v:textbox>
            </v:shape>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22807">
    <w:pPr>
      <w:spacing w:before="13" w:line="179" w:lineRule="auto"/>
      <w:ind w:left="27"/>
      <w:rPr>
        <w:rFonts w:ascii="仿宋" w:hAnsi="仿宋" w:eastAsia="仿宋" w:cs="仿宋"/>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9B7453"/>
    <w:multiLevelType w:val="singleLevel"/>
    <w:tmpl w:val="909B7453"/>
    <w:lvl w:ilvl="0" w:tentative="0">
      <w:start w:val="1"/>
      <w:numFmt w:val="decimal"/>
      <w:lvlText w:val="%1."/>
      <w:lvlJc w:val="left"/>
      <w:pPr>
        <w:tabs>
          <w:tab w:val="left" w:pos="312"/>
        </w:tabs>
      </w:pPr>
    </w:lvl>
  </w:abstractNum>
  <w:abstractNum w:abstractNumId="1">
    <w:nsid w:val="9C7FEC6C"/>
    <w:multiLevelType w:val="singleLevel"/>
    <w:tmpl w:val="9C7FEC6C"/>
    <w:lvl w:ilvl="0" w:tentative="0">
      <w:start w:val="4"/>
      <w:numFmt w:val="chineseCounting"/>
      <w:lvlText w:val="第%1部分"/>
      <w:lvlJc w:val="left"/>
      <w:rPr>
        <w:rFonts w:hint="eastAsia"/>
      </w:rPr>
    </w:lvl>
  </w:abstractNum>
  <w:abstractNum w:abstractNumId="2">
    <w:nsid w:val="B486FE6D"/>
    <w:multiLevelType w:val="singleLevel"/>
    <w:tmpl w:val="B486FE6D"/>
    <w:lvl w:ilvl="0" w:tentative="0">
      <w:start w:val="5"/>
      <w:numFmt w:val="chineseCounting"/>
      <w:suff w:val="nothing"/>
      <w:lvlText w:val="（%1）"/>
      <w:lvlJc w:val="left"/>
      <w:rPr>
        <w:rFonts w:hint="eastAsia"/>
      </w:rPr>
    </w:lvl>
  </w:abstractNum>
  <w:abstractNum w:abstractNumId="3">
    <w:nsid w:val="C995162C"/>
    <w:multiLevelType w:val="singleLevel"/>
    <w:tmpl w:val="C995162C"/>
    <w:lvl w:ilvl="0" w:tentative="0">
      <w:start w:val="1"/>
      <w:numFmt w:val="decimal"/>
      <w:lvlText w:val="%1."/>
      <w:lvlJc w:val="left"/>
      <w:pPr>
        <w:tabs>
          <w:tab w:val="left" w:pos="312"/>
        </w:tabs>
      </w:pPr>
    </w:lvl>
  </w:abstractNum>
  <w:abstractNum w:abstractNumId="4">
    <w:nsid w:val="DA1092C4"/>
    <w:multiLevelType w:val="singleLevel"/>
    <w:tmpl w:val="DA1092C4"/>
    <w:lvl w:ilvl="0" w:tentative="0">
      <w:start w:val="1"/>
      <w:numFmt w:val="decimal"/>
      <w:suff w:val="nothing"/>
      <w:lvlText w:val="（%1）"/>
      <w:lvlJc w:val="left"/>
    </w:lvl>
  </w:abstractNum>
  <w:abstractNum w:abstractNumId="5">
    <w:nsid w:val="E0AD904D"/>
    <w:multiLevelType w:val="singleLevel"/>
    <w:tmpl w:val="E0AD904D"/>
    <w:lvl w:ilvl="0" w:tentative="0">
      <w:start w:val="1"/>
      <w:numFmt w:val="decimal"/>
      <w:lvlText w:val="%1."/>
      <w:lvlJc w:val="left"/>
      <w:pPr>
        <w:tabs>
          <w:tab w:val="left" w:pos="312"/>
        </w:tabs>
      </w:pPr>
    </w:lvl>
  </w:abstractNum>
  <w:abstractNum w:abstractNumId="6">
    <w:nsid w:val="E4BF864B"/>
    <w:multiLevelType w:val="singleLevel"/>
    <w:tmpl w:val="E4BF864B"/>
    <w:lvl w:ilvl="0" w:tentative="0">
      <w:start w:val="1"/>
      <w:numFmt w:val="decimal"/>
      <w:lvlText w:val="%1."/>
      <w:lvlJc w:val="left"/>
      <w:pPr>
        <w:tabs>
          <w:tab w:val="left" w:pos="312"/>
        </w:tabs>
      </w:pPr>
    </w:lvl>
  </w:abstractNum>
  <w:abstractNum w:abstractNumId="7">
    <w:nsid w:val="ECC6847A"/>
    <w:multiLevelType w:val="singleLevel"/>
    <w:tmpl w:val="ECC6847A"/>
    <w:lvl w:ilvl="0" w:tentative="0">
      <w:start w:val="5"/>
      <w:numFmt w:val="chineseCounting"/>
      <w:suff w:val="nothing"/>
      <w:lvlText w:val="%1、"/>
      <w:lvlJc w:val="left"/>
      <w:rPr>
        <w:rFonts w:hint="eastAsia"/>
      </w:rPr>
    </w:lvl>
  </w:abstractNum>
  <w:abstractNum w:abstractNumId="8">
    <w:nsid w:val="0291FA5C"/>
    <w:multiLevelType w:val="singleLevel"/>
    <w:tmpl w:val="0291FA5C"/>
    <w:lvl w:ilvl="0" w:tentative="0">
      <w:start w:val="1"/>
      <w:numFmt w:val="decimal"/>
      <w:suff w:val="nothing"/>
      <w:lvlText w:val="（%1）"/>
      <w:lvlJc w:val="left"/>
    </w:lvl>
  </w:abstractNum>
  <w:abstractNum w:abstractNumId="9">
    <w:nsid w:val="04DDF3D7"/>
    <w:multiLevelType w:val="singleLevel"/>
    <w:tmpl w:val="04DDF3D7"/>
    <w:lvl w:ilvl="0" w:tentative="0">
      <w:start w:val="1"/>
      <w:numFmt w:val="chineseCounting"/>
      <w:suff w:val="nothing"/>
      <w:lvlText w:val="%1、"/>
      <w:lvlJc w:val="left"/>
      <w:rPr>
        <w:rFonts w:hint="eastAsia"/>
      </w:rPr>
    </w:lvl>
  </w:abstractNum>
  <w:abstractNum w:abstractNumId="10">
    <w:nsid w:val="0B992FF7"/>
    <w:multiLevelType w:val="singleLevel"/>
    <w:tmpl w:val="0B992FF7"/>
    <w:lvl w:ilvl="0" w:tentative="0">
      <w:start w:val="1"/>
      <w:numFmt w:val="decimal"/>
      <w:suff w:val="nothing"/>
      <w:lvlText w:val="（%1）"/>
      <w:lvlJc w:val="left"/>
    </w:lvl>
  </w:abstractNum>
  <w:abstractNum w:abstractNumId="11">
    <w:nsid w:val="0FCD68FB"/>
    <w:multiLevelType w:val="singleLevel"/>
    <w:tmpl w:val="0FCD68FB"/>
    <w:lvl w:ilvl="0" w:tentative="0">
      <w:start w:val="1"/>
      <w:numFmt w:val="decimal"/>
      <w:lvlText w:val="%1."/>
      <w:lvlJc w:val="left"/>
      <w:pPr>
        <w:tabs>
          <w:tab w:val="left" w:pos="312"/>
        </w:tabs>
      </w:pPr>
    </w:lvl>
  </w:abstractNum>
  <w:abstractNum w:abstractNumId="12">
    <w:nsid w:val="1A10FFA9"/>
    <w:multiLevelType w:val="singleLevel"/>
    <w:tmpl w:val="1A10FFA9"/>
    <w:lvl w:ilvl="0" w:tentative="0">
      <w:start w:val="1"/>
      <w:numFmt w:val="decimal"/>
      <w:lvlText w:val="%1."/>
      <w:lvlJc w:val="left"/>
      <w:pPr>
        <w:tabs>
          <w:tab w:val="left" w:pos="312"/>
        </w:tabs>
      </w:pPr>
    </w:lvl>
  </w:abstractNum>
  <w:abstractNum w:abstractNumId="13">
    <w:nsid w:val="53C2D8A2"/>
    <w:multiLevelType w:val="singleLevel"/>
    <w:tmpl w:val="53C2D8A2"/>
    <w:lvl w:ilvl="0" w:tentative="0">
      <w:start w:val="1"/>
      <w:numFmt w:val="decimal"/>
      <w:lvlText w:val="%1."/>
      <w:lvlJc w:val="left"/>
      <w:pPr>
        <w:tabs>
          <w:tab w:val="left" w:pos="312"/>
        </w:tabs>
      </w:pPr>
    </w:lvl>
  </w:abstractNum>
  <w:abstractNum w:abstractNumId="14">
    <w:nsid w:val="737B95F4"/>
    <w:multiLevelType w:val="singleLevel"/>
    <w:tmpl w:val="737B95F4"/>
    <w:lvl w:ilvl="0" w:tentative="0">
      <w:start w:val="3"/>
      <w:numFmt w:val="chineseCounting"/>
      <w:suff w:val="nothing"/>
      <w:lvlText w:val="%1、"/>
      <w:lvlJc w:val="left"/>
      <w:rPr>
        <w:rFonts w:hint="eastAsia"/>
      </w:rPr>
    </w:lvl>
  </w:abstractNum>
  <w:abstractNum w:abstractNumId="15">
    <w:nsid w:val="7DC031BB"/>
    <w:multiLevelType w:val="singleLevel"/>
    <w:tmpl w:val="7DC031BB"/>
    <w:lvl w:ilvl="0" w:tentative="0">
      <w:start w:val="1"/>
      <w:numFmt w:val="chineseCounting"/>
      <w:suff w:val="nothing"/>
      <w:lvlText w:val="%1、"/>
      <w:lvlJc w:val="left"/>
      <w:rPr>
        <w:rFonts w:hint="eastAsia"/>
      </w:rPr>
    </w:lvl>
  </w:abstractNum>
  <w:num w:numId="1">
    <w:abstractNumId w:val="8"/>
  </w:num>
  <w:num w:numId="2">
    <w:abstractNumId w:val="4"/>
  </w:num>
  <w:num w:numId="3">
    <w:abstractNumId w:val="10"/>
  </w:num>
  <w:num w:numId="4">
    <w:abstractNumId w:val="7"/>
  </w:num>
  <w:num w:numId="5">
    <w:abstractNumId w:val="6"/>
  </w:num>
  <w:num w:numId="6">
    <w:abstractNumId w:val="13"/>
  </w:num>
  <w:num w:numId="7">
    <w:abstractNumId w:val="0"/>
  </w:num>
  <w:num w:numId="8">
    <w:abstractNumId w:val="11"/>
  </w:num>
  <w:num w:numId="9">
    <w:abstractNumId w:val="3"/>
  </w:num>
  <w:num w:numId="10">
    <w:abstractNumId w:val="5"/>
  </w:num>
  <w:num w:numId="11">
    <w:abstractNumId w:val="14"/>
  </w:num>
  <w:num w:numId="12">
    <w:abstractNumId w:val="12"/>
  </w:num>
  <w:num w:numId="13">
    <w:abstractNumId w:val="9"/>
  </w:num>
  <w:num w:numId="14">
    <w:abstractNumId w:val="15"/>
  </w:num>
  <w:num w:numId="15">
    <w:abstractNumId w:val="2"/>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TrueTypeFonts/>
  <w:saveSubsetFonts/>
  <w:bordersDoNotSurroundHeader w:val="0"/>
  <w:bordersDoNotSurroundFooter w:val="0"/>
  <w:hideSpellingErrors/>
  <w:documentProtection w:enforcement="0"/>
  <w:defaultTabStop w:val="720"/>
  <w:drawingGridHorizontalSpacing w:val="220"/>
  <w:drawingGridVerticalSpacing w:val="1"/>
  <w:displayHorizontalDrawingGridEvery w:val="1"/>
  <w:displayVerticalDrawingGridEvery w:val="1"/>
  <w:noPunctuationKerning w:val="1"/>
  <w:characterSpacingControl w:val="doNotCompress"/>
  <w:hdrShapeDefaults>
    <o:shapelayout v:ext="edit">
      <o:idmap v:ext="edit" data="2"/>
    </o:shapelayout>
  </w:hdrShapeDefaults>
  <w:compat>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IxZDk1OGU5ZWM3MTI5NGJjMTg1OWFiNDk1NGY5NzEifQ=="/>
  </w:docVars>
  <w:rsids>
    <w:rsidRoot w:val="00302047"/>
    <w:rsid w:val="0000075C"/>
    <w:rsid w:val="00027D02"/>
    <w:rsid w:val="000A53CD"/>
    <w:rsid w:val="000B0E91"/>
    <w:rsid w:val="00110593"/>
    <w:rsid w:val="00131335"/>
    <w:rsid w:val="00142247"/>
    <w:rsid w:val="00151B4E"/>
    <w:rsid w:val="002E2CA9"/>
    <w:rsid w:val="002E7F71"/>
    <w:rsid w:val="00302047"/>
    <w:rsid w:val="00327CB1"/>
    <w:rsid w:val="003A6B66"/>
    <w:rsid w:val="003B4057"/>
    <w:rsid w:val="003D447F"/>
    <w:rsid w:val="0044146C"/>
    <w:rsid w:val="004672B9"/>
    <w:rsid w:val="00492C34"/>
    <w:rsid w:val="00597B39"/>
    <w:rsid w:val="005D1948"/>
    <w:rsid w:val="00670E62"/>
    <w:rsid w:val="006940E8"/>
    <w:rsid w:val="007A2EDF"/>
    <w:rsid w:val="007C6C0C"/>
    <w:rsid w:val="008039B0"/>
    <w:rsid w:val="00817766"/>
    <w:rsid w:val="00895211"/>
    <w:rsid w:val="00920750"/>
    <w:rsid w:val="0092676E"/>
    <w:rsid w:val="00A40E51"/>
    <w:rsid w:val="00A43006"/>
    <w:rsid w:val="00A83AD0"/>
    <w:rsid w:val="00AB47D7"/>
    <w:rsid w:val="00AE14F3"/>
    <w:rsid w:val="00AF3F3B"/>
    <w:rsid w:val="00B60D72"/>
    <w:rsid w:val="00B677F4"/>
    <w:rsid w:val="00B71C97"/>
    <w:rsid w:val="00BA32FA"/>
    <w:rsid w:val="00BD620C"/>
    <w:rsid w:val="00CC39AF"/>
    <w:rsid w:val="00D526CC"/>
    <w:rsid w:val="00DB5DA4"/>
    <w:rsid w:val="00EF764C"/>
    <w:rsid w:val="00F46B0C"/>
    <w:rsid w:val="00F84FFD"/>
    <w:rsid w:val="0100390C"/>
    <w:rsid w:val="01050F22"/>
    <w:rsid w:val="010A08C5"/>
    <w:rsid w:val="010C525A"/>
    <w:rsid w:val="010D7BA5"/>
    <w:rsid w:val="0111506B"/>
    <w:rsid w:val="01130434"/>
    <w:rsid w:val="011C3381"/>
    <w:rsid w:val="01211AD4"/>
    <w:rsid w:val="015B6D94"/>
    <w:rsid w:val="01660F88"/>
    <w:rsid w:val="0178495D"/>
    <w:rsid w:val="0186212B"/>
    <w:rsid w:val="01A21FEF"/>
    <w:rsid w:val="01C04E49"/>
    <w:rsid w:val="01D94A0C"/>
    <w:rsid w:val="02076F1C"/>
    <w:rsid w:val="020A2D13"/>
    <w:rsid w:val="021948B2"/>
    <w:rsid w:val="021A6D68"/>
    <w:rsid w:val="023F0541"/>
    <w:rsid w:val="02557C87"/>
    <w:rsid w:val="025617BA"/>
    <w:rsid w:val="027D2D3A"/>
    <w:rsid w:val="028735C4"/>
    <w:rsid w:val="02A225F6"/>
    <w:rsid w:val="02BA21E0"/>
    <w:rsid w:val="02D23086"/>
    <w:rsid w:val="02DB6C21"/>
    <w:rsid w:val="03574A9D"/>
    <w:rsid w:val="03690A50"/>
    <w:rsid w:val="036F2FCB"/>
    <w:rsid w:val="038A3960"/>
    <w:rsid w:val="038D3451"/>
    <w:rsid w:val="038F054D"/>
    <w:rsid w:val="03904FD5"/>
    <w:rsid w:val="03933EAF"/>
    <w:rsid w:val="03A23D55"/>
    <w:rsid w:val="03A34A22"/>
    <w:rsid w:val="03B12EF4"/>
    <w:rsid w:val="03BB0808"/>
    <w:rsid w:val="03DE0FD8"/>
    <w:rsid w:val="03E312C3"/>
    <w:rsid w:val="03E53491"/>
    <w:rsid w:val="03E56E68"/>
    <w:rsid w:val="03F37758"/>
    <w:rsid w:val="03F51863"/>
    <w:rsid w:val="040354C1"/>
    <w:rsid w:val="0433190D"/>
    <w:rsid w:val="04390EE3"/>
    <w:rsid w:val="044E0E32"/>
    <w:rsid w:val="04587B9F"/>
    <w:rsid w:val="045B05FD"/>
    <w:rsid w:val="045C4D47"/>
    <w:rsid w:val="04C67B25"/>
    <w:rsid w:val="04DC4690"/>
    <w:rsid w:val="04EB6681"/>
    <w:rsid w:val="05015EA4"/>
    <w:rsid w:val="050339CA"/>
    <w:rsid w:val="05087233"/>
    <w:rsid w:val="051B52B2"/>
    <w:rsid w:val="05200A68"/>
    <w:rsid w:val="05246A17"/>
    <w:rsid w:val="05393890"/>
    <w:rsid w:val="053F69CD"/>
    <w:rsid w:val="05427170"/>
    <w:rsid w:val="0543026B"/>
    <w:rsid w:val="054F7EC0"/>
    <w:rsid w:val="056621AB"/>
    <w:rsid w:val="05681A7F"/>
    <w:rsid w:val="05793C8D"/>
    <w:rsid w:val="057B7B58"/>
    <w:rsid w:val="05890712"/>
    <w:rsid w:val="05CA0C00"/>
    <w:rsid w:val="05E479D8"/>
    <w:rsid w:val="05ED2A31"/>
    <w:rsid w:val="05EF379D"/>
    <w:rsid w:val="05F20121"/>
    <w:rsid w:val="060774EA"/>
    <w:rsid w:val="06333C97"/>
    <w:rsid w:val="06485ED3"/>
    <w:rsid w:val="065D1364"/>
    <w:rsid w:val="06621133"/>
    <w:rsid w:val="06734B80"/>
    <w:rsid w:val="06801F65"/>
    <w:rsid w:val="068028AC"/>
    <w:rsid w:val="069468A4"/>
    <w:rsid w:val="069A65B0"/>
    <w:rsid w:val="069C3D91"/>
    <w:rsid w:val="06BE51E4"/>
    <w:rsid w:val="06CC603E"/>
    <w:rsid w:val="06D21DBA"/>
    <w:rsid w:val="06D5091C"/>
    <w:rsid w:val="06D875D4"/>
    <w:rsid w:val="06F91958"/>
    <w:rsid w:val="071A50D7"/>
    <w:rsid w:val="071B6D6B"/>
    <w:rsid w:val="071F6AB6"/>
    <w:rsid w:val="07325C9A"/>
    <w:rsid w:val="073D6510"/>
    <w:rsid w:val="074E3773"/>
    <w:rsid w:val="07517A97"/>
    <w:rsid w:val="075F780C"/>
    <w:rsid w:val="07723F2E"/>
    <w:rsid w:val="07784552"/>
    <w:rsid w:val="079E29B3"/>
    <w:rsid w:val="07AC2024"/>
    <w:rsid w:val="07B23F36"/>
    <w:rsid w:val="07CA4BAC"/>
    <w:rsid w:val="07CA6A21"/>
    <w:rsid w:val="07E04497"/>
    <w:rsid w:val="07E757DD"/>
    <w:rsid w:val="07F339F1"/>
    <w:rsid w:val="08044B22"/>
    <w:rsid w:val="0808579C"/>
    <w:rsid w:val="082A6FA6"/>
    <w:rsid w:val="083B2549"/>
    <w:rsid w:val="083B54B3"/>
    <w:rsid w:val="084717DD"/>
    <w:rsid w:val="086764AE"/>
    <w:rsid w:val="0874698D"/>
    <w:rsid w:val="087921F6"/>
    <w:rsid w:val="0881017B"/>
    <w:rsid w:val="089561EE"/>
    <w:rsid w:val="08BC63BA"/>
    <w:rsid w:val="08C019D0"/>
    <w:rsid w:val="08E2106C"/>
    <w:rsid w:val="09265E14"/>
    <w:rsid w:val="093F4603"/>
    <w:rsid w:val="09565C33"/>
    <w:rsid w:val="09711581"/>
    <w:rsid w:val="09730C3B"/>
    <w:rsid w:val="09736C45"/>
    <w:rsid w:val="09911343"/>
    <w:rsid w:val="0994437F"/>
    <w:rsid w:val="09B259BF"/>
    <w:rsid w:val="09B86762"/>
    <w:rsid w:val="09BA3CA5"/>
    <w:rsid w:val="0A0106F5"/>
    <w:rsid w:val="0A357BFF"/>
    <w:rsid w:val="0A4F320E"/>
    <w:rsid w:val="0A522BE9"/>
    <w:rsid w:val="0A546A76"/>
    <w:rsid w:val="0A697445"/>
    <w:rsid w:val="0A8F3F52"/>
    <w:rsid w:val="0AC47F30"/>
    <w:rsid w:val="0ADA3568"/>
    <w:rsid w:val="0AF5228F"/>
    <w:rsid w:val="0AF85ED6"/>
    <w:rsid w:val="0AF86C03"/>
    <w:rsid w:val="0AFA761E"/>
    <w:rsid w:val="0B077F8D"/>
    <w:rsid w:val="0B0B160A"/>
    <w:rsid w:val="0B0B6648"/>
    <w:rsid w:val="0B0E38F7"/>
    <w:rsid w:val="0B2B5A29"/>
    <w:rsid w:val="0B325009"/>
    <w:rsid w:val="0B4233D9"/>
    <w:rsid w:val="0B4A0248"/>
    <w:rsid w:val="0B5E2F85"/>
    <w:rsid w:val="0B6B4077"/>
    <w:rsid w:val="0B701D7B"/>
    <w:rsid w:val="0B8D4752"/>
    <w:rsid w:val="0B983AD3"/>
    <w:rsid w:val="0B9F6417"/>
    <w:rsid w:val="0BAA77D3"/>
    <w:rsid w:val="0BAB6B6A"/>
    <w:rsid w:val="0BAE37D8"/>
    <w:rsid w:val="0BB64F58"/>
    <w:rsid w:val="0BBE124B"/>
    <w:rsid w:val="0BC974A1"/>
    <w:rsid w:val="0BD7170D"/>
    <w:rsid w:val="0BE927A1"/>
    <w:rsid w:val="0BEF6A57"/>
    <w:rsid w:val="0C0369A6"/>
    <w:rsid w:val="0C2506CA"/>
    <w:rsid w:val="0C27489D"/>
    <w:rsid w:val="0C2D57D1"/>
    <w:rsid w:val="0C2F4ADD"/>
    <w:rsid w:val="0C405504"/>
    <w:rsid w:val="0C656D19"/>
    <w:rsid w:val="0C703C39"/>
    <w:rsid w:val="0C721436"/>
    <w:rsid w:val="0C811679"/>
    <w:rsid w:val="0C8A677F"/>
    <w:rsid w:val="0C90429E"/>
    <w:rsid w:val="0C9E6979"/>
    <w:rsid w:val="0CA830A9"/>
    <w:rsid w:val="0CCA3020"/>
    <w:rsid w:val="0CDE220B"/>
    <w:rsid w:val="0CE357A1"/>
    <w:rsid w:val="0D1B2698"/>
    <w:rsid w:val="0D337136"/>
    <w:rsid w:val="0D4B23B2"/>
    <w:rsid w:val="0D570F1D"/>
    <w:rsid w:val="0D7A28E3"/>
    <w:rsid w:val="0D9773A6"/>
    <w:rsid w:val="0DD57ECE"/>
    <w:rsid w:val="0E0959C4"/>
    <w:rsid w:val="0E0D7668"/>
    <w:rsid w:val="0E10782F"/>
    <w:rsid w:val="0E2A6A57"/>
    <w:rsid w:val="0E2D7D0A"/>
    <w:rsid w:val="0E4139AB"/>
    <w:rsid w:val="0E59465B"/>
    <w:rsid w:val="0E5E6115"/>
    <w:rsid w:val="0E8A6F0A"/>
    <w:rsid w:val="0EA24254"/>
    <w:rsid w:val="0EB83A78"/>
    <w:rsid w:val="0EC8358F"/>
    <w:rsid w:val="0ED63EFE"/>
    <w:rsid w:val="0ED90C88"/>
    <w:rsid w:val="0EE505E5"/>
    <w:rsid w:val="0EF600FC"/>
    <w:rsid w:val="0EF95E3E"/>
    <w:rsid w:val="0F013582"/>
    <w:rsid w:val="0F064478"/>
    <w:rsid w:val="0F2F76D2"/>
    <w:rsid w:val="0F3B1FB3"/>
    <w:rsid w:val="0F3C4630"/>
    <w:rsid w:val="0F4C5F6E"/>
    <w:rsid w:val="0F5372FC"/>
    <w:rsid w:val="0F786D63"/>
    <w:rsid w:val="0F787C1A"/>
    <w:rsid w:val="0F84395A"/>
    <w:rsid w:val="0F903F10"/>
    <w:rsid w:val="0F975694"/>
    <w:rsid w:val="0FB56209"/>
    <w:rsid w:val="0FBD0C1A"/>
    <w:rsid w:val="0FBF74CB"/>
    <w:rsid w:val="0FCC12A0"/>
    <w:rsid w:val="0FDC101C"/>
    <w:rsid w:val="0FE8213B"/>
    <w:rsid w:val="0FE91A0F"/>
    <w:rsid w:val="0FF57A69"/>
    <w:rsid w:val="10030D1D"/>
    <w:rsid w:val="100761DF"/>
    <w:rsid w:val="10164738"/>
    <w:rsid w:val="10190546"/>
    <w:rsid w:val="101F18D4"/>
    <w:rsid w:val="1025513D"/>
    <w:rsid w:val="102B2027"/>
    <w:rsid w:val="102B64CB"/>
    <w:rsid w:val="103E61FE"/>
    <w:rsid w:val="104329D5"/>
    <w:rsid w:val="10435705"/>
    <w:rsid w:val="105C0433"/>
    <w:rsid w:val="1068327B"/>
    <w:rsid w:val="107A13EE"/>
    <w:rsid w:val="107C6A49"/>
    <w:rsid w:val="10953823"/>
    <w:rsid w:val="109965D0"/>
    <w:rsid w:val="10A12CF7"/>
    <w:rsid w:val="10AD0C8E"/>
    <w:rsid w:val="10C83D1A"/>
    <w:rsid w:val="10D56199"/>
    <w:rsid w:val="10DF50E6"/>
    <w:rsid w:val="10F1736F"/>
    <w:rsid w:val="110B3CFD"/>
    <w:rsid w:val="111016B8"/>
    <w:rsid w:val="11437F75"/>
    <w:rsid w:val="11553CC7"/>
    <w:rsid w:val="11567578"/>
    <w:rsid w:val="1158509E"/>
    <w:rsid w:val="11663029"/>
    <w:rsid w:val="118C2F9A"/>
    <w:rsid w:val="11A007F3"/>
    <w:rsid w:val="11A16A45"/>
    <w:rsid w:val="11D54941"/>
    <w:rsid w:val="11EA14D5"/>
    <w:rsid w:val="120E7D43"/>
    <w:rsid w:val="1211524D"/>
    <w:rsid w:val="122338FE"/>
    <w:rsid w:val="123122E5"/>
    <w:rsid w:val="123B6E3D"/>
    <w:rsid w:val="124E45D6"/>
    <w:rsid w:val="126857B5"/>
    <w:rsid w:val="1272218F"/>
    <w:rsid w:val="127E0B34"/>
    <w:rsid w:val="12850115"/>
    <w:rsid w:val="12AD4816"/>
    <w:rsid w:val="12B87ABD"/>
    <w:rsid w:val="12C24A5D"/>
    <w:rsid w:val="12D7004A"/>
    <w:rsid w:val="12EA2516"/>
    <w:rsid w:val="12EC7208"/>
    <w:rsid w:val="12F232D0"/>
    <w:rsid w:val="12F56BF0"/>
    <w:rsid w:val="12F72695"/>
    <w:rsid w:val="13160D6D"/>
    <w:rsid w:val="13180F89"/>
    <w:rsid w:val="131A0ADC"/>
    <w:rsid w:val="131B6383"/>
    <w:rsid w:val="131D659F"/>
    <w:rsid w:val="133F3E4B"/>
    <w:rsid w:val="13527E94"/>
    <w:rsid w:val="13566593"/>
    <w:rsid w:val="136C6BDF"/>
    <w:rsid w:val="13833F28"/>
    <w:rsid w:val="138D16CA"/>
    <w:rsid w:val="13A40B58"/>
    <w:rsid w:val="13BA364B"/>
    <w:rsid w:val="13C66E0B"/>
    <w:rsid w:val="13CE7899"/>
    <w:rsid w:val="13D824C6"/>
    <w:rsid w:val="14027543"/>
    <w:rsid w:val="14052A0B"/>
    <w:rsid w:val="142474B9"/>
    <w:rsid w:val="142E0516"/>
    <w:rsid w:val="14693CF2"/>
    <w:rsid w:val="146A4AEC"/>
    <w:rsid w:val="14704925"/>
    <w:rsid w:val="14753119"/>
    <w:rsid w:val="147A0B6B"/>
    <w:rsid w:val="148000B2"/>
    <w:rsid w:val="148A5903"/>
    <w:rsid w:val="14915D48"/>
    <w:rsid w:val="14AD5701"/>
    <w:rsid w:val="14AF6907"/>
    <w:rsid w:val="14B00D4D"/>
    <w:rsid w:val="14C35CD5"/>
    <w:rsid w:val="14E86739"/>
    <w:rsid w:val="14EF3F6B"/>
    <w:rsid w:val="14F22EE3"/>
    <w:rsid w:val="14F41582"/>
    <w:rsid w:val="15347BD0"/>
    <w:rsid w:val="156A675F"/>
    <w:rsid w:val="15AD2F88"/>
    <w:rsid w:val="15DF5D8E"/>
    <w:rsid w:val="15E163F4"/>
    <w:rsid w:val="15E81324"/>
    <w:rsid w:val="15F726A2"/>
    <w:rsid w:val="164B2AA4"/>
    <w:rsid w:val="164E6563"/>
    <w:rsid w:val="16534086"/>
    <w:rsid w:val="16726E74"/>
    <w:rsid w:val="168E3310"/>
    <w:rsid w:val="169F6CF2"/>
    <w:rsid w:val="16A01BC7"/>
    <w:rsid w:val="16A62408"/>
    <w:rsid w:val="16BE525F"/>
    <w:rsid w:val="16C6575D"/>
    <w:rsid w:val="16FB58D6"/>
    <w:rsid w:val="173B6FF4"/>
    <w:rsid w:val="175F4579"/>
    <w:rsid w:val="17667DE9"/>
    <w:rsid w:val="17692DE2"/>
    <w:rsid w:val="17824C23"/>
    <w:rsid w:val="178766DD"/>
    <w:rsid w:val="17971CC1"/>
    <w:rsid w:val="179C5B78"/>
    <w:rsid w:val="17A259AB"/>
    <w:rsid w:val="17A30945"/>
    <w:rsid w:val="17CF598E"/>
    <w:rsid w:val="17E458DD"/>
    <w:rsid w:val="17F02BDE"/>
    <w:rsid w:val="18043D9B"/>
    <w:rsid w:val="180F21C0"/>
    <w:rsid w:val="181D7DC8"/>
    <w:rsid w:val="18281E61"/>
    <w:rsid w:val="185C5241"/>
    <w:rsid w:val="18610E55"/>
    <w:rsid w:val="186557AD"/>
    <w:rsid w:val="18694FC7"/>
    <w:rsid w:val="187C5B16"/>
    <w:rsid w:val="187F39CE"/>
    <w:rsid w:val="188E75F7"/>
    <w:rsid w:val="188F1F1C"/>
    <w:rsid w:val="1890511D"/>
    <w:rsid w:val="1893521B"/>
    <w:rsid w:val="18B056A5"/>
    <w:rsid w:val="18BA7652"/>
    <w:rsid w:val="18DA6CE0"/>
    <w:rsid w:val="190855FC"/>
    <w:rsid w:val="19094ED0"/>
    <w:rsid w:val="193C20F4"/>
    <w:rsid w:val="1941466A"/>
    <w:rsid w:val="195233DE"/>
    <w:rsid w:val="19704F4F"/>
    <w:rsid w:val="19746E49"/>
    <w:rsid w:val="19751AC7"/>
    <w:rsid w:val="198E05B6"/>
    <w:rsid w:val="19940C3D"/>
    <w:rsid w:val="19AE26F1"/>
    <w:rsid w:val="19B117EF"/>
    <w:rsid w:val="19C01025"/>
    <w:rsid w:val="19C86A61"/>
    <w:rsid w:val="19CC2678"/>
    <w:rsid w:val="19D438B0"/>
    <w:rsid w:val="19DB4ABE"/>
    <w:rsid w:val="19E51499"/>
    <w:rsid w:val="19FB25CA"/>
    <w:rsid w:val="1A0427EC"/>
    <w:rsid w:val="1A08600D"/>
    <w:rsid w:val="1A0933D9"/>
    <w:rsid w:val="1A0F2D6F"/>
    <w:rsid w:val="1A2A3350"/>
    <w:rsid w:val="1A385A6D"/>
    <w:rsid w:val="1A4A57A0"/>
    <w:rsid w:val="1A4B2280"/>
    <w:rsid w:val="1A6415CB"/>
    <w:rsid w:val="1A653B41"/>
    <w:rsid w:val="1A9A6727"/>
    <w:rsid w:val="1AA94BBC"/>
    <w:rsid w:val="1AB85319"/>
    <w:rsid w:val="1AD556B8"/>
    <w:rsid w:val="1AE259D8"/>
    <w:rsid w:val="1AE3068F"/>
    <w:rsid w:val="1AF57CE1"/>
    <w:rsid w:val="1B024833"/>
    <w:rsid w:val="1B1569B1"/>
    <w:rsid w:val="1B2026F6"/>
    <w:rsid w:val="1B247AD2"/>
    <w:rsid w:val="1B2C7301"/>
    <w:rsid w:val="1B312D98"/>
    <w:rsid w:val="1B321FD3"/>
    <w:rsid w:val="1B3D4E88"/>
    <w:rsid w:val="1B4B17D0"/>
    <w:rsid w:val="1B5D2E45"/>
    <w:rsid w:val="1B620AA8"/>
    <w:rsid w:val="1B917B2A"/>
    <w:rsid w:val="1B9E3FF5"/>
    <w:rsid w:val="1BA84E74"/>
    <w:rsid w:val="1BAC7578"/>
    <w:rsid w:val="1BC53D65"/>
    <w:rsid w:val="1BC6137E"/>
    <w:rsid w:val="1BEC4D61"/>
    <w:rsid w:val="1BED2887"/>
    <w:rsid w:val="1C254C58"/>
    <w:rsid w:val="1C2B3E0A"/>
    <w:rsid w:val="1C5172BA"/>
    <w:rsid w:val="1C8E7BC6"/>
    <w:rsid w:val="1CA05B4B"/>
    <w:rsid w:val="1CB82E95"/>
    <w:rsid w:val="1CC950A2"/>
    <w:rsid w:val="1CED00B5"/>
    <w:rsid w:val="1D170C36"/>
    <w:rsid w:val="1D28626C"/>
    <w:rsid w:val="1D3E0F5E"/>
    <w:rsid w:val="1D5D053C"/>
    <w:rsid w:val="1D74500E"/>
    <w:rsid w:val="1D757AD7"/>
    <w:rsid w:val="1D7E5EDF"/>
    <w:rsid w:val="1D84721B"/>
    <w:rsid w:val="1D881C45"/>
    <w:rsid w:val="1DA94E86"/>
    <w:rsid w:val="1DC70BAF"/>
    <w:rsid w:val="1DD91315"/>
    <w:rsid w:val="1DE63A32"/>
    <w:rsid w:val="1DFD2910"/>
    <w:rsid w:val="1E18008F"/>
    <w:rsid w:val="1E3B1FCF"/>
    <w:rsid w:val="1E444579"/>
    <w:rsid w:val="1E562965"/>
    <w:rsid w:val="1E565853"/>
    <w:rsid w:val="1E622728"/>
    <w:rsid w:val="1E9516DF"/>
    <w:rsid w:val="1E991C68"/>
    <w:rsid w:val="1EA27958"/>
    <w:rsid w:val="1EB666C3"/>
    <w:rsid w:val="1EB83620"/>
    <w:rsid w:val="1EC45B21"/>
    <w:rsid w:val="1EDA4625"/>
    <w:rsid w:val="1EE56711"/>
    <w:rsid w:val="1EE937D9"/>
    <w:rsid w:val="1EF74148"/>
    <w:rsid w:val="1F0D4DFF"/>
    <w:rsid w:val="1F114ADE"/>
    <w:rsid w:val="1F1D1485"/>
    <w:rsid w:val="1F1D3483"/>
    <w:rsid w:val="1F314857"/>
    <w:rsid w:val="1F676EA6"/>
    <w:rsid w:val="1F721A21"/>
    <w:rsid w:val="1F841754"/>
    <w:rsid w:val="1FA45086"/>
    <w:rsid w:val="1FA85442"/>
    <w:rsid w:val="1FAD0CAB"/>
    <w:rsid w:val="1FC95AE7"/>
    <w:rsid w:val="1FEE40BC"/>
    <w:rsid w:val="2006110C"/>
    <w:rsid w:val="200D2BA8"/>
    <w:rsid w:val="2014371F"/>
    <w:rsid w:val="201E137B"/>
    <w:rsid w:val="20587C8B"/>
    <w:rsid w:val="206B6024"/>
    <w:rsid w:val="206F1A9B"/>
    <w:rsid w:val="207215AC"/>
    <w:rsid w:val="20887022"/>
    <w:rsid w:val="20B16579"/>
    <w:rsid w:val="20B47C2B"/>
    <w:rsid w:val="20B8098C"/>
    <w:rsid w:val="20D34741"/>
    <w:rsid w:val="20DA787E"/>
    <w:rsid w:val="20E24984"/>
    <w:rsid w:val="20EA6E99"/>
    <w:rsid w:val="21002E86"/>
    <w:rsid w:val="21145650"/>
    <w:rsid w:val="21147179"/>
    <w:rsid w:val="211A5ECC"/>
    <w:rsid w:val="213D1BBA"/>
    <w:rsid w:val="21470BBA"/>
    <w:rsid w:val="215A09BE"/>
    <w:rsid w:val="215D3838"/>
    <w:rsid w:val="216929EC"/>
    <w:rsid w:val="216B4A87"/>
    <w:rsid w:val="216C0969"/>
    <w:rsid w:val="21A06E31"/>
    <w:rsid w:val="21B46321"/>
    <w:rsid w:val="21CC22B0"/>
    <w:rsid w:val="21DA1310"/>
    <w:rsid w:val="22197D38"/>
    <w:rsid w:val="2221274D"/>
    <w:rsid w:val="223B3EEA"/>
    <w:rsid w:val="223E2CF8"/>
    <w:rsid w:val="223E574C"/>
    <w:rsid w:val="22511B43"/>
    <w:rsid w:val="22532046"/>
    <w:rsid w:val="22877591"/>
    <w:rsid w:val="2289320A"/>
    <w:rsid w:val="22916BF6"/>
    <w:rsid w:val="229B22A3"/>
    <w:rsid w:val="22A05303"/>
    <w:rsid w:val="22B1460E"/>
    <w:rsid w:val="22F25414"/>
    <w:rsid w:val="231B5F2B"/>
    <w:rsid w:val="231C3A8C"/>
    <w:rsid w:val="232A11A3"/>
    <w:rsid w:val="23502079"/>
    <w:rsid w:val="236A792E"/>
    <w:rsid w:val="237C2E6E"/>
    <w:rsid w:val="238276FC"/>
    <w:rsid w:val="23947470"/>
    <w:rsid w:val="239C52BE"/>
    <w:rsid w:val="23AE0B4E"/>
    <w:rsid w:val="23B4085A"/>
    <w:rsid w:val="23E9602A"/>
    <w:rsid w:val="24003C3F"/>
    <w:rsid w:val="240F79BA"/>
    <w:rsid w:val="241444CF"/>
    <w:rsid w:val="2415559D"/>
    <w:rsid w:val="243674C1"/>
    <w:rsid w:val="243F4853"/>
    <w:rsid w:val="24424E18"/>
    <w:rsid w:val="245F009A"/>
    <w:rsid w:val="246102B6"/>
    <w:rsid w:val="24681544"/>
    <w:rsid w:val="247A057C"/>
    <w:rsid w:val="248B51D1"/>
    <w:rsid w:val="248D7C75"/>
    <w:rsid w:val="24961512"/>
    <w:rsid w:val="249917FE"/>
    <w:rsid w:val="24A00E3D"/>
    <w:rsid w:val="24C820E3"/>
    <w:rsid w:val="24CC572F"/>
    <w:rsid w:val="24DC7CF6"/>
    <w:rsid w:val="24FC22B0"/>
    <w:rsid w:val="24FE78B3"/>
    <w:rsid w:val="25121BAC"/>
    <w:rsid w:val="251826C1"/>
    <w:rsid w:val="252012DB"/>
    <w:rsid w:val="25205A7B"/>
    <w:rsid w:val="252F0262"/>
    <w:rsid w:val="252F5FEA"/>
    <w:rsid w:val="25496D80"/>
    <w:rsid w:val="254F706B"/>
    <w:rsid w:val="255120D8"/>
    <w:rsid w:val="256E67E6"/>
    <w:rsid w:val="2573204F"/>
    <w:rsid w:val="258E6E89"/>
    <w:rsid w:val="25965927"/>
    <w:rsid w:val="259D70CC"/>
    <w:rsid w:val="25E90CC3"/>
    <w:rsid w:val="25F72C80"/>
    <w:rsid w:val="2601146C"/>
    <w:rsid w:val="26025181"/>
    <w:rsid w:val="2610165F"/>
    <w:rsid w:val="26257A6E"/>
    <w:rsid w:val="26355556"/>
    <w:rsid w:val="263B6C24"/>
    <w:rsid w:val="26867B60"/>
    <w:rsid w:val="26884108"/>
    <w:rsid w:val="268C5506"/>
    <w:rsid w:val="269A0CF3"/>
    <w:rsid w:val="26B24DF9"/>
    <w:rsid w:val="26BB1EFF"/>
    <w:rsid w:val="26C3198C"/>
    <w:rsid w:val="26C92656"/>
    <w:rsid w:val="26E13DF1"/>
    <w:rsid w:val="26E36D60"/>
    <w:rsid w:val="270E26CA"/>
    <w:rsid w:val="27125649"/>
    <w:rsid w:val="271433BD"/>
    <w:rsid w:val="27194E78"/>
    <w:rsid w:val="272D447F"/>
    <w:rsid w:val="27361586"/>
    <w:rsid w:val="27421FA7"/>
    <w:rsid w:val="274D2A19"/>
    <w:rsid w:val="277C7206"/>
    <w:rsid w:val="27850B95"/>
    <w:rsid w:val="27897907"/>
    <w:rsid w:val="278B7B24"/>
    <w:rsid w:val="27952750"/>
    <w:rsid w:val="27A41371"/>
    <w:rsid w:val="27AB1F74"/>
    <w:rsid w:val="27B06620"/>
    <w:rsid w:val="27B728DE"/>
    <w:rsid w:val="27C2106B"/>
    <w:rsid w:val="27DC2DDF"/>
    <w:rsid w:val="27FA368E"/>
    <w:rsid w:val="28165970"/>
    <w:rsid w:val="28225826"/>
    <w:rsid w:val="28397580"/>
    <w:rsid w:val="284341C7"/>
    <w:rsid w:val="284952E9"/>
    <w:rsid w:val="2858552C"/>
    <w:rsid w:val="287E0771"/>
    <w:rsid w:val="28A35B9E"/>
    <w:rsid w:val="28A6519A"/>
    <w:rsid w:val="28AC249C"/>
    <w:rsid w:val="28B058E8"/>
    <w:rsid w:val="28D41056"/>
    <w:rsid w:val="28F241D3"/>
    <w:rsid w:val="28F96CB0"/>
    <w:rsid w:val="29000B08"/>
    <w:rsid w:val="291352AD"/>
    <w:rsid w:val="29326995"/>
    <w:rsid w:val="293B7327"/>
    <w:rsid w:val="29471828"/>
    <w:rsid w:val="29793775"/>
    <w:rsid w:val="297A7E50"/>
    <w:rsid w:val="297F3131"/>
    <w:rsid w:val="2984153C"/>
    <w:rsid w:val="29875ED3"/>
    <w:rsid w:val="29934A6D"/>
    <w:rsid w:val="29AD632C"/>
    <w:rsid w:val="29B05E38"/>
    <w:rsid w:val="2A050A46"/>
    <w:rsid w:val="2A0646CB"/>
    <w:rsid w:val="2A375D41"/>
    <w:rsid w:val="2A416A43"/>
    <w:rsid w:val="2A4178F3"/>
    <w:rsid w:val="2A5266D7"/>
    <w:rsid w:val="2A6308B8"/>
    <w:rsid w:val="2A697EC4"/>
    <w:rsid w:val="2A7725E1"/>
    <w:rsid w:val="2A83359C"/>
    <w:rsid w:val="2A8C359D"/>
    <w:rsid w:val="2A8F3499"/>
    <w:rsid w:val="2A9B7011"/>
    <w:rsid w:val="2A9D329F"/>
    <w:rsid w:val="2AA12629"/>
    <w:rsid w:val="2ABA7D1B"/>
    <w:rsid w:val="2ABB6316"/>
    <w:rsid w:val="2ABC650D"/>
    <w:rsid w:val="2ABC7FF4"/>
    <w:rsid w:val="2ADB73AB"/>
    <w:rsid w:val="2AE553C9"/>
    <w:rsid w:val="2AE82B97"/>
    <w:rsid w:val="2AEB08D9"/>
    <w:rsid w:val="2AFD5108"/>
    <w:rsid w:val="2B0A1054"/>
    <w:rsid w:val="2B1674B4"/>
    <w:rsid w:val="2B2F07C3"/>
    <w:rsid w:val="2B324CAE"/>
    <w:rsid w:val="2B3758CC"/>
    <w:rsid w:val="2B3C1135"/>
    <w:rsid w:val="2B3D5D38"/>
    <w:rsid w:val="2B783975"/>
    <w:rsid w:val="2B8B2199"/>
    <w:rsid w:val="2B8C4453"/>
    <w:rsid w:val="2B940F71"/>
    <w:rsid w:val="2BAB5D27"/>
    <w:rsid w:val="2BF00F33"/>
    <w:rsid w:val="2BF10171"/>
    <w:rsid w:val="2C281521"/>
    <w:rsid w:val="2C3528E5"/>
    <w:rsid w:val="2C3F303A"/>
    <w:rsid w:val="2C422438"/>
    <w:rsid w:val="2C4B019B"/>
    <w:rsid w:val="2C78619D"/>
    <w:rsid w:val="2C8C4417"/>
    <w:rsid w:val="2CB2345D"/>
    <w:rsid w:val="2CD43567"/>
    <w:rsid w:val="2CE032A2"/>
    <w:rsid w:val="2CE3384E"/>
    <w:rsid w:val="2CE33F5E"/>
    <w:rsid w:val="2CF87090"/>
    <w:rsid w:val="2D016192"/>
    <w:rsid w:val="2D032B98"/>
    <w:rsid w:val="2D173C07"/>
    <w:rsid w:val="2D190867"/>
    <w:rsid w:val="2D1D1785"/>
    <w:rsid w:val="2D1E2B13"/>
    <w:rsid w:val="2D236108"/>
    <w:rsid w:val="2D303871"/>
    <w:rsid w:val="2D340315"/>
    <w:rsid w:val="2D5E6D58"/>
    <w:rsid w:val="2D8F7C42"/>
    <w:rsid w:val="2D900A61"/>
    <w:rsid w:val="2D9214E0"/>
    <w:rsid w:val="2DCF7E03"/>
    <w:rsid w:val="2DDE38EA"/>
    <w:rsid w:val="2DE53D06"/>
    <w:rsid w:val="2E0A7941"/>
    <w:rsid w:val="2E1A1DF7"/>
    <w:rsid w:val="2E2252B5"/>
    <w:rsid w:val="2E4B3B69"/>
    <w:rsid w:val="2E4C5B33"/>
    <w:rsid w:val="2E5753B3"/>
    <w:rsid w:val="2E5A1FFE"/>
    <w:rsid w:val="2EA3763F"/>
    <w:rsid w:val="2ECE7A2C"/>
    <w:rsid w:val="2EE8585B"/>
    <w:rsid w:val="2EFE0BDB"/>
    <w:rsid w:val="2F0B32F8"/>
    <w:rsid w:val="2F10090E"/>
    <w:rsid w:val="2F302D5E"/>
    <w:rsid w:val="2F462582"/>
    <w:rsid w:val="2F4F4B8D"/>
    <w:rsid w:val="2F57134C"/>
    <w:rsid w:val="2F5C3697"/>
    <w:rsid w:val="2F745341"/>
    <w:rsid w:val="2F7B4DDE"/>
    <w:rsid w:val="2F8135BA"/>
    <w:rsid w:val="2FB15C4D"/>
    <w:rsid w:val="2FC00586"/>
    <w:rsid w:val="2FC132ED"/>
    <w:rsid w:val="2FC31E25"/>
    <w:rsid w:val="2FC55B9D"/>
    <w:rsid w:val="2FE51D9B"/>
    <w:rsid w:val="300415AB"/>
    <w:rsid w:val="3005243D"/>
    <w:rsid w:val="300F5F7F"/>
    <w:rsid w:val="30281C88"/>
    <w:rsid w:val="30444D13"/>
    <w:rsid w:val="304E7940"/>
    <w:rsid w:val="305558AE"/>
    <w:rsid w:val="306D22D8"/>
    <w:rsid w:val="307042D3"/>
    <w:rsid w:val="307D6477"/>
    <w:rsid w:val="30B8125D"/>
    <w:rsid w:val="30C10112"/>
    <w:rsid w:val="30C61BCC"/>
    <w:rsid w:val="30CF6E33"/>
    <w:rsid w:val="30DF0EB8"/>
    <w:rsid w:val="30FF0C3A"/>
    <w:rsid w:val="31067AB6"/>
    <w:rsid w:val="310A747F"/>
    <w:rsid w:val="310F2F64"/>
    <w:rsid w:val="311A0833"/>
    <w:rsid w:val="311F12DD"/>
    <w:rsid w:val="31232B7B"/>
    <w:rsid w:val="31280191"/>
    <w:rsid w:val="313570B8"/>
    <w:rsid w:val="3138668F"/>
    <w:rsid w:val="31400EAF"/>
    <w:rsid w:val="314E5BFD"/>
    <w:rsid w:val="3156356B"/>
    <w:rsid w:val="31566188"/>
    <w:rsid w:val="31605B7D"/>
    <w:rsid w:val="31640963"/>
    <w:rsid w:val="317D639C"/>
    <w:rsid w:val="319B3EED"/>
    <w:rsid w:val="31B23EFF"/>
    <w:rsid w:val="31CA2673"/>
    <w:rsid w:val="31E72668"/>
    <w:rsid w:val="31FB3AF8"/>
    <w:rsid w:val="32316BC7"/>
    <w:rsid w:val="323D5EBE"/>
    <w:rsid w:val="323F1C36"/>
    <w:rsid w:val="325D1CB3"/>
    <w:rsid w:val="327B0795"/>
    <w:rsid w:val="3288329C"/>
    <w:rsid w:val="32AE75D6"/>
    <w:rsid w:val="32BB5035"/>
    <w:rsid w:val="32BC2AC3"/>
    <w:rsid w:val="32CE0540"/>
    <w:rsid w:val="32D87175"/>
    <w:rsid w:val="33185DDE"/>
    <w:rsid w:val="332427B2"/>
    <w:rsid w:val="33462B51"/>
    <w:rsid w:val="334B08FE"/>
    <w:rsid w:val="33531B8B"/>
    <w:rsid w:val="336F283A"/>
    <w:rsid w:val="33743B62"/>
    <w:rsid w:val="33770732"/>
    <w:rsid w:val="337D7269"/>
    <w:rsid w:val="338B0EAB"/>
    <w:rsid w:val="33AA7583"/>
    <w:rsid w:val="33B71CA0"/>
    <w:rsid w:val="33BC74CF"/>
    <w:rsid w:val="33D97E69"/>
    <w:rsid w:val="33EC61A4"/>
    <w:rsid w:val="33EC7B9C"/>
    <w:rsid w:val="34070928"/>
    <w:rsid w:val="34147658"/>
    <w:rsid w:val="341879F1"/>
    <w:rsid w:val="342B165D"/>
    <w:rsid w:val="34431F1E"/>
    <w:rsid w:val="344A041F"/>
    <w:rsid w:val="344E3819"/>
    <w:rsid w:val="346F73CA"/>
    <w:rsid w:val="3472347F"/>
    <w:rsid w:val="347436ED"/>
    <w:rsid w:val="347E0A7F"/>
    <w:rsid w:val="348D75BC"/>
    <w:rsid w:val="34A55F9D"/>
    <w:rsid w:val="34BF35E1"/>
    <w:rsid w:val="34CA77B1"/>
    <w:rsid w:val="34D66156"/>
    <w:rsid w:val="34FD5678"/>
    <w:rsid w:val="350425F5"/>
    <w:rsid w:val="35093BF4"/>
    <w:rsid w:val="351511EB"/>
    <w:rsid w:val="3519552D"/>
    <w:rsid w:val="352B64A2"/>
    <w:rsid w:val="354C30B8"/>
    <w:rsid w:val="355E36B3"/>
    <w:rsid w:val="356A740B"/>
    <w:rsid w:val="35727C2D"/>
    <w:rsid w:val="35802258"/>
    <w:rsid w:val="35832150"/>
    <w:rsid w:val="35851066"/>
    <w:rsid w:val="35915B97"/>
    <w:rsid w:val="35916DD5"/>
    <w:rsid w:val="35A24298"/>
    <w:rsid w:val="35F5260C"/>
    <w:rsid w:val="36117FB1"/>
    <w:rsid w:val="36176A26"/>
    <w:rsid w:val="362A675A"/>
    <w:rsid w:val="362D1DA6"/>
    <w:rsid w:val="363C648D"/>
    <w:rsid w:val="36432D79"/>
    <w:rsid w:val="36436CFD"/>
    <w:rsid w:val="364E595A"/>
    <w:rsid w:val="365E6403"/>
    <w:rsid w:val="36616C3B"/>
    <w:rsid w:val="36714707"/>
    <w:rsid w:val="367307E9"/>
    <w:rsid w:val="367B5207"/>
    <w:rsid w:val="369E1D98"/>
    <w:rsid w:val="36A21211"/>
    <w:rsid w:val="36AF4EB1"/>
    <w:rsid w:val="36B359FE"/>
    <w:rsid w:val="36B44275"/>
    <w:rsid w:val="36D208AA"/>
    <w:rsid w:val="37107E19"/>
    <w:rsid w:val="373E735B"/>
    <w:rsid w:val="375717D0"/>
    <w:rsid w:val="375E4292"/>
    <w:rsid w:val="37721F5F"/>
    <w:rsid w:val="377A3279"/>
    <w:rsid w:val="37826121"/>
    <w:rsid w:val="378B76CC"/>
    <w:rsid w:val="37AE6F16"/>
    <w:rsid w:val="37B34059"/>
    <w:rsid w:val="37C80E48"/>
    <w:rsid w:val="3821204D"/>
    <w:rsid w:val="382429E5"/>
    <w:rsid w:val="38431D54"/>
    <w:rsid w:val="38433B03"/>
    <w:rsid w:val="384C3A8F"/>
    <w:rsid w:val="384C721E"/>
    <w:rsid w:val="385266C4"/>
    <w:rsid w:val="385C38A2"/>
    <w:rsid w:val="3874745E"/>
    <w:rsid w:val="38780137"/>
    <w:rsid w:val="387C7F79"/>
    <w:rsid w:val="38810944"/>
    <w:rsid w:val="38922D5C"/>
    <w:rsid w:val="38925B35"/>
    <w:rsid w:val="38B247E4"/>
    <w:rsid w:val="38CC7F9C"/>
    <w:rsid w:val="38E631EA"/>
    <w:rsid w:val="38F40C32"/>
    <w:rsid w:val="39184F8F"/>
    <w:rsid w:val="39192BBD"/>
    <w:rsid w:val="392A081F"/>
    <w:rsid w:val="395E6C0E"/>
    <w:rsid w:val="396D50E9"/>
    <w:rsid w:val="396E1053"/>
    <w:rsid w:val="396E4B1E"/>
    <w:rsid w:val="39827624"/>
    <w:rsid w:val="3987490A"/>
    <w:rsid w:val="39A20905"/>
    <w:rsid w:val="39A95BE7"/>
    <w:rsid w:val="39C40B94"/>
    <w:rsid w:val="39C62C3D"/>
    <w:rsid w:val="39DD3AE3"/>
    <w:rsid w:val="39F2758E"/>
    <w:rsid w:val="39FC21BB"/>
    <w:rsid w:val="3A0177D1"/>
    <w:rsid w:val="3A0C59F1"/>
    <w:rsid w:val="3A1565DD"/>
    <w:rsid w:val="3A216747"/>
    <w:rsid w:val="3A281202"/>
    <w:rsid w:val="3A4762BF"/>
    <w:rsid w:val="3A4A116E"/>
    <w:rsid w:val="3A5244D1"/>
    <w:rsid w:val="3A5913BB"/>
    <w:rsid w:val="3A5A5BBB"/>
    <w:rsid w:val="3A740B70"/>
    <w:rsid w:val="3A7E0E22"/>
    <w:rsid w:val="3A8723CC"/>
    <w:rsid w:val="3A8A7846"/>
    <w:rsid w:val="3AAE7B52"/>
    <w:rsid w:val="3AB12912"/>
    <w:rsid w:val="3AB36841"/>
    <w:rsid w:val="3AB96352"/>
    <w:rsid w:val="3ABD6EB6"/>
    <w:rsid w:val="3AE32F3A"/>
    <w:rsid w:val="3AFD06CB"/>
    <w:rsid w:val="3B05556C"/>
    <w:rsid w:val="3B0B57EA"/>
    <w:rsid w:val="3B253993"/>
    <w:rsid w:val="3B293484"/>
    <w:rsid w:val="3B2A6F08"/>
    <w:rsid w:val="3B2B1C04"/>
    <w:rsid w:val="3B2C087E"/>
    <w:rsid w:val="3B5F6D07"/>
    <w:rsid w:val="3B704B38"/>
    <w:rsid w:val="3B800DFC"/>
    <w:rsid w:val="3B9A103C"/>
    <w:rsid w:val="3BA3569B"/>
    <w:rsid w:val="3BAC5E63"/>
    <w:rsid w:val="3BB900AC"/>
    <w:rsid w:val="3BC60CD2"/>
    <w:rsid w:val="3BC9431F"/>
    <w:rsid w:val="3BE54741"/>
    <w:rsid w:val="3BF51D03"/>
    <w:rsid w:val="3BF876BB"/>
    <w:rsid w:val="3BF9550B"/>
    <w:rsid w:val="3BFA41C9"/>
    <w:rsid w:val="3BFC1F33"/>
    <w:rsid w:val="3C1F39D9"/>
    <w:rsid w:val="3C243C4B"/>
    <w:rsid w:val="3C2854E9"/>
    <w:rsid w:val="3C300842"/>
    <w:rsid w:val="3C364B95"/>
    <w:rsid w:val="3C5F6A31"/>
    <w:rsid w:val="3C66385E"/>
    <w:rsid w:val="3C687F34"/>
    <w:rsid w:val="3C726BAD"/>
    <w:rsid w:val="3C782C68"/>
    <w:rsid w:val="3C93703A"/>
    <w:rsid w:val="3C947DA7"/>
    <w:rsid w:val="3C9D0AD8"/>
    <w:rsid w:val="3CAC2CAE"/>
    <w:rsid w:val="3CCB60B2"/>
    <w:rsid w:val="3CCC056A"/>
    <w:rsid w:val="3CD965F5"/>
    <w:rsid w:val="3CE663A5"/>
    <w:rsid w:val="3CE957CA"/>
    <w:rsid w:val="3D1F0E61"/>
    <w:rsid w:val="3D395D2D"/>
    <w:rsid w:val="3D6E488B"/>
    <w:rsid w:val="3D7804FA"/>
    <w:rsid w:val="3D840E45"/>
    <w:rsid w:val="3D9903FC"/>
    <w:rsid w:val="3DEE646D"/>
    <w:rsid w:val="3DFF04CC"/>
    <w:rsid w:val="3E104487"/>
    <w:rsid w:val="3E512524"/>
    <w:rsid w:val="3E5823AA"/>
    <w:rsid w:val="3E795E9D"/>
    <w:rsid w:val="3E7E4B6D"/>
    <w:rsid w:val="3E9C49E5"/>
    <w:rsid w:val="3EB02199"/>
    <w:rsid w:val="3EB97642"/>
    <w:rsid w:val="3EC34354"/>
    <w:rsid w:val="3EC628FF"/>
    <w:rsid w:val="3EF27647"/>
    <w:rsid w:val="3EFE0783"/>
    <w:rsid w:val="3F185CE9"/>
    <w:rsid w:val="3F3917BB"/>
    <w:rsid w:val="3F3F0A72"/>
    <w:rsid w:val="3F731171"/>
    <w:rsid w:val="3F7647BE"/>
    <w:rsid w:val="3F764E94"/>
    <w:rsid w:val="3F917849"/>
    <w:rsid w:val="3F9C2A76"/>
    <w:rsid w:val="3FBB48C6"/>
    <w:rsid w:val="3FC14B65"/>
    <w:rsid w:val="3FDB6D16"/>
    <w:rsid w:val="3FE7622F"/>
    <w:rsid w:val="40037B49"/>
    <w:rsid w:val="40097566"/>
    <w:rsid w:val="401C35B7"/>
    <w:rsid w:val="40354679"/>
    <w:rsid w:val="405075DC"/>
    <w:rsid w:val="405079DE"/>
    <w:rsid w:val="407A208B"/>
    <w:rsid w:val="408353E4"/>
    <w:rsid w:val="40926D87"/>
    <w:rsid w:val="40A614D2"/>
    <w:rsid w:val="40D0614F"/>
    <w:rsid w:val="40EB4D37"/>
    <w:rsid w:val="40F0124C"/>
    <w:rsid w:val="40F46C99"/>
    <w:rsid w:val="410B7DCD"/>
    <w:rsid w:val="412269F4"/>
    <w:rsid w:val="41273454"/>
    <w:rsid w:val="41326E0A"/>
    <w:rsid w:val="413463FC"/>
    <w:rsid w:val="41691DE4"/>
    <w:rsid w:val="41791AD1"/>
    <w:rsid w:val="41894C7C"/>
    <w:rsid w:val="418F3165"/>
    <w:rsid w:val="41AB4770"/>
    <w:rsid w:val="41C6300E"/>
    <w:rsid w:val="41CF4659"/>
    <w:rsid w:val="41E33C60"/>
    <w:rsid w:val="4202058A"/>
    <w:rsid w:val="42024A2E"/>
    <w:rsid w:val="42044303"/>
    <w:rsid w:val="42277E78"/>
    <w:rsid w:val="4230334A"/>
    <w:rsid w:val="426024BA"/>
    <w:rsid w:val="427A6373"/>
    <w:rsid w:val="42956C7D"/>
    <w:rsid w:val="429C09DF"/>
    <w:rsid w:val="429D02B3"/>
    <w:rsid w:val="42E30A4A"/>
    <w:rsid w:val="42EA3410"/>
    <w:rsid w:val="42F20444"/>
    <w:rsid w:val="431C2037"/>
    <w:rsid w:val="43206C0A"/>
    <w:rsid w:val="43224722"/>
    <w:rsid w:val="432D7889"/>
    <w:rsid w:val="434B3078"/>
    <w:rsid w:val="436037BB"/>
    <w:rsid w:val="43923990"/>
    <w:rsid w:val="43B458B4"/>
    <w:rsid w:val="43D30430"/>
    <w:rsid w:val="43E1564E"/>
    <w:rsid w:val="43E175B4"/>
    <w:rsid w:val="43E84E11"/>
    <w:rsid w:val="43FC2807"/>
    <w:rsid w:val="4404683C"/>
    <w:rsid w:val="441048D4"/>
    <w:rsid w:val="4427089F"/>
    <w:rsid w:val="44446C38"/>
    <w:rsid w:val="44486EA0"/>
    <w:rsid w:val="44817E8C"/>
    <w:rsid w:val="4488746D"/>
    <w:rsid w:val="4493196E"/>
    <w:rsid w:val="449C6F40"/>
    <w:rsid w:val="449D5E70"/>
    <w:rsid w:val="44A90D62"/>
    <w:rsid w:val="44B32AFA"/>
    <w:rsid w:val="44D75CFE"/>
    <w:rsid w:val="44EB17AA"/>
    <w:rsid w:val="44FA0728"/>
    <w:rsid w:val="44FC5765"/>
    <w:rsid w:val="451C7BB5"/>
    <w:rsid w:val="45476C7B"/>
    <w:rsid w:val="456D60B0"/>
    <w:rsid w:val="4586771A"/>
    <w:rsid w:val="458C302E"/>
    <w:rsid w:val="458D460F"/>
    <w:rsid w:val="4597020E"/>
    <w:rsid w:val="45BC0529"/>
    <w:rsid w:val="45C74BE2"/>
    <w:rsid w:val="45E35FC0"/>
    <w:rsid w:val="45EB590C"/>
    <w:rsid w:val="45FD7AA0"/>
    <w:rsid w:val="460D7CA5"/>
    <w:rsid w:val="461B60BF"/>
    <w:rsid w:val="462522B9"/>
    <w:rsid w:val="46260726"/>
    <w:rsid w:val="464070BA"/>
    <w:rsid w:val="464B45D7"/>
    <w:rsid w:val="465529F2"/>
    <w:rsid w:val="466B08CA"/>
    <w:rsid w:val="466B0DF4"/>
    <w:rsid w:val="466E2692"/>
    <w:rsid w:val="467D28D5"/>
    <w:rsid w:val="4698770F"/>
    <w:rsid w:val="46997E9F"/>
    <w:rsid w:val="46AD60E9"/>
    <w:rsid w:val="46B329B6"/>
    <w:rsid w:val="472745EF"/>
    <w:rsid w:val="473867FC"/>
    <w:rsid w:val="473F66FC"/>
    <w:rsid w:val="475278BE"/>
    <w:rsid w:val="475A066B"/>
    <w:rsid w:val="47607983"/>
    <w:rsid w:val="476B6BD2"/>
    <w:rsid w:val="477517FF"/>
    <w:rsid w:val="4780636A"/>
    <w:rsid w:val="478B4B7E"/>
    <w:rsid w:val="478D6B48"/>
    <w:rsid w:val="47B73BC5"/>
    <w:rsid w:val="47DB5734"/>
    <w:rsid w:val="47E744AA"/>
    <w:rsid w:val="47E80223"/>
    <w:rsid w:val="47EB7C61"/>
    <w:rsid w:val="47F14892"/>
    <w:rsid w:val="47FA0C3F"/>
    <w:rsid w:val="48030BB8"/>
    <w:rsid w:val="48091DA8"/>
    <w:rsid w:val="483E3131"/>
    <w:rsid w:val="484A7D6D"/>
    <w:rsid w:val="48643D4D"/>
    <w:rsid w:val="487A74C5"/>
    <w:rsid w:val="489108BA"/>
    <w:rsid w:val="489932CB"/>
    <w:rsid w:val="48A57EC2"/>
    <w:rsid w:val="48D5777C"/>
    <w:rsid w:val="48F055E1"/>
    <w:rsid w:val="49376945"/>
    <w:rsid w:val="493F0316"/>
    <w:rsid w:val="493F41BC"/>
    <w:rsid w:val="496649C8"/>
    <w:rsid w:val="49667651"/>
    <w:rsid w:val="498759FB"/>
    <w:rsid w:val="499B66D1"/>
    <w:rsid w:val="49B42D9E"/>
    <w:rsid w:val="49CA6DC7"/>
    <w:rsid w:val="4A295B69"/>
    <w:rsid w:val="4A2D43AB"/>
    <w:rsid w:val="4A477482"/>
    <w:rsid w:val="4A703CBA"/>
    <w:rsid w:val="4A745D9D"/>
    <w:rsid w:val="4A77742C"/>
    <w:rsid w:val="4A8861AA"/>
    <w:rsid w:val="4A8A736F"/>
    <w:rsid w:val="4A9106FD"/>
    <w:rsid w:val="4A932C14"/>
    <w:rsid w:val="4AC7411F"/>
    <w:rsid w:val="4ACA115E"/>
    <w:rsid w:val="4AE74670"/>
    <w:rsid w:val="4B034EF9"/>
    <w:rsid w:val="4B215F25"/>
    <w:rsid w:val="4B2C3CC2"/>
    <w:rsid w:val="4B3B68BB"/>
    <w:rsid w:val="4B542161"/>
    <w:rsid w:val="4B767524"/>
    <w:rsid w:val="4B80337E"/>
    <w:rsid w:val="4B826138"/>
    <w:rsid w:val="4B897627"/>
    <w:rsid w:val="4BBB5A2F"/>
    <w:rsid w:val="4BC62629"/>
    <w:rsid w:val="4BC66ACD"/>
    <w:rsid w:val="4BEC0E47"/>
    <w:rsid w:val="4BF74ED8"/>
    <w:rsid w:val="4C1A4352"/>
    <w:rsid w:val="4C4B2007"/>
    <w:rsid w:val="4C5A2C8D"/>
    <w:rsid w:val="4C6F2CC0"/>
    <w:rsid w:val="4C9C74D2"/>
    <w:rsid w:val="4CA175B2"/>
    <w:rsid w:val="4CA43D63"/>
    <w:rsid w:val="4CAD00F8"/>
    <w:rsid w:val="4CD40560"/>
    <w:rsid w:val="4CF136D5"/>
    <w:rsid w:val="4CF77E06"/>
    <w:rsid w:val="4CFD6709"/>
    <w:rsid w:val="4CFF79A7"/>
    <w:rsid w:val="4D2B3170"/>
    <w:rsid w:val="4D3B0672"/>
    <w:rsid w:val="4D66647C"/>
    <w:rsid w:val="4D6A0797"/>
    <w:rsid w:val="4D9F0E33"/>
    <w:rsid w:val="4DA25A41"/>
    <w:rsid w:val="4DB91563"/>
    <w:rsid w:val="4DEA517A"/>
    <w:rsid w:val="4E0062C6"/>
    <w:rsid w:val="4E0737C0"/>
    <w:rsid w:val="4E105DDD"/>
    <w:rsid w:val="4E151323"/>
    <w:rsid w:val="4E2A6FA0"/>
    <w:rsid w:val="4E39781A"/>
    <w:rsid w:val="4E4571A0"/>
    <w:rsid w:val="4E4A5793"/>
    <w:rsid w:val="4E5B79A0"/>
    <w:rsid w:val="4E726054"/>
    <w:rsid w:val="4E7D0DE2"/>
    <w:rsid w:val="4E9F7546"/>
    <w:rsid w:val="4EA46E34"/>
    <w:rsid w:val="4EAB5F44"/>
    <w:rsid w:val="4EB470B0"/>
    <w:rsid w:val="4EBE56A0"/>
    <w:rsid w:val="4EC20DFB"/>
    <w:rsid w:val="4EC310A1"/>
    <w:rsid w:val="4EE35077"/>
    <w:rsid w:val="4EE96D5A"/>
    <w:rsid w:val="4EF23735"/>
    <w:rsid w:val="4EF31987"/>
    <w:rsid w:val="4EF94AC3"/>
    <w:rsid w:val="4F053468"/>
    <w:rsid w:val="4F102B4E"/>
    <w:rsid w:val="4F1338C8"/>
    <w:rsid w:val="4F2159BA"/>
    <w:rsid w:val="4F247D92"/>
    <w:rsid w:val="4F2558B8"/>
    <w:rsid w:val="4F2D0FE3"/>
    <w:rsid w:val="4F443E37"/>
    <w:rsid w:val="4F493C9D"/>
    <w:rsid w:val="4F4B17C3"/>
    <w:rsid w:val="4F5655D9"/>
    <w:rsid w:val="4F580BEC"/>
    <w:rsid w:val="4F642884"/>
    <w:rsid w:val="4F823A7E"/>
    <w:rsid w:val="4F864F33"/>
    <w:rsid w:val="4FBC446F"/>
    <w:rsid w:val="4FD53792"/>
    <w:rsid w:val="50330A02"/>
    <w:rsid w:val="503E1327"/>
    <w:rsid w:val="506C1F12"/>
    <w:rsid w:val="506D7517"/>
    <w:rsid w:val="506E4131"/>
    <w:rsid w:val="50846ED2"/>
    <w:rsid w:val="5092484F"/>
    <w:rsid w:val="50AA076B"/>
    <w:rsid w:val="50B71FFD"/>
    <w:rsid w:val="50CF3D2E"/>
    <w:rsid w:val="50E25461"/>
    <w:rsid w:val="50ED0658"/>
    <w:rsid w:val="50F6253B"/>
    <w:rsid w:val="50FD148C"/>
    <w:rsid w:val="51017D1A"/>
    <w:rsid w:val="51037E7B"/>
    <w:rsid w:val="5107142D"/>
    <w:rsid w:val="51257DF2"/>
    <w:rsid w:val="5127085A"/>
    <w:rsid w:val="514E7348"/>
    <w:rsid w:val="516E0EDF"/>
    <w:rsid w:val="5176064D"/>
    <w:rsid w:val="518510D7"/>
    <w:rsid w:val="519E0A41"/>
    <w:rsid w:val="51A452F8"/>
    <w:rsid w:val="51B55619"/>
    <w:rsid w:val="51D1485E"/>
    <w:rsid w:val="51E8779D"/>
    <w:rsid w:val="51EE6435"/>
    <w:rsid w:val="51F04FAC"/>
    <w:rsid w:val="51F872B4"/>
    <w:rsid w:val="520B7793"/>
    <w:rsid w:val="52132340"/>
    <w:rsid w:val="5216419D"/>
    <w:rsid w:val="521A1920"/>
    <w:rsid w:val="521B1331"/>
    <w:rsid w:val="521B7236"/>
    <w:rsid w:val="52231081"/>
    <w:rsid w:val="523A5BF8"/>
    <w:rsid w:val="523F1523"/>
    <w:rsid w:val="524424F9"/>
    <w:rsid w:val="524B71BF"/>
    <w:rsid w:val="525C3CE7"/>
    <w:rsid w:val="52625B48"/>
    <w:rsid w:val="528B2681"/>
    <w:rsid w:val="529E15F5"/>
    <w:rsid w:val="52A975BB"/>
    <w:rsid w:val="52E33AC0"/>
    <w:rsid w:val="52E421BF"/>
    <w:rsid w:val="52F86769"/>
    <w:rsid w:val="52F86E8F"/>
    <w:rsid w:val="52FA15D1"/>
    <w:rsid w:val="532A5B93"/>
    <w:rsid w:val="532C2D94"/>
    <w:rsid w:val="5335644A"/>
    <w:rsid w:val="53566988"/>
    <w:rsid w:val="538104BC"/>
    <w:rsid w:val="539449DD"/>
    <w:rsid w:val="53BC4F17"/>
    <w:rsid w:val="53C03E02"/>
    <w:rsid w:val="53C673CA"/>
    <w:rsid w:val="53CA06DA"/>
    <w:rsid w:val="53D0274A"/>
    <w:rsid w:val="53DA57A8"/>
    <w:rsid w:val="53E41AB0"/>
    <w:rsid w:val="53F544B4"/>
    <w:rsid w:val="53F82140"/>
    <w:rsid w:val="54201D70"/>
    <w:rsid w:val="54556C40"/>
    <w:rsid w:val="54776AD5"/>
    <w:rsid w:val="547800D6"/>
    <w:rsid w:val="547D6C04"/>
    <w:rsid w:val="548154AA"/>
    <w:rsid w:val="54882B71"/>
    <w:rsid w:val="549B515A"/>
    <w:rsid w:val="54A83213"/>
    <w:rsid w:val="54C67EA4"/>
    <w:rsid w:val="54D70924"/>
    <w:rsid w:val="54F50963"/>
    <w:rsid w:val="550D02B1"/>
    <w:rsid w:val="552E5603"/>
    <w:rsid w:val="55344AA7"/>
    <w:rsid w:val="5554676E"/>
    <w:rsid w:val="5560589C"/>
    <w:rsid w:val="558477DD"/>
    <w:rsid w:val="558A0B81"/>
    <w:rsid w:val="55935C72"/>
    <w:rsid w:val="55A0038E"/>
    <w:rsid w:val="55CA674D"/>
    <w:rsid w:val="55E74BF1"/>
    <w:rsid w:val="56480C36"/>
    <w:rsid w:val="56505911"/>
    <w:rsid w:val="56585C96"/>
    <w:rsid w:val="567B2CC5"/>
    <w:rsid w:val="56926CEA"/>
    <w:rsid w:val="56A812A9"/>
    <w:rsid w:val="56DA4CDB"/>
    <w:rsid w:val="56E95231"/>
    <w:rsid w:val="56F0504E"/>
    <w:rsid w:val="56F3629C"/>
    <w:rsid w:val="56F91B04"/>
    <w:rsid w:val="56FB5543"/>
    <w:rsid w:val="56FE03D2"/>
    <w:rsid w:val="571678AD"/>
    <w:rsid w:val="57233025"/>
    <w:rsid w:val="573A3ECB"/>
    <w:rsid w:val="573E7E5F"/>
    <w:rsid w:val="576158FB"/>
    <w:rsid w:val="577E46FF"/>
    <w:rsid w:val="57902054"/>
    <w:rsid w:val="579072CD"/>
    <w:rsid w:val="579730CB"/>
    <w:rsid w:val="57A9177C"/>
    <w:rsid w:val="57AC2BE5"/>
    <w:rsid w:val="57BB1786"/>
    <w:rsid w:val="57E1238A"/>
    <w:rsid w:val="57E142B5"/>
    <w:rsid w:val="57F66044"/>
    <w:rsid w:val="58280254"/>
    <w:rsid w:val="582B2191"/>
    <w:rsid w:val="58591491"/>
    <w:rsid w:val="587873A1"/>
    <w:rsid w:val="587B2AC6"/>
    <w:rsid w:val="587D6765"/>
    <w:rsid w:val="58C12D05"/>
    <w:rsid w:val="58C46142"/>
    <w:rsid w:val="58C82D2D"/>
    <w:rsid w:val="58CC2FD2"/>
    <w:rsid w:val="58D46377"/>
    <w:rsid w:val="58E031F2"/>
    <w:rsid w:val="58E660B8"/>
    <w:rsid w:val="590A624B"/>
    <w:rsid w:val="59182664"/>
    <w:rsid w:val="593F5083"/>
    <w:rsid w:val="59457283"/>
    <w:rsid w:val="59503BFD"/>
    <w:rsid w:val="596B6642"/>
    <w:rsid w:val="59771406"/>
    <w:rsid w:val="597E4543"/>
    <w:rsid w:val="598D6D1A"/>
    <w:rsid w:val="5999158F"/>
    <w:rsid w:val="59A10231"/>
    <w:rsid w:val="59AF10F4"/>
    <w:rsid w:val="59B73C66"/>
    <w:rsid w:val="59CA5ABD"/>
    <w:rsid w:val="59CD1026"/>
    <w:rsid w:val="59DB7BE7"/>
    <w:rsid w:val="59E051FD"/>
    <w:rsid w:val="59ED5EFC"/>
    <w:rsid w:val="5A027705"/>
    <w:rsid w:val="5A217DCA"/>
    <w:rsid w:val="5A276988"/>
    <w:rsid w:val="5A33357F"/>
    <w:rsid w:val="5A386DE8"/>
    <w:rsid w:val="5A4B265F"/>
    <w:rsid w:val="5A645996"/>
    <w:rsid w:val="5A880DC1"/>
    <w:rsid w:val="5A8E4C59"/>
    <w:rsid w:val="5A985AD8"/>
    <w:rsid w:val="5AA9087F"/>
    <w:rsid w:val="5AB344EB"/>
    <w:rsid w:val="5AB741B0"/>
    <w:rsid w:val="5ABF6C57"/>
    <w:rsid w:val="5AC6073D"/>
    <w:rsid w:val="5ADA7B9F"/>
    <w:rsid w:val="5ADE0DA0"/>
    <w:rsid w:val="5AE67ED8"/>
    <w:rsid w:val="5AFE1DDF"/>
    <w:rsid w:val="5B142A15"/>
    <w:rsid w:val="5B307ABF"/>
    <w:rsid w:val="5B3835A7"/>
    <w:rsid w:val="5B4A5024"/>
    <w:rsid w:val="5B5E305F"/>
    <w:rsid w:val="5B68066B"/>
    <w:rsid w:val="5B7A3D15"/>
    <w:rsid w:val="5B9820C5"/>
    <w:rsid w:val="5B9C5154"/>
    <w:rsid w:val="5B9C6F02"/>
    <w:rsid w:val="5BB93F58"/>
    <w:rsid w:val="5BBD57F6"/>
    <w:rsid w:val="5BDA56C3"/>
    <w:rsid w:val="5BDC19F5"/>
    <w:rsid w:val="5BE15DD7"/>
    <w:rsid w:val="5BF5618B"/>
    <w:rsid w:val="5BF907F8"/>
    <w:rsid w:val="5BFB3FDB"/>
    <w:rsid w:val="5C4346D4"/>
    <w:rsid w:val="5C7E3909"/>
    <w:rsid w:val="5C8E3338"/>
    <w:rsid w:val="5C996E10"/>
    <w:rsid w:val="5CBF559E"/>
    <w:rsid w:val="5CC901CB"/>
    <w:rsid w:val="5CE822A7"/>
    <w:rsid w:val="5CFB0AC9"/>
    <w:rsid w:val="5D0905C7"/>
    <w:rsid w:val="5D156F6C"/>
    <w:rsid w:val="5D16215B"/>
    <w:rsid w:val="5D1D22C5"/>
    <w:rsid w:val="5D335644"/>
    <w:rsid w:val="5D656145"/>
    <w:rsid w:val="5D8F6D1E"/>
    <w:rsid w:val="5DAD53F7"/>
    <w:rsid w:val="5DB774EC"/>
    <w:rsid w:val="5DEE0147"/>
    <w:rsid w:val="5E021BE6"/>
    <w:rsid w:val="5E1B6804"/>
    <w:rsid w:val="5E2356FE"/>
    <w:rsid w:val="5E341181"/>
    <w:rsid w:val="5E3A54A1"/>
    <w:rsid w:val="5E3B2A02"/>
    <w:rsid w:val="5E68748A"/>
    <w:rsid w:val="5E6C3504"/>
    <w:rsid w:val="5E6C65EF"/>
    <w:rsid w:val="5E7128C8"/>
    <w:rsid w:val="5E7F3237"/>
    <w:rsid w:val="5ED87808"/>
    <w:rsid w:val="5EFA694D"/>
    <w:rsid w:val="5F0545C8"/>
    <w:rsid w:val="5F121FCF"/>
    <w:rsid w:val="5F22227F"/>
    <w:rsid w:val="5F230066"/>
    <w:rsid w:val="5F2636B2"/>
    <w:rsid w:val="5F304531"/>
    <w:rsid w:val="5F361B6E"/>
    <w:rsid w:val="5F385F92"/>
    <w:rsid w:val="5F3B6A32"/>
    <w:rsid w:val="5F64322E"/>
    <w:rsid w:val="5F677827"/>
    <w:rsid w:val="5F6F783D"/>
    <w:rsid w:val="5F7A47F1"/>
    <w:rsid w:val="5F811083"/>
    <w:rsid w:val="5F97010C"/>
    <w:rsid w:val="5FA56FE4"/>
    <w:rsid w:val="5FAC1020"/>
    <w:rsid w:val="5FAD306B"/>
    <w:rsid w:val="5FF44F04"/>
    <w:rsid w:val="600E7C34"/>
    <w:rsid w:val="60110DB2"/>
    <w:rsid w:val="60196D73"/>
    <w:rsid w:val="60261490"/>
    <w:rsid w:val="604300C7"/>
    <w:rsid w:val="60550FF6"/>
    <w:rsid w:val="605A584B"/>
    <w:rsid w:val="605C5479"/>
    <w:rsid w:val="606C2559"/>
    <w:rsid w:val="608308BF"/>
    <w:rsid w:val="60995CEB"/>
    <w:rsid w:val="60C43183"/>
    <w:rsid w:val="60E5261E"/>
    <w:rsid w:val="60F021CA"/>
    <w:rsid w:val="60FD5815"/>
    <w:rsid w:val="61021F99"/>
    <w:rsid w:val="61155001"/>
    <w:rsid w:val="612415A4"/>
    <w:rsid w:val="61270B36"/>
    <w:rsid w:val="613978E2"/>
    <w:rsid w:val="613D4CE3"/>
    <w:rsid w:val="614374E0"/>
    <w:rsid w:val="61686204"/>
    <w:rsid w:val="61774699"/>
    <w:rsid w:val="6189617B"/>
    <w:rsid w:val="618C100C"/>
    <w:rsid w:val="619D39D4"/>
    <w:rsid w:val="619F68A3"/>
    <w:rsid w:val="61B256D1"/>
    <w:rsid w:val="61C13B66"/>
    <w:rsid w:val="61C84EF5"/>
    <w:rsid w:val="61CD6067"/>
    <w:rsid w:val="61D05B58"/>
    <w:rsid w:val="61D218D0"/>
    <w:rsid w:val="61DB4C28"/>
    <w:rsid w:val="61E57855"/>
    <w:rsid w:val="61E635CD"/>
    <w:rsid w:val="61EB0BE3"/>
    <w:rsid w:val="61EE2402"/>
    <w:rsid w:val="6208407F"/>
    <w:rsid w:val="621719D8"/>
    <w:rsid w:val="622004CC"/>
    <w:rsid w:val="622A0E05"/>
    <w:rsid w:val="622B7232"/>
    <w:rsid w:val="625C2EC9"/>
    <w:rsid w:val="62665FC5"/>
    <w:rsid w:val="62675BA2"/>
    <w:rsid w:val="626A0D58"/>
    <w:rsid w:val="62881996"/>
    <w:rsid w:val="6292559B"/>
    <w:rsid w:val="62AF236A"/>
    <w:rsid w:val="62DB47B4"/>
    <w:rsid w:val="62E33669"/>
    <w:rsid w:val="62E90B9B"/>
    <w:rsid w:val="62F323C0"/>
    <w:rsid w:val="63097573"/>
    <w:rsid w:val="631A4307"/>
    <w:rsid w:val="63247579"/>
    <w:rsid w:val="63256B64"/>
    <w:rsid w:val="633A23FA"/>
    <w:rsid w:val="633D721D"/>
    <w:rsid w:val="63527395"/>
    <w:rsid w:val="636A0854"/>
    <w:rsid w:val="63724376"/>
    <w:rsid w:val="63742EAA"/>
    <w:rsid w:val="63750765"/>
    <w:rsid w:val="637E1F7D"/>
    <w:rsid w:val="63984453"/>
    <w:rsid w:val="63985CE1"/>
    <w:rsid w:val="639F57E1"/>
    <w:rsid w:val="63AF49AD"/>
    <w:rsid w:val="63B72044"/>
    <w:rsid w:val="63BE035D"/>
    <w:rsid w:val="63D400F2"/>
    <w:rsid w:val="63D7141F"/>
    <w:rsid w:val="63E30BC6"/>
    <w:rsid w:val="641038BF"/>
    <w:rsid w:val="64264155"/>
    <w:rsid w:val="642B176B"/>
    <w:rsid w:val="643728BE"/>
    <w:rsid w:val="643B6113"/>
    <w:rsid w:val="644264A6"/>
    <w:rsid w:val="644454B9"/>
    <w:rsid w:val="644B4892"/>
    <w:rsid w:val="645C45AB"/>
    <w:rsid w:val="645C7B76"/>
    <w:rsid w:val="647D6AD4"/>
    <w:rsid w:val="64A90FB9"/>
    <w:rsid w:val="64BB03DA"/>
    <w:rsid w:val="64BE6F65"/>
    <w:rsid w:val="64C179D9"/>
    <w:rsid w:val="64C33752"/>
    <w:rsid w:val="64EA231B"/>
    <w:rsid w:val="6511270F"/>
    <w:rsid w:val="653700A8"/>
    <w:rsid w:val="6541059F"/>
    <w:rsid w:val="65612EED"/>
    <w:rsid w:val="65646CE3"/>
    <w:rsid w:val="657131AE"/>
    <w:rsid w:val="657A3E7C"/>
    <w:rsid w:val="65A17F37"/>
    <w:rsid w:val="65A40D3D"/>
    <w:rsid w:val="65AB66C0"/>
    <w:rsid w:val="65B71DF4"/>
    <w:rsid w:val="65B8702E"/>
    <w:rsid w:val="65BF660F"/>
    <w:rsid w:val="65C83440"/>
    <w:rsid w:val="65D21DE8"/>
    <w:rsid w:val="65DC0C44"/>
    <w:rsid w:val="65E9368C"/>
    <w:rsid w:val="65E9543A"/>
    <w:rsid w:val="66030ECC"/>
    <w:rsid w:val="660F5BEF"/>
    <w:rsid w:val="66216982"/>
    <w:rsid w:val="663A2D5F"/>
    <w:rsid w:val="663F2978"/>
    <w:rsid w:val="664E2757"/>
    <w:rsid w:val="66580ADF"/>
    <w:rsid w:val="66711D21"/>
    <w:rsid w:val="66983372"/>
    <w:rsid w:val="66AB2F1F"/>
    <w:rsid w:val="66BD5EAD"/>
    <w:rsid w:val="66C10550"/>
    <w:rsid w:val="66C820FF"/>
    <w:rsid w:val="670E1721"/>
    <w:rsid w:val="672D5072"/>
    <w:rsid w:val="673672A3"/>
    <w:rsid w:val="67446DCC"/>
    <w:rsid w:val="67486190"/>
    <w:rsid w:val="6753700F"/>
    <w:rsid w:val="67582877"/>
    <w:rsid w:val="67642FCA"/>
    <w:rsid w:val="67674341"/>
    <w:rsid w:val="676A6106"/>
    <w:rsid w:val="676C00D0"/>
    <w:rsid w:val="67795BF1"/>
    <w:rsid w:val="677B47B7"/>
    <w:rsid w:val="678B628A"/>
    <w:rsid w:val="67A91325"/>
    <w:rsid w:val="67BF6452"/>
    <w:rsid w:val="67E6555D"/>
    <w:rsid w:val="67EC4804"/>
    <w:rsid w:val="67F32716"/>
    <w:rsid w:val="681A18DB"/>
    <w:rsid w:val="681A5D7E"/>
    <w:rsid w:val="681B0945"/>
    <w:rsid w:val="68232E85"/>
    <w:rsid w:val="682E182A"/>
    <w:rsid w:val="68311596"/>
    <w:rsid w:val="685874CE"/>
    <w:rsid w:val="686D2352"/>
    <w:rsid w:val="68744B4F"/>
    <w:rsid w:val="68A63977"/>
    <w:rsid w:val="68A86D25"/>
    <w:rsid w:val="68AC66DB"/>
    <w:rsid w:val="68B0146E"/>
    <w:rsid w:val="68D95F8E"/>
    <w:rsid w:val="68F6059A"/>
    <w:rsid w:val="69132EFA"/>
    <w:rsid w:val="691D0746"/>
    <w:rsid w:val="697430AD"/>
    <w:rsid w:val="699F53F8"/>
    <w:rsid w:val="69A00505"/>
    <w:rsid w:val="69AE091A"/>
    <w:rsid w:val="69D63F27"/>
    <w:rsid w:val="69DB32EB"/>
    <w:rsid w:val="69DD7064"/>
    <w:rsid w:val="69E50157"/>
    <w:rsid w:val="69E6093C"/>
    <w:rsid w:val="69E91EAC"/>
    <w:rsid w:val="69F95421"/>
    <w:rsid w:val="6A002D52"/>
    <w:rsid w:val="6A072332"/>
    <w:rsid w:val="6A125ADB"/>
    <w:rsid w:val="6A1378BC"/>
    <w:rsid w:val="6A23552C"/>
    <w:rsid w:val="6A2B7DCF"/>
    <w:rsid w:val="6A486BD3"/>
    <w:rsid w:val="6A5B4E43"/>
    <w:rsid w:val="6A5C267E"/>
    <w:rsid w:val="6A75729C"/>
    <w:rsid w:val="6A833EAB"/>
    <w:rsid w:val="6A912744"/>
    <w:rsid w:val="6A9A4F55"/>
    <w:rsid w:val="6AC32645"/>
    <w:rsid w:val="6AC50223"/>
    <w:rsid w:val="6ACB7804"/>
    <w:rsid w:val="6ACD532A"/>
    <w:rsid w:val="6AE84539"/>
    <w:rsid w:val="6AF44665"/>
    <w:rsid w:val="6AF6662F"/>
    <w:rsid w:val="6AFA39C2"/>
    <w:rsid w:val="6B141615"/>
    <w:rsid w:val="6B254A40"/>
    <w:rsid w:val="6B2D401B"/>
    <w:rsid w:val="6B3156B9"/>
    <w:rsid w:val="6B335B41"/>
    <w:rsid w:val="6B5606B5"/>
    <w:rsid w:val="6B650DEB"/>
    <w:rsid w:val="6B6712DB"/>
    <w:rsid w:val="6B6932A5"/>
    <w:rsid w:val="6B73105E"/>
    <w:rsid w:val="6BA87BF7"/>
    <w:rsid w:val="6BAF4A30"/>
    <w:rsid w:val="6BB107A8"/>
    <w:rsid w:val="6BBE52E8"/>
    <w:rsid w:val="6BDA4DC3"/>
    <w:rsid w:val="6BE77741"/>
    <w:rsid w:val="6C1061DA"/>
    <w:rsid w:val="6C11219C"/>
    <w:rsid w:val="6C134FBF"/>
    <w:rsid w:val="6C3D6BDD"/>
    <w:rsid w:val="6C6C7402"/>
    <w:rsid w:val="6C735A5D"/>
    <w:rsid w:val="6C947A30"/>
    <w:rsid w:val="6C9A123C"/>
    <w:rsid w:val="6CAD0130"/>
    <w:rsid w:val="6CBE4402"/>
    <w:rsid w:val="6CC10EBE"/>
    <w:rsid w:val="6CE05BBD"/>
    <w:rsid w:val="6CE77633"/>
    <w:rsid w:val="6CE95D1F"/>
    <w:rsid w:val="6D0F1891"/>
    <w:rsid w:val="6D110E93"/>
    <w:rsid w:val="6D7F2E3D"/>
    <w:rsid w:val="6DCB070C"/>
    <w:rsid w:val="6DD8423E"/>
    <w:rsid w:val="6DE06768"/>
    <w:rsid w:val="6DEF7365"/>
    <w:rsid w:val="6DF36E56"/>
    <w:rsid w:val="6DFC22F9"/>
    <w:rsid w:val="6DFF19A8"/>
    <w:rsid w:val="6DFF1C9E"/>
    <w:rsid w:val="6E0472B5"/>
    <w:rsid w:val="6E160D96"/>
    <w:rsid w:val="6E227FB9"/>
    <w:rsid w:val="6E2B03B0"/>
    <w:rsid w:val="6E2E03ED"/>
    <w:rsid w:val="6E7F693B"/>
    <w:rsid w:val="6E8B6326"/>
    <w:rsid w:val="6EA34013"/>
    <w:rsid w:val="6EA36ACE"/>
    <w:rsid w:val="6EA41179"/>
    <w:rsid w:val="6EB309D4"/>
    <w:rsid w:val="6EBD1AB8"/>
    <w:rsid w:val="6EBE7FFC"/>
    <w:rsid w:val="6EBF0EB7"/>
    <w:rsid w:val="6EDB7958"/>
    <w:rsid w:val="6EF73E0E"/>
    <w:rsid w:val="6F006EBE"/>
    <w:rsid w:val="6F0D03EB"/>
    <w:rsid w:val="6F2C3F7D"/>
    <w:rsid w:val="6F3C4B7D"/>
    <w:rsid w:val="6F4B209D"/>
    <w:rsid w:val="6F563B40"/>
    <w:rsid w:val="6F631F86"/>
    <w:rsid w:val="6F66735D"/>
    <w:rsid w:val="6F6F4C02"/>
    <w:rsid w:val="6F717C45"/>
    <w:rsid w:val="6F8D3F04"/>
    <w:rsid w:val="6FCD36D6"/>
    <w:rsid w:val="6FCF35D4"/>
    <w:rsid w:val="6FDB2297"/>
    <w:rsid w:val="6FEF0186"/>
    <w:rsid w:val="6FF15617"/>
    <w:rsid w:val="70025A76"/>
    <w:rsid w:val="70125B1E"/>
    <w:rsid w:val="70157679"/>
    <w:rsid w:val="703266AC"/>
    <w:rsid w:val="703674CE"/>
    <w:rsid w:val="703D58EC"/>
    <w:rsid w:val="705838E8"/>
    <w:rsid w:val="705B0CE2"/>
    <w:rsid w:val="705B5186"/>
    <w:rsid w:val="705F29B2"/>
    <w:rsid w:val="70630F01"/>
    <w:rsid w:val="70673B2B"/>
    <w:rsid w:val="70700434"/>
    <w:rsid w:val="7075123D"/>
    <w:rsid w:val="707A6EFB"/>
    <w:rsid w:val="708C3591"/>
    <w:rsid w:val="708F6BDE"/>
    <w:rsid w:val="70A55994"/>
    <w:rsid w:val="70A95C82"/>
    <w:rsid w:val="70AF2E5C"/>
    <w:rsid w:val="70BA00FF"/>
    <w:rsid w:val="70BF15CD"/>
    <w:rsid w:val="70CD5D50"/>
    <w:rsid w:val="70DA42FD"/>
    <w:rsid w:val="70E37655"/>
    <w:rsid w:val="70E707C8"/>
    <w:rsid w:val="70F44E92"/>
    <w:rsid w:val="71066EA0"/>
    <w:rsid w:val="71086226"/>
    <w:rsid w:val="711C2B67"/>
    <w:rsid w:val="712B6906"/>
    <w:rsid w:val="71333A0D"/>
    <w:rsid w:val="713546B9"/>
    <w:rsid w:val="713B1F03"/>
    <w:rsid w:val="716D5171"/>
    <w:rsid w:val="716F08DC"/>
    <w:rsid w:val="718F6E95"/>
    <w:rsid w:val="71A1306D"/>
    <w:rsid w:val="71C251A1"/>
    <w:rsid w:val="71C75085"/>
    <w:rsid w:val="71E80C9B"/>
    <w:rsid w:val="71F94C57"/>
    <w:rsid w:val="71FB452B"/>
    <w:rsid w:val="72012E5A"/>
    <w:rsid w:val="7201386A"/>
    <w:rsid w:val="72014164"/>
    <w:rsid w:val="72113D4E"/>
    <w:rsid w:val="721970A7"/>
    <w:rsid w:val="72247F25"/>
    <w:rsid w:val="722872EA"/>
    <w:rsid w:val="724D5DB4"/>
    <w:rsid w:val="72587BCF"/>
    <w:rsid w:val="72626F6D"/>
    <w:rsid w:val="726A16B0"/>
    <w:rsid w:val="72A11576"/>
    <w:rsid w:val="72A21CFF"/>
    <w:rsid w:val="72A514C9"/>
    <w:rsid w:val="72A71561"/>
    <w:rsid w:val="72AA36D7"/>
    <w:rsid w:val="72B64306"/>
    <w:rsid w:val="72C25048"/>
    <w:rsid w:val="72D65ACA"/>
    <w:rsid w:val="72E639E6"/>
    <w:rsid w:val="72F46EDD"/>
    <w:rsid w:val="72F97E76"/>
    <w:rsid w:val="732B0E40"/>
    <w:rsid w:val="732C6966"/>
    <w:rsid w:val="733028FA"/>
    <w:rsid w:val="7367523C"/>
    <w:rsid w:val="7367613B"/>
    <w:rsid w:val="736A5E0C"/>
    <w:rsid w:val="73812244"/>
    <w:rsid w:val="739509AF"/>
    <w:rsid w:val="73A44FA1"/>
    <w:rsid w:val="73A82490"/>
    <w:rsid w:val="73BF3B7C"/>
    <w:rsid w:val="73C31078"/>
    <w:rsid w:val="73CF5B6F"/>
    <w:rsid w:val="73F25E01"/>
    <w:rsid w:val="741748B5"/>
    <w:rsid w:val="742257C2"/>
    <w:rsid w:val="742F670E"/>
    <w:rsid w:val="743957DE"/>
    <w:rsid w:val="744E335C"/>
    <w:rsid w:val="744F4568"/>
    <w:rsid w:val="74582FB2"/>
    <w:rsid w:val="74634609"/>
    <w:rsid w:val="746642C7"/>
    <w:rsid w:val="74A90CCF"/>
    <w:rsid w:val="74DB0643"/>
    <w:rsid w:val="74F71921"/>
    <w:rsid w:val="74F92FE0"/>
    <w:rsid w:val="75176DDB"/>
    <w:rsid w:val="75377F70"/>
    <w:rsid w:val="7547061F"/>
    <w:rsid w:val="7568250B"/>
    <w:rsid w:val="757C3BD5"/>
    <w:rsid w:val="758E1B44"/>
    <w:rsid w:val="759727BC"/>
    <w:rsid w:val="759C77BB"/>
    <w:rsid w:val="75C31803"/>
    <w:rsid w:val="75CF63FA"/>
    <w:rsid w:val="75E83018"/>
    <w:rsid w:val="75EE213C"/>
    <w:rsid w:val="75F145C2"/>
    <w:rsid w:val="760822B8"/>
    <w:rsid w:val="760A0EAA"/>
    <w:rsid w:val="76140AC9"/>
    <w:rsid w:val="7621652A"/>
    <w:rsid w:val="762E1165"/>
    <w:rsid w:val="763A5903"/>
    <w:rsid w:val="764010A6"/>
    <w:rsid w:val="76504D7D"/>
    <w:rsid w:val="76511A04"/>
    <w:rsid w:val="76567F16"/>
    <w:rsid w:val="76733229"/>
    <w:rsid w:val="7678652D"/>
    <w:rsid w:val="76AC04E9"/>
    <w:rsid w:val="76EC08E6"/>
    <w:rsid w:val="76F141A6"/>
    <w:rsid w:val="76FF38FB"/>
    <w:rsid w:val="77177756"/>
    <w:rsid w:val="771A202E"/>
    <w:rsid w:val="772F0F36"/>
    <w:rsid w:val="773504DF"/>
    <w:rsid w:val="777A4DDF"/>
    <w:rsid w:val="779A47E6"/>
    <w:rsid w:val="77A12A17"/>
    <w:rsid w:val="77A5539B"/>
    <w:rsid w:val="77AF64E3"/>
    <w:rsid w:val="77B533CE"/>
    <w:rsid w:val="77BF5FFA"/>
    <w:rsid w:val="781E71C5"/>
    <w:rsid w:val="78314162"/>
    <w:rsid w:val="78403796"/>
    <w:rsid w:val="784C1F84"/>
    <w:rsid w:val="785903B2"/>
    <w:rsid w:val="78591FAB"/>
    <w:rsid w:val="785F594F"/>
    <w:rsid w:val="786D5A56"/>
    <w:rsid w:val="787A302B"/>
    <w:rsid w:val="78864583"/>
    <w:rsid w:val="788E1E5D"/>
    <w:rsid w:val="789631DA"/>
    <w:rsid w:val="78A34AE1"/>
    <w:rsid w:val="78B33DB1"/>
    <w:rsid w:val="78C175F0"/>
    <w:rsid w:val="78C37D6C"/>
    <w:rsid w:val="78F65769"/>
    <w:rsid w:val="78FB3321"/>
    <w:rsid w:val="79002D6F"/>
    <w:rsid w:val="79052262"/>
    <w:rsid w:val="79257C5F"/>
    <w:rsid w:val="792E51E6"/>
    <w:rsid w:val="795357AE"/>
    <w:rsid w:val="795E25FE"/>
    <w:rsid w:val="79627585"/>
    <w:rsid w:val="797C0647"/>
    <w:rsid w:val="797C23F5"/>
    <w:rsid w:val="79815591"/>
    <w:rsid w:val="7998397B"/>
    <w:rsid w:val="79A25BD4"/>
    <w:rsid w:val="79A731EA"/>
    <w:rsid w:val="79EA79AB"/>
    <w:rsid w:val="79EB063E"/>
    <w:rsid w:val="79F24465"/>
    <w:rsid w:val="79F73BFC"/>
    <w:rsid w:val="7A1B7E60"/>
    <w:rsid w:val="7A4A548B"/>
    <w:rsid w:val="7A546ECE"/>
    <w:rsid w:val="7A730ED5"/>
    <w:rsid w:val="7A8A28F0"/>
    <w:rsid w:val="7A995229"/>
    <w:rsid w:val="7AC53928"/>
    <w:rsid w:val="7AE2272C"/>
    <w:rsid w:val="7AE3135D"/>
    <w:rsid w:val="7AE91D0C"/>
    <w:rsid w:val="7B07055D"/>
    <w:rsid w:val="7B1120D2"/>
    <w:rsid w:val="7B1A0118"/>
    <w:rsid w:val="7B5F3D7C"/>
    <w:rsid w:val="7B643141"/>
    <w:rsid w:val="7B694BFB"/>
    <w:rsid w:val="7B841A35"/>
    <w:rsid w:val="7B8565BE"/>
    <w:rsid w:val="7B9A4DB4"/>
    <w:rsid w:val="7BA05BAE"/>
    <w:rsid w:val="7BA7127F"/>
    <w:rsid w:val="7BAE2FFF"/>
    <w:rsid w:val="7BBB6258"/>
    <w:rsid w:val="7BCE00B7"/>
    <w:rsid w:val="7C1C3A1B"/>
    <w:rsid w:val="7C203139"/>
    <w:rsid w:val="7C2471BE"/>
    <w:rsid w:val="7C320365"/>
    <w:rsid w:val="7C336FB7"/>
    <w:rsid w:val="7C464F3C"/>
    <w:rsid w:val="7C492337"/>
    <w:rsid w:val="7C4E303B"/>
    <w:rsid w:val="7C5E6936"/>
    <w:rsid w:val="7C6F6241"/>
    <w:rsid w:val="7C7D510B"/>
    <w:rsid w:val="7C8E350B"/>
    <w:rsid w:val="7CAD0B17"/>
    <w:rsid w:val="7CC803FE"/>
    <w:rsid w:val="7CD866E7"/>
    <w:rsid w:val="7CDA1885"/>
    <w:rsid w:val="7D032E2D"/>
    <w:rsid w:val="7D0D15B6"/>
    <w:rsid w:val="7D16490F"/>
    <w:rsid w:val="7D276B1C"/>
    <w:rsid w:val="7D350784"/>
    <w:rsid w:val="7D51187E"/>
    <w:rsid w:val="7D5B4A17"/>
    <w:rsid w:val="7D637428"/>
    <w:rsid w:val="7D7D04EA"/>
    <w:rsid w:val="7D931A9E"/>
    <w:rsid w:val="7D9D47E7"/>
    <w:rsid w:val="7DAC14BD"/>
    <w:rsid w:val="7DB51DDF"/>
    <w:rsid w:val="7DD032B5"/>
    <w:rsid w:val="7DD23948"/>
    <w:rsid w:val="7DDB1D8C"/>
    <w:rsid w:val="7DDC02C1"/>
    <w:rsid w:val="7DEE7C69"/>
    <w:rsid w:val="7DFB1735"/>
    <w:rsid w:val="7E1A5BC3"/>
    <w:rsid w:val="7E283155"/>
    <w:rsid w:val="7E3F7E95"/>
    <w:rsid w:val="7E4C7C38"/>
    <w:rsid w:val="7E561737"/>
    <w:rsid w:val="7E6B47E6"/>
    <w:rsid w:val="7E8050B8"/>
    <w:rsid w:val="7E867872"/>
    <w:rsid w:val="7E9A5185"/>
    <w:rsid w:val="7EB50157"/>
    <w:rsid w:val="7EC860DC"/>
    <w:rsid w:val="7EE60B51"/>
    <w:rsid w:val="7EEB01F1"/>
    <w:rsid w:val="7EEF5417"/>
    <w:rsid w:val="7EFB6737"/>
    <w:rsid w:val="7F01514B"/>
    <w:rsid w:val="7F0B64F1"/>
    <w:rsid w:val="7F2026AF"/>
    <w:rsid w:val="7F3D5C35"/>
    <w:rsid w:val="7F482D79"/>
    <w:rsid w:val="7F485D15"/>
    <w:rsid w:val="7F995383"/>
    <w:rsid w:val="7F9C1DD0"/>
    <w:rsid w:val="7FB94832"/>
    <w:rsid w:val="7FBB79EF"/>
    <w:rsid w:val="7FDD3AC7"/>
    <w:rsid w:val="7FE726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nhideWhenUsed="0" w:uiPriority="1"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zh-CN" w:eastAsia="zh-CN" w:bidi="zh-CN"/>
    </w:rPr>
  </w:style>
  <w:style w:type="paragraph" w:styleId="2">
    <w:name w:val="heading 1"/>
    <w:basedOn w:val="1"/>
    <w:next w:val="1"/>
    <w:qFormat/>
    <w:uiPriority w:val="1"/>
    <w:pPr>
      <w:spacing w:before="49"/>
      <w:ind w:right="4"/>
      <w:jc w:val="center"/>
      <w:outlineLvl w:val="0"/>
    </w:pPr>
    <w:rPr>
      <w:b/>
      <w:bCs/>
      <w:sz w:val="36"/>
      <w:szCs w:val="36"/>
    </w:rPr>
  </w:style>
  <w:style w:type="paragraph" w:styleId="3">
    <w:name w:val="heading 2"/>
    <w:basedOn w:val="1"/>
    <w:next w:val="1"/>
    <w:qFormat/>
    <w:uiPriority w:val="1"/>
    <w:pPr>
      <w:ind w:left="2476"/>
      <w:outlineLvl w:val="1"/>
    </w:pPr>
    <w:rPr>
      <w:sz w:val="36"/>
      <w:szCs w:val="36"/>
    </w:rPr>
  </w:style>
  <w:style w:type="paragraph" w:styleId="4">
    <w:name w:val="heading 3"/>
    <w:basedOn w:val="1"/>
    <w:next w:val="1"/>
    <w:qFormat/>
    <w:uiPriority w:val="1"/>
    <w:pPr>
      <w:spacing w:before="54"/>
      <w:jc w:val="center"/>
      <w:outlineLvl w:val="2"/>
    </w:pPr>
    <w:rPr>
      <w:b/>
      <w:bCs/>
      <w:sz w:val="32"/>
      <w:szCs w:val="32"/>
    </w:rPr>
  </w:style>
  <w:style w:type="paragraph" w:styleId="5">
    <w:name w:val="heading 4"/>
    <w:basedOn w:val="1"/>
    <w:next w:val="1"/>
    <w:qFormat/>
    <w:uiPriority w:val="1"/>
    <w:pPr>
      <w:ind w:right="3"/>
      <w:jc w:val="center"/>
      <w:outlineLvl w:val="3"/>
    </w:pPr>
    <w:rPr>
      <w:b/>
      <w:bCs/>
      <w:sz w:val="28"/>
      <w:szCs w:val="28"/>
    </w:rPr>
  </w:style>
  <w:style w:type="paragraph" w:styleId="6">
    <w:name w:val="heading 5"/>
    <w:basedOn w:val="1"/>
    <w:next w:val="1"/>
    <w:qFormat/>
    <w:uiPriority w:val="1"/>
    <w:pPr>
      <w:ind w:left="928"/>
      <w:outlineLvl w:val="4"/>
    </w:pPr>
    <w:rPr>
      <w:sz w:val="28"/>
      <w:szCs w:val="28"/>
    </w:rPr>
  </w:style>
  <w:style w:type="paragraph" w:styleId="7">
    <w:name w:val="heading 6"/>
    <w:basedOn w:val="1"/>
    <w:next w:val="1"/>
    <w:qFormat/>
    <w:uiPriority w:val="1"/>
    <w:pPr>
      <w:ind w:left="740"/>
      <w:outlineLvl w:val="5"/>
    </w:pPr>
    <w:rPr>
      <w:b/>
      <w:bCs/>
      <w:sz w:val="24"/>
      <w:szCs w:val="24"/>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8">
    <w:name w:val="Normal Indent"/>
    <w:basedOn w:val="1"/>
    <w:qFormat/>
    <w:uiPriority w:val="0"/>
    <w:pPr>
      <w:ind w:firstLine="420" w:firstLineChars="200"/>
    </w:pPr>
    <w:rPr>
      <w:sz w:val="20"/>
      <w:szCs w:val="20"/>
    </w:rPr>
  </w:style>
  <w:style w:type="paragraph" w:styleId="9">
    <w:name w:val="toa heading"/>
    <w:basedOn w:val="1"/>
    <w:next w:val="1"/>
    <w:qFormat/>
    <w:uiPriority w:val="0"/>
    <w:pPr>
      <w:spacing w:before="120"/>
    </w:pPr>
    <w:rPr>
      <w:rFonts w:ascii="Arial" w:hAnsi="Arial"/>
      <w:sz w:val="24"/>
    </w:rPr>
  </w:style>
  <w:style w:type="paragraph" w:styleId="10">
    <w:name w:val="annotation text"/>
    <w:basedOn w:val="1"/>
    <w:qFormat/>
    <w:uiPriority w:val="0"/>
  </w:style>
  <w:style w:type="paragraph" w:styleId="11">
    <w:name w:val="Body Text 3"/>
    <w:basedOn w:val="1"/>
    <w:qFormat/>
    <w:uiPriority w:val="0"/>
    <w:rPr>
      <w:rFonts w:ascii="宋体" w:eastAsia="宋体"/>
      <w:color w:val="000000"/>
      <w:kern w:val="2"/>
      <w:sz w:val="32"/>
      <w:lang w:val="en-US" w:eastAsia="zh-CN" w:bidi="ar-SA"/>
    </w:rPr>
  </w:style>
  <w:style w:type="paragraph" w:styleId="12">
    <w:name w:val="Body Text"/>
    <w:basedOn w:val="1"/>
    <w:next w:val="1"/>
    <w:qFormat/>
    <w:uiPriority w:val="1"/>
    <w:rPr>
      <w:sz w:val="24"/>
      <w:szCs w:val="24"/>
    </w:rPr>
  </w:style>
  <w:style w:type="paragraph" w:styleId="13">
    <w:name w:val="Body Text Indent"/>
    <w:basedOn w:val="1"/>
    <w:next w:val="1"/>
    <w:qFormat/>
    <w:uiPriority w:val="0"/>
    <w:pPr>
      <w:ind w:firstLine="560" w:firstLineChars="200"/>
    </w:pPr>
  </w:style>
  <w:style w:type="paragraph" w:styleId="14">
    <w:name w:val="toc 8"/>
    <w:basedOn w:val="1"/>
    <w:next w:val="1"/>
    <w:qFormat/>
    <w:uiPriority w:val="39"/>
    <w:pPr>
      <w:ind w:left="2940" w:leftChars="1400"/>
    </w:pPr>
  </w:style>
  <w:style w:type="paragraph" w:styleId="15">
    <w:name w:val="Balloon Text"/>
    <w:basedOn w:val="1"/>
    <w:link w:val="42"/>
    <w:qFormat/>
    <w:uiPriority w:val="0"/>
    <w:rPr>
      <w:sz w:val="18"/>
      <w:szCs w:val="18"/>
    </w:rPr>
  </w:style>
  <w:style w:type="paragraph" w:styleId="16">
    <w:name w:val="footer"/>
    <w:basedOn w:val="1"/>
    <w:next w:val="14"/>
    <w:qFormat/>
    <w:uiPriority w:val="0"/>
    <w:pPr>
      <w:framePr w:wrap="around" w:vAnchor="text" w:hAnchor="page" w:x="2496" w:y="-225"/>
      <w:tabs>
        <w:tab w:val="center" w:pos="4153"/>
        <w:tab w:val="right" w:pos="8306"/>
      </w:tabs>
      <w:snapToGrid w:val="0"/>
      <w:ind w:right="360"/>
      <w:jc w:val="center"/>
    </w:pPr>
    <w:rPr>
      <w:sz w:val="18"/>
      <w:szCs w:val="18"/>
      <w:u w:val="single"/>
    </w:rPr>
  </w:style>
  <w:style w:type="paragraph" w:styleId="17">
    <w:name w:val="header"/>
    <w:basedOn w:val="1"/>
    <w:link w:val="48"/>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1"/>
    <w:pPr>
      <w:spacing w:before="421"/>
      <w:ind w:right="2"/>
      <w:jc w:val="center"/>
    </w:pPr>
    <w:rPr>
      <w:sz w:val="28"/>
      <w:szCs w:val="28"/>
    </w:rPr>
  </w:style>
  <w:style w:type="paragraph" w:styleId="19">
    <w:name w:val="Body Text 2"/>
    <w:basedOn w:val="1"/>
    <w:qFormat/>
    <w:uiPriority w:val="0"/>
    <w:pPr>
      <w:spacing w:after="120" w:line="480" w:lineRule="auto"/>
    </w:pPr>
  </w:style>
  <w:style w:type="paragraph" w:styleId="20">
    <w:name w:val="Normal (Web)"/>
    <w:basedOn w:val="1"/>
    <w:unhideWhenUsed/>
    <w:qFormat/>
    <w:uiPriority w:val="0"/>
    <w:pPr>
      <w:widowControl/>
    </w:pPr>
    <w:rPr>
      <w:sz w:val="24"/>
    </w:rPr>
  </w:style>
  <w:style w:type="paragraph" w:styleId="21">
    <w:name w:val="Body Text First Indent"/>
    <w:basedOn w:val="12"/>
    <w:next w:val="22"/>
    <w:unhideWhenUsed/>
    <w:qFormat/>
    <w:uiPriority w:val="99"/>
    <w:pPr>
      <w:ind w:firstLine="420" w:firstLineChars="100"/>
    </w:pPr>
  </w:style>
  <w:style w:type="paragraph" w:styleId="22">
    <w:name w:val="Body Text First Indent 2"/>
    <w:basedOn w:val="13"/>
    <w:next w:val="1"/>
    <w:qFormat/>
    <w:uiPriority w:val="0"/>
    <w:pPr>
      <w:ind w:firstLine="420"/>
    </w:p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0"/>
    <w:rPr>
      <w:b/>
      <w:bCs/>
    </w:rPr>
  </w:style>
  <w:style w:type="character" w:styleId="27">
    <w:name w:val="FollowedHyperlink"/>
    <w:basedOn w:val="25"/>
    <w:qFormat/>
    <w:uiPriority w:val="0"/>
    <w:rPr>
      <w:color w:val="800080"/>
      <w:u w:val="none"/>
    </w:rPr>
  </w:style>
  <w:style w:type="character" w:styleId="28">
    <w:name w:val="Emphasis"/>
    <w:basedOn w:val="25"/>
    <w:qFormat/>
    <w:uiPriority w:val="0"/>
    <w:rPr>
      <w:b/>
      <w:bCs/>
    </w:rPr>
  </w:style>
  <w:style w:type="character" w:styleId="29">
    <w:name w:val="HTML Definition"/>
    <w:basedOn w:val="25"/>
    <w:qFormat/>
    <w:uiPriority w:val="0"/>
  </w:style>
  <w:style w:type="character" w:styleId="30">
    <w:name w:val="HTML Typewriter"/>
    <w:basedOn w:val="25"/>
    <w:qFormat/>
    <w:uiPriority w:val="0"/>
    <w:rPr>
      <w:rFonts w:hint="default" w:ascii="monospace" w:hAnsi="monospace" w:eastAsia="monospace" w:cs="monospace"/>
      <w:sz w:val="20"/>
    </w:rPr>
  </w:style>
  <w:style w:type="character" w:styleId="31">
    <w:name w:val="HTML Acronym"/>
    <w:basedOn w:val="25"/>
    <w:qFormat/>
    <w:uiPriority w:val="0"/>
    <w:rPr>
      <w:rFonts w:ascii="微软雅黑" w:hAnsi="微软雅黑" w:eastAsia="微软雅黑" w:cs="微软雅黑"/>
      <w:color w:val="FFFFFF"/>
      <w:sz w:val="19"/>
      <w:szCs w:val="19"/>
      <w:u w:val="none"/>
      <w:shd w:val="clear" w:color="auto" w:fill="59C2E6"/>
    </w:rPr>
  </w:style>
  <w:style w:type="character" w:styleId="32">
    <w:name w:val="HTML Variable"/>
    <w:basedOn w:val="25"/>
    <w:qFormat/>
    <w:uiPriority w:val="0"/>
  </w:style>
  <w:style w:type="character" w:styleId="33">
    <w:name w:val="Hyperlink"/>
    <w:basedOn w:val="25"/>
    <w:qFormat/>
    <w:uiPriority w:val="0"/>
    <w:rPr>
      <w:color w:val="0000FF"/>
      <w:u w:val="none"/>
    </w:rPr>
  </w:style>
  <w:style w:type="character" w:styleId="34">
    <w:name w:val="HTML Code"/>
    <w:basedOn w:val="25"/>
    <w:qFormat/>
    <w:uiPriority w:val="0"/>
    <w:rPr>
      <w:rFonts w:ascii="monospace" w:hAnsi="monospace" w:eastAsia="monospace" w:cs="monospace"/>
      <w:sz w:val="20"/>
    </w:rPr>
  </w:style>
  <w:style w:type="character" w:styleId="35">
    <w:name w:val="HTML Cite"/>
    <w:basedOn w:val="25"/>
    <w:qFormat/>
    <w:uiPriority w:val="0"/>
    <w:rPr>
      <w:bdr w:val="single" w:color="9A9A9A" w:sz="6" w:space="0"/>
      <w:shd w:val="clear" w:color="auto" w:fill="DBDDE2"/>
    </w:rPr>
  </w:style>
  <w:style w:type="character" w:styleId="36">
    <w:name w:val="HTML Keyboard"/>
    <w:basedOn w:val="25"/>
    <w:qFormat/>
    <w:uiPriority w:val="0"/>
    <w:rPr>
      <w:rFonts w:hint="default" w:ascii="monospace" w:hAnsi="monospace" w:eastAsia="monospace" w:cs="monospace"/>
      <w:sz w:val="20"/>
    </w:rPr>
  </w:style>
  <w:style w:type="character" w:styleId="37">
    <w:name w:val="HTML Sample"/>
    <w:basedOn w:val="25"/>
    <w:qFormat/>
    <w:uiPriority w:val="0"/>
    <w:rPr>
      <w:rFonts w:hint="default" w:ascii="monospace" w:hAnsi="monospace" w:eastAsia="monospace" w:cs="monospace"/>
    </w:rPr>
  </w:style>
  <w:style w:type="table" w:customStyle="1" w:styleId="38">
    <w:name w:val="Table Normal"/>
    <w:semiHidden/>
    <w:unhideWhenUsed/>
    <w:qFormat/>
    <w:uiPriority w:val="2"/>
    <w:tblPr>
      <w:tblCellMar>
        <w:top w:w="0" w:type="dxa"/>
        <w:left w:w="0" w:type="dxa"/>
        <w:bottom w:w="0" w:type="dxa"/>
        <w:right w:w="0" w:type="dxa"/>
      </w:tblCellMar>
    </w:tblPr>
  </w:style>
  <w:style w:type="paragraph" w:styleId="39">
    <w:name w:val="List Paragraph"/>
    <w:basedOn w:val="1"/>
    <w:qFormat/>
    <w:uiPriority w:val="1"/>
    <w:pPr>
      <w:ind w:left="740" w:firstLine="480"/>
    </w:pPr>
  </w:style>
  <w:style w:type="paragraph" w:customStyle="1" w:styleId="40">
    <w:name w:val="Table Paragraph"/>
    <w:basedOn w:val="1"/>
    <w:qFormat/>
    <w:uiPriority w:val="1"/>
    <w:pPr>
      <w:jc w:val="center"/>
    </w:pPr>
  </w:style>
  <w:style w:type="paragraph" w:customStyle="1" w:styleId="41">
    <w:name w:val="正文缩进1"/>
    <w:basedOn w:val="1"/>
    <w:qFormat/>
    <w:uiPriority w:val="0"/>
    <w:pPr>
      <w:ind w:firstLine="420" w:firstLineChars="200"/>
    </w:pPr>
  </w:style>
  <w:style w:type="character" w:customStyle="1" w:styleId="42">
    <w:name w:val="批注框文本 字符"/>
    <w:basedOn w:val="25"/>
    <w:link w:val="15"/>
    <w:qFormat/>
    <w:uiPriority w:val="0"/>
    <w:rPr>
      <w:rFonts w:ascii="宋体" w:hAnsi="宋体" w:cs="宋体"/>
      <w:sz w:val="18"/>
      <w:szCs w:val="18"/>
      <w:lang w:val="zh-CN" w:bidi="zh-CN"/>
    </w:rPr>
  </w:style>
  <w:style w:type="character" w:customStyle="1" w:styleId="43">
    <w:name w:val="font61"/>
    <w:basedOn w:val="25"/>
    <w:qFormat/>
    <w:uiPriority w:val="0"/>
    <w:rPr>
      <w:rFonts w:ascii="仿宋_GB2312" w:eastAsia="仿宋_GB2312" w:cs="仿宋_GB2312"/>
      <w:color w:val="000000"/>
      <w:sz w:val="20"/>
      <w:szCs w:val="20"/>
      <w:u w:val="none"/>
    </w:rPr>
  </w:style>
  <w:style w:type="character" w:customStyle="1" w:styleId="44">
    <w:name w:val="font41"/>
    <w:basedOn w:val="25"/>
    <w:qFormat/>
    <w:uiPriority w:val="0"/>
    <w:rPr>
      <w:rFonts w:hint="eastAsia" w:ascii="宋体" w:hAnsi="宋体" w:eastAsia="宋体" w:cs="宋体"/>
      <w:color w:val="000000"/>
      <w:sz w:val="20"/>
      <w:szCs w:val="20"/>
      <w:u w:val="none"/>
    </w:rPr>
  </w:style>
  <w:style w:type="character" w:customStyle="1" w:styleId="45">
    <w:name w:val="articleitemtext1"/>
    <w:qFormat/>
    <w:uiPriority w:val="0"/>
    <w:rPr>
      <w:color w:val="000000"/>
      <w:sz w:val="18"/>
      <w:szCs w:val="18"/>
      <w:lang w:val="en-US" w:eastAsia="zh-CN" w:bidi="ar-SA"/>
    </w:rPr>
  </w:style>
  <w:style w:type="paragraph" w:customStyle="1" w:styleId="46">
    <w:name w:val="Table Text"/>
    <w:basedOn w:val="1"/>
    <w:semiHidden/>
    <w:qFormat/>
    <w:uiPriority w:val="0"/>
    <w:rPr>
      <w:sz w:val="20"/>
      <w:szCs w:val="20"/>
      <w:lang w:val="en-US" w:eastAsia="en-US" w:bidi="ar-SA"/>
    </w:rPr>
  </w:style>
  <w:style w:type="character" w:customStyle="1" w:styleId="47">
    <w:name w:val="font51"/>
    <w:basedOn w:val="25"/>
    <w:qFormat/>
    <w:uiPriority w:val="0"/>
    <w:rPr>
      <w:rFonts w:ascii="仿宋_GB2312" w:eastAsia="仿宋_GB2312" w:cs="仿宋_GB2312"/>
      <w:color w:val="000000"/>
      <w:sz w:val="20"/>
      <w:szCs w:val="20"/>
      <w:u w:val="none"/>
    </w:rPr>
  </w:style>
  <w:style w:type="character" w:customStyle="1" w:styleId="48">
    <w:name w:val="页眉 字符"/>
    <w:basedOn w:val="25"/>
    <w:link w:val="17"/>
    <w:qFormat/>
    <w:uiPriority w:val="0"/>
    <w:rPr>
      <w:rFonts w:ascii="宋体" w:hAnsi="宋体" w:cs="宋体"/>
      <w:sz w:val="18"/>
      <w:szCs w:val="18"/>
      <w:lang w:val="zh-CN" w:bidi="zh-CN"/>
    </w:rPr>
  </w:style>
  <w:style w:type="paragraph" w:customStyle="1" w:styleId="49">
    <w:name w:val="日期1"/>
    <w:basedOn w:val="1"/>
    <w:qFormat/>
    <w:uiPriority w:val="0"/>
    <w:rPr>
      <w:rFonts w:ascii="宋体"/>
      <w:sz w:val="24"/>
    </w:rPr>
  </w:style>
  <w:style w:type="paragraph" w:customStyle="1" w:styleId="50">
    <w:name w:val="页脚1"/>
    <w:basedOn w:val="1"/>
    <w:qFormat/>
    <w:uiPriority w:val="0"/>
    <w:pPr>
      <w:tabs>
        <w:tab w:val="center" w:pos="4153"/>
        <w:tab w:val="right" w:pos="8306"/>
      </w:tabs>
      <w:spacing w:line="240" w:lineRule="atLeast"/>
      <w:jc w:val="left"/>
    </w:pPr>
    <w:rPr>
      <w:kern w:val="0"/>
      <w:sz w:val="18"/>
    </w:rPr>
  </w:style>
  <w:style w:type="paragraph" w:customStyle="1" w:styleId="51">
    <w:name w:val="TOC 标题1"/>
    <w:basedOn w:val="2"/>
    <w:next w:val="1"/>
    <w:qFormat/>
    <w:uiPriority w:val="0"/>
    <w:pPr>
      <w:widowControl/>
      <w:adjustRightInd/>
      <w:spacing w:before="480" w:after="0" w:line="276" w:lineRule="auto"/>
      <w:ind w:firstLine="0"/>
      <w:textAlignment w:val="auto"/>
      <w:outlineLvl w:val="9"/>
    </w:pPr>
    <w:rPr>
      <w:rFonts w:ascii="Cambria" w:hAnsi="Cambria"/>
      <w:color w:val="365F91"/>
      <w:kern w:val="0"/>
      <w:sz w:val="28"/>
      <w:szCs w:val="28"/>
    </w:rPr>
  </w:style>
  <w:style w:type="paragraph" w:customStyle="1" w:styleId="52">
    <w:name w:val="null3"/>
    <w:hidden/>
    <w:qFormat/>
    <w:uiPriority w:val="0"/>
    <w:rPr>
      <w:rFonts w:hint="eastAsia" w:asciiTheme="minorHAnsi" w:hAnsiTheme="minorHAnsi" w:eastAsiaTheme="minorEastAsia" w:cstheme="minorBidi"/>
      <w:lang w:val="en-US" w:eastAsia="zh-Hans"/>
    </w:rPr>
  </w:style>
  <w:style w:type="character" w:customStyle="1" w:styleId="53">
    <w:name w:val="font81"/>
    <w:basedOn w:val="25"/>
    <w:qFormat/>
    <w:uiPriority w:val="0"/>
    <w:rPr>
      <w:rFonts w:hint="eastAsia" w:ascii="宋体" w:hAnsi="宋体" w:eastAsia="宋体" w:cs="宋体"/>
      <w:color w:val="000000"/>
      <w:sz w:val="18"/>
      <w:szCs w:val="18"/>
      <w:u w:val="none"/>
    </w:rPr>
  </w:style>
  <w:style w:type="character" w:customStyle="1" w:styleId="54">
    <w:name w:val="font91"/>
    <w:basedOn w:val="25"/>
    <w:qFormat/>
    <w:uiPriority w:val="0"/>
    <w:rPr>
      <w:rFonts w:hint="default" w:ascii="Tahoma" w:hAnsi="Tahoma" w:eastAsia="Tahoma" w:cs="Tahoma"/>
      <w:color w:val="000000"/>
      <w:sz w:val="18"/>
      <w:szCs w:val="18"/>
      <w:u w:val="none"/>
    </w:rPr>
  </w:style>
  <w:style w:type="character" w:customStyle="1" w:styleId="55">
    <w:name w:val="font121"/>
    <w:basedOn w:val="25"/>
    <w:qFormat/>
    <w:uiPriority w:val="0"/>
    <w:rPr>
      <w:rFonts w:hint="eastAsia" w:ascii="宋体" w:hAnsi="宋体" w:eastAsia="宋体" w:cs="宋体"/>
      <w:color w:val="FF0000"/>
      <w:sz w:val="18"/>
      <w:szCs w:val="18"/>
      <w:u w:val="none"/>
    </w:rPr>
  </w:style>
  <w:style w:type="character" w:customStyle="1" w:styleId="56">
    <w:name w:val="font11"/>
    <w:basedOn w:val="25"/>
    <w:qFormat/>
    <w:uiPriority w:val="0"/>
    <w:rPr>
      <w:rFonts w:hint="eastAsia" w:ascii="宋体" w:hAnsi="宋体" w:eastAsia="宋体" w:cs="宋体"/>
      <w:color w:val="000000"/>
      <w:sz w:val="20"/>
      <w:szCs w:val="20"/>
      <w:u w:val="none"/>
    </w:rPr>
  </w:style>
  <w:style w:type="character" w:customStyle="1" w:styleId="57">
    <w:name w:val="font111"/>
    <w:basedOn w:val="25"/>
    <w:qFormat/>
    <w:uiPriority w:val="0"/>
    <w:rPr>
      <w:rFonts w:hint="eastAsia" w:ascii="宋体" w:hAnsi="宋体" w:eastAsia="宋体" w:cs="宋体"/>
      <w:color w:val="FF0000"/>
      <w:sz w:val="18"/>
      <w:szCs w:val="18"/>
      <w:u w:val="none"/>
    </w:rPr>
  </w:style>
  <w:style w:type="character" w:customStyle="1" w:styleId="58">
    <w:name w:val="font112"/>
    <w:basedOn w:val="25"/>
    <w:qFormat/>
    <w:uiPriority w:val="0"/>
    <w:rPr>
      <w:rFonts w:hint="eastAsia" w:ascii="宋体" w:hAnsi="宋体" w:eastAsia="宋体" w:cs="宋体"/>
      <w:color w:val="FF0000"/>
      <w:sz w:val="18"/>
      <w:szCs w:val="18"/>
      <w:u w:val="none"/>
    </w:rPr>
  </w:style>
  <w:style w:type="character" w:customStyle="1" w:styleId="59">
    <w:name w:val="font31"/>
    <w:basedOn w:val="25"/>
    <w:qFormat/>
    <w:uiPriority w:val="0"/>
    <w:rPr>
      <w:rFonts w:hint="eastAsia" w:ascii="宋体" w:hAnsi="宋体" w:eastAsia="宋体" w:cs="宋体"/>
      <w:color w:val="000000"/>
      <w:sz w:val="18"/>
      <w:szCs w:val="18"/>
      <w:u w:val="none"/>
    </w:rPr>
  </w:style>
  <w:style w:type="paragraph" w:customStyle="1" w:styleId="60">
    <w:name w:val="目录"/>
    <w:basedOn w:val="1"/>
    <w:qFormat/>
    <w:uiPriority w:val="0"/>
    <w:pPr>
      <w:widowControl/>
      <w:jc w:val="center"/>
    </w:pPr>
    <w:rPr>
      <w:rFonts w:hAnsi="Times New Roman"/>
      <w:b/>
      <w:sz w:val="36"/>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1.png"/><Relationship Id="rId21" Type="http://schemas.openxmlformats.org/officeDocument/2006/relationships/theme" Target="theme/theme1.xml"/><Relationship Id="rId20" Type="http://schemas.openxmlformats.org/officeDocument/2006/relationships/header" Target="header10.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9.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107</Pages>
  <Words>9674</Words>
  <Characters>10812</Characters>
  <Lines>598</Lines>
  <Paragraphs>168</Paragraphs>
  <TotalTime>16</TotalTime>
  <ScaleCrop>false</ScaleCrop>
  <LinksUpToDate>false</LinksUpToDate>
  <CharactersWithSpaces>10935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2021-07-29T21:53:00Z</dcterms:created>
  <dc:creator>lxl</dc:creator>
  <cp:lastModifiedBy>1</cp:lastModifiedBy>
  <cp:lastPrinted>2025-08-03T11:40:00Z</cp:lastPrinted>
  <dcterms:modified xsi:type="dcterms:W3CDTF">2026-08-07T09:43:09Z</dcterms:modified>
  <dc:title>标书编号：SCZA2009-250</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2021-07-26T00:00:00Z</vt:filetime>
  </property>
  <property fmtid="{D5CDD505-2E9C-101B-9397-08002B2CF9AE}" pid="3" name="Creator">
    <vt:lpwstr>WPS 文字</vt:lpwstr>
  </property>
  <property fmtid="{D5CDD505-2E9C-101B-9397-08002B2CF9AE}" pid="4" name="LastSaved">
    <vt:filetime>2021-07-26T00:00:00Z</vt:filetime>
  </property>
  <property fmtid="{D5CDD505-2E9C-101B-9397-08002B2CF9AE}" pid="5" name="KSOProductBuildVer">
    <vt:lpwstr>2052-12.1.0.28043</vt:lpwstr>
  </property>
  <property fmtid="{D5CDD505-2E9C-101B-9397-08002B2CF9AE}" pid="6" name="ICV">
    <vt:lpwstr>951F30C2737F46E2A6BA467BF8BDD37A_13</vt:lpwstr>
  </property>
  <property fmtid="{D5CDD505-2E9C-101B-9397-08002B2CF9AE}" pid="7" name="KSOTemplateDocerSaveRecord">
    <vt:lpwstr>eyJoZGlkIjoiYTUxNGFmYWU2ZDcxYmRjNzZmOTYxZWY3MzJiN2M4MWUiLCJ1c2VySWQiOiI0MTgxNjQ0ODkifQ==</vt:lpwstr>
  </property>
</Properties>
</file>