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版本号：ZCTH2026-05-05020260525001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2026年重点课题研究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ZCTH2026-05-050</w:t>
      </w:r>
      <w:r>
        <w:br/>
      </w:r>
      <w:r>
        <w:br/>
      </w:r>
      <w:r>
        <w:br/>
      </w:r>
    </w:p>
    <w:p>
      <w:pPr>
        <w:pStyle w:val="null3"/>
        <w:jc w:val="center"/>
        <w:outlineLvl w:val="2"/>
      </w:pPr>
      <w:r>
        <w:rPr>
          <w:rFonts w:ascii="仿宋_GB2312" w:hAnsi="仿宋_GB2312" w:cs="仿宋_GB2312" w:eastAsia="仿宋_GB2312"/>
          <w:sz w:val="28"/>
          <w:b/>
        </w:rPr>
        <w:t>陕西省机关事务服务中心</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陕西省机关事务服务中心</w:t>
      </w:r>
      <w:r>
        <w:rPr>
          <w:rFonts w:ascii="仿宋_GB2312" w:hAnsi="仿宋_GB2312" w:cs="仿宋_GB2312" w:eastAsia="仿宋_GB2312"/>
        </w:rPr>
        <w:t>委托，拟对</w:t>
      </w:r>
      <w:r>
        <w:rPr>
          <w:rFonts w:ascii="仿宋_GB2312" w:hAnsi="仿宋_GB2312" w:cs="仿宋_GB2312" w:eastAsia="仿宋_GB2312"/>
        </w:rPr>
        <w:t>2026年重点课题研究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ZCTH2026-05-050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2026年重点课题研究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陕西省机关事务服务中心2026年重点课题研究，1项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029-63912664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代理服务费收费标准：代理服务费收费标准：1.参照国家计委计价格[2002]1980号及发改办价格[2003]857号通知规定，由中标单位支付采购代理服务费。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注：代理服务费不足陆仟元整按陆仟元整收取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陕西省机关事务服务中心</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陕西省机关事务服务中心2026年重点课题研究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2026年重点课题研究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标的名称：2026年重点课题研究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rPr>
              <w:t>一、重点开展的课题研究方向</w:t>
            </w:r>
          </w:p>
          <w:p>
            <w:pPr>
              <w:pStyle w:val="null3"/>
            </w:pPr>
            <w:r>
              <w:rPr>
                <w:rFonts w:ascii="仿宋_GB2312" w:hAnsi="仿宋_GB2312" w:cs="仿宋_GB2312" w:eastAsia="仿宋_GB2312"/>
              </w:rPr>
              <w:t>围绕国管局重点调研工作安排和方向，2026年，拟围绕五个重点方向进行理论研究。</w:t>
            </w:r>
          </w:p>
          <w:p>
            <w:pPr>
              <w:pStyle w:val="null3"/>
            </w:pPr>
            <w:r>
              <w:rPr>
                <w:rFonts w:ascii="仿宋_GB2312" w:hAnsi="仿宋_GB2312" w:cs="仿宋_GB2312" w:eastAsia="仿宋_GB2312"/>
              </w:rPr>
              <w:t>（一）机关运行保障地方立法的实施机制与效能评估研究（此课题已被确定为与全国机关事务管理研究会合作开展课题，签订了《理论研究合作方案》）</w:t>
            </w:r>
          </w:p>
          <w:p>
            <w:pPr>
              <w:pStyle w:val="null3"/>
            </w:pPr>
            <w:r>
              <w:rPr>
                <w:rFonts w:ascii="仿宋_GB2312" w:hAnsi="仿宋_GB2312" w:cs="仿宋_GB2312" w:eastAsia="仿宋_GB2312"/>
              </w:rPr>
              <w:t>研究目的和意义：推进机关运行保障法治化，是提升机关事务治理规范化、制度化水平的重要路径。近年来，部分省份围绕机关运行保障开展地方立法探索，陕西省出台并实施《机关运行保障条例》，在规范运行保障职责、优化资源配置、提升服务效能等方面发挥了积极作用。本研究以该《条例》的实施为核心研究对象，系统分析地方立法在机关运行保障领域的落地机制、执行路径和实施效果，重点评估法规在制度落实、部门协同、执行约束和治理效能等方面的实际表现。通过梳理《条例》实施过程中存在的难点和瓶颈，探索完善地方立法实施机制与评估体系的有效方法，为推动机关运行保障立法由“出台”向“见效”转变提供实证支撑。</w:t>
            </w:r>
          </w:p>
          <w:p>
            <w:pPr>
              <w:pStyle w:val="null3"/>
            </w:pPr>
            <w:r>
              <w:rPr>
                <w:rFonts w:ascii="仿宋_GB2312" w:hAnsi="仿宋_GB2312" w:cs="仿宋_GB2312" w:eastAsia="仿宋_GB2312"/>
              </w:rPr>
              <w:t>（二）公共机构碳资产管理及自愿减排交易研究</w:t>
            </w:r>
          </w:p>
          <w:p>
            <w:pPr>
              <w:pStyle w:val="null3"/>
            </w:pPr>
            <w:r>
              <w:rPr>
                <w:rFonts w:ascii="仿宋_GB2312" w:hAnsi="仿宋_GB2312" w:cs="仿宋_GB2312" w:eastAsia="仿宋_GB2312"/>
              </w:rPr>
              <w:t>研究目的和意义：2026年4月11日，中共中央办公厅、国务院办公厅出台《关于更高水平更高质量做好节能降碳工作的意见》，从协同推进节能降碳与绿色转型、大力推进重点领域节能降碳、加强节能降碳监督管理、强化工作支撑保障等方面作出全面部署。意见要求一以贯之坚持节约优先方针，把节能降碳贯穿经济社会发展全过程各方面，坚决遏制能源消费总量不合理增长，从源头有效减少碳排放。</w:t>
            </w:r>
          </w:p>
          <w:p>
            <w:pPr>
              <w:pStyle w:val="null3"/>
            </w:pPr>
            <w:r>
              <w:rPr>
                <w:rFonts w:ascii="仿宋_GB2312" w:hAnsi="仿宋_GB2312" w:cs="仿宋_GB2312" w:eastAsia="仿宋_GB2312"/>
              </w:rPr>
              <w:t>（三）行政事业单位国有资产集中统一管理的运行机制与制度创新研究</w:t>
            </w:r>
          </w:p>
          <w:p>
            <w:pPr>
              <w:pStyle w:val="null3"/>
            </w:pPr>
            <w:r>
              <w:rPr>
                <w:rFonts w:ascii="仿宋_GB2312" w:hAnsi="仿宋_GB2312" w:cs="仿宋_GB2312" w:eastAsia="仿宋_GB2312"/>
              </w:rPr>
              <w:t>研究目的和意义：总书记多次强调要加强国有资产监管，推动资产管理提质增效。行政事业单位国有资产是保障党政机关正常运转和公共服务有效供给的重要物质基础。随着国家治理体系和治理能力现代化的不断推进，国有资产管理由“分散管理”向“集中统一管理”转型已成为必然趋势。本研究以陕西省实践为切入点，系统梳理行政事业单位国有资产集中统一管理的运行机制，深入分析在资产配置、使用、处置及监管过程中存在的体制性、机制性障碍，重点探讨机关事务管理部门、财政部门以及主管单位之间的权责边界与协同运行问题。在此基础上，总结可复制、可推广的制度经验，提出完善集中统一管理运行机制和制度体系的对策建议，为进一步提升行政事业单位国有资产管理效能提供理论支撑和实践方案。</w:t>
            </w:r>
          </w:p>
          <w:p>
            <w:pPr>
              <w:pStyle w:val="null3"/>
            </w:pPr>
            <w:r>
              <w:rPr>
                <w:rFonts w:ascii="仿宋_GB2312" w:hAnsi="仿宋_GB2312" w:cs="仿宋_GB2312" w:eastAsia="仿宋_GB2312"/>
              </w:rPr>
              <w:t>（四）机关事务运行保障中人机协同决策的运行逻辑与治理边界研究</w:t>
            </w:r>
          </w:p>
          <w:p>
            <w:pPr>
              <w:pStyle w:val="null3"/>
            </w:pPr>
            <w:r>
              <w:rPr>
                <w:rFonts w:ascii="仿宋_GB2312" w:hAnsi="仿宋_GB2312" w:cs="仿宋_GB2312" w:eastAsia="仿宋_GB2312"/>
              </w:rPr>
              <w:t>研究目的和意义：在数字治理持续深化和人工智能技术加速嵌入机关事务运行保障过程的背景下，机关事务决策正由“以人为主”向“人机协同”转变。本研究以机关事务运行保障中的关键业务场景为切入点，系统分析人工智能参与决策支持、调度优化与风险预警等环节的运行逻辑，厘清人类决策者与智能系统在信息处理、判断执行和责任承担中的功能分工与协同机制，重点识别人机协同决策中可能引发的责任模糊、决策依赖和治理失衡问题，进而明确人工智能介入机关事务运行保障的合理边界，为构建规范、安全、可控的人机协同决策模式提供理论依据和实践指引。</w:t>
            </w:r>
          </w:p>
          <w:p>
            <w:pPr>
              <w:pStyle w:val="null3"/>
            </w:pPr>
            <w:r>
              <w:rPr>
                <w:rFonts w:ascii="仿宋_GB2312" w:hAnsi="仿宋_GB2312" w:cs="仿宋_GB2312" w:eastAsia="仿宋_GB2312"/>
              </w:rPr>
              <w:t>（五）省级四大家机关事务集中统一管理改革的运行机制与数字化赋能路径研究</w:t>
            </w:r>
          </w:p>
          <w:p>
            <w:pPr>
              <w:pStyle w:val="null3"/>
            </w:pPr>
            <w:r>
              <w:rPr>
                <w:rFonts w:ascii="仿宋_GB2312" w:hAnsi="仿宋_GB2312" w:cs="仿宋_GB2312" w:eastAsia="仿宋_GB2312"/>
              </w:rPr>
              <w:t xml:space="preserve">    研究目的和意义：本研究以陕西省率先推进的省级“四大家”机关事务集中统一管理改革为研究对象，聚焦改革运行机制与数字化赋能路径，系统总结具有地方原创性的实践经验，回应新时代机关事务治理现代化的现实需求。一方面，通过系统梳理陕西省“四大家”机关事务集中统一管理改革的制度背景、组织架构与运行逻辑，深入分析集中统一管理在资产配置、运行保障、服务协同等方面的实际成效与关键机制，揭示改革顺利推进的内在条件与运行规律。另一方面，立足改革实践，重点分析数字化手段在“四大家”统管中的支撑作用，梳理信息平台建设、数据整合共享、业务流程再造等数字化举措如何赋能集中统一管理，推动机关事务管理由经验型、分散型向规范化、智能化转变。此外，识别改革过程中面临的体制衔接、职责协同、数字治理等现实问题，提出具有可操作性的优化路径与政策建议。</w:t>
            </w:r>
          </w:p>
          <w:p>
            <w:pPr>
              <w:pStyle w:val="null3"/>
            </w:pPr>
            <w:r>
              <w:rPr>
                <w:rFonts w:ascii="仿宋_GB2312" w:hAnsi="仿宋_GB2312" w:cs="仿宋_GB2312" w:eastAsia="仿宋_GB2312"/>
              </w:rPr>
              <w:t>二、预期成果</w:t>
            </w:r>
          </w:p>
          <w:p>
            <w:pPr>
              <w:pStyle w:val="null3"/>
            </w:pPr>
            <w:r>
              <w:rPr>
                <w:rFonts w:ascii="仿宋_GB2312" w:hAnsi="仿宋_GB2312" w:cs="仿宋_GB2312" w:eastAsia="仿宋_GB2312"/>
              </w:rPr>
              <w:t>由高校研究机构、中心相关领导及业务处室负责同志参与，组织专门力量对研究成果进行评估验收。5月底形成研究方案；7月份进行中期评估；8月中旬进行理论文章验收。预期形成多种形式的研究成果。同时，积极向国管局和全国机关事务管理研究会报送优秀研究成果，持续探索陕西经验，传播陕西声音，不断扩大陕西工作在全国系统的影响力。</w:t>
            </w:r>
          </w:p>
          <w:p>
            <w:pPr>
              <w:pStyle w:val="null3"/>
            </w:pPr>
            <w:r>
              <w:rPr>
                <w:rFonts w:ascii="仿宋_GB2312" w:hAnsi="仿宋_GB2312" w:cs="仿宋_GB2312" w:eastAsia="仿宋_GB2312"/>
              </w:rPr>
              <w:t>三、关于经费保障</w:t>
            </w:r>
          </w:p>
          <w:p>
            <w:pPr>
              <w:pStyle w:val="null3"/>
            </w:pPr>
            <w:r>
              <w:rPr>
                <w:rFonts w:ascii="仿宋_GB2312" w:hAnsi="仿宋_GB2312" w:cs="仿宋_GB2312" w:eastAsia="仿宋_GB2312"/>
              </w:rPr>
              <w:t>坚持勤俭办一切事业原则，强化质量标准和实践运用，根据课题难易程度及实际成果，对应支付相关经费，严格履行政府采购有关要求，做到程序合规、专款专用。经费保障包括两个方面：</w:t>
            </w:r>
          </w:p>
          <w:p>
            <w:pPr>
              <w:pStyle w:val="null3"/>
            </w:pPr>
            <w:r>
              <w:rPr>
                <w:rFonts w:ascii="仿宋_GB2312" w:hAnsi="仿宋_GB2312" w:cs="仿宋_GB2312" w:eastAsia="仿宋_GB2312"/>
              </w:rPr>
              <w:t>1.基础经费（限价35万元）。每项课题拟保障基础研究经费限价7万元（经费中包含课题调研差旅费、资料费、研讨费、专家咨询费、评估验收费等费用）。</w:t>
            </w:r>
          </w:p>
          <w:p>
            <w:pPr>
              <w:pStyle w:val="null3"/>
            </w:pPr>
            <w:r>
              <w:rPr>
                <w:rFonts w:ascii="仿宋_GB2312" w:hAnsi="仿宋_GB2312" w:cs="仿宋_GB2312" w:eastAsia="仿宋_GB2312"/>
              </w:rPr>
              <w:t>2.成果经费（限价25万元）。根据研究质量，建立成果评估机制。区分三种情形：①凡研究成果被国管局主要领导和省委、省政府主要领导批示，或被国管局采纳在全国推广，或研究成果在全国机关事务系统理论成果评审中获得特等奖的，每项成果经费限价10万元。②凡研究成果被国管局副职领导及省委、省政府副省级领导批示，或被省部级文件采纳、纳入政策，或研究成果在全国机关事务系统成果评审中获得一等奖的，每项成果经费限价8万元。③凡研究成果在全国机关事务系统理论成果评审中获得二等奖的，每项成果经费限价5万元。同一项研究成果同时获得①②③情形两项以上的，按最高层级标准执行。</w:t>
            </w:r>
          </w:p>
          <w:p>
            <w:pPr>
              <w:pStyle w:val="null3"/>
            </w:pPr>
            <w:r>
              <w:rPr>
                <w:rFonts w:ascii="仿宋_GB2312" w:hAnsi="仿宋_GB2312" w:cs="仿宋_GB2312" w:eastAsia="仿宋_GB2312"/>
              </w:rPr>
              <w:t>采购包1： 付款条件说明：</w:t>
            </w:r>
          </w:p>
          <w:p>
            <w:pPr>
              <w:pStyle w:val="null3"/>
            </w:pPr>
            <w:r>
              <w:rPr>
                <w:rFonts w:ascii="仿宋_GB2312" w:hAnsi="仿宋_GB2312" w:cs="仿宋_GB2312" w:eastAsia="仿宋_GB2312"/>
              </w:rPr>
              <w:t>1、课题基础费用①在双方签订合同后支付50%；②在12月份研究成果经全国机关事务管理研究会鉴定后支付50%；</w:t>
            </w:r>
          </w:p>
          <w:p>
            <w:pPr>
              <w:pStyle w:val="null3"/>
            </w:pPr>
            <w:r>
              <w:rPr>
                <w:rFonts w:ascii="仿宋_GB2312" w:hAnsi="仿宋_GB2312" w:cs="仿宋_GB2312" w:eastAsia="仿宋_GB2312"/>
              </w:rPr>
              <w:t>2、课题成果费用支付周期为双方签订合同之日起一个整年度，根据研究成果质量，支付成果经费 ，达到付款条件起 30 日内，支付合同总金额的 100.00%。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合同签订起1个整年度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陕西省机关事务服务中心指定地点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进度款，1、课题基础费用①在双方签订合同后支付50%；②在12月份研究成果经全国机关事务管理研究会鉴定后支付50%；，达到付款条件起30个工作日内，支付合同总金额的50.0%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进度款，2、课题成果费用支付周期为双方签订合同之日起一个整年度，根据研究成果质量，支付成果经费 ，达到付款条件起 30 日内，支付合同总金额的 100.00%。，达到付款条件起30个工作日内，支付合同总金额的50.0%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由于系统设置比例问题，故付款方式以服务内容里面的为准，（1、课题基础费用①在双方签订合同后支付50%；②在12月份研究成果经全国机关事务管理研究会鉴定后支付50%；2、课题成果费用支付周期为双方签订合同之日起一个整年度，根据研究成果质量，支付成果经费 ，达到付款条件起 30 日内，支付合同总金额的 100.00%）；2.采购文件要求签字或盖章之处，非法人单位均参照执行。 3.中标人领取中标通知书时，提交纸质投标文件正本壹份、副本贰份、电子版壹份（U盘壹份注明单位名称），内容和通过电子化交易平台实施的政府采购项目提交的投标文件一致。纸质投标文件正副本分别胶装（投标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本采购包不专门面向中小企业采购，小微企业价格评审有10%优惠。</w:t>
            </w:r>
          </w:p>
        </w:tc>
        <w:tc>
          <w:tcPr>
            <w:tcW w:type="dxa" w:w="3322"/>
          </w:tcPr>
          <w:p>
            <w:pPr>
              <w:pStyle w:val="null3"/>
            </w:pPr>
            <w:r>
              <w:rPr>
                <w:rFonts w:ascii="仿宋_GB2312" w:hAnsi="仿宋_GB2312" w:cs="仿宋_GB2312" w:eastAsia="仿宋_GB2312"/>
              </w:rPr>
              <w:t>供应商应为小型、微型企业或监狱企业或残疾人福利性单位。提供《中小企业声明函》；供应商为监狱企业的，应提供监狱企业的证明文件；供应商为残疾人福利性单位的，应提供《残疾人福利性单位声明函》。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磋商文件规定，从磋商文件的有效性、完整性和对响应文件的响应程度进行审查。出现下列情况之一者（但不限于），不得进入最终评审环节：（1）供应商的投标报价超过采购预算或最高限价的；（2）响应文件是否按磋商文件要求的数量、语言、计量单位、报价货币及签字盖章；（3）无投标有效期或有效期达不到磋商文件要求的；（4）响应文件附加了采购人难以接受的条件或条款的；（5）响应文件未实质性响应采购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供应商针对本项目采购需求提供：①需求理解；②项目关键性、重难点分析及应对措施；③合理化建议。 评审标准：方案各部分内容全面详细、阐述条理清晰详尽、符合本项目采购需求得9分，每缺一项内容扣3分，评审内容有缺陷的根据情况扣分，扣完为止。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供应商针对本项目采购需求提供详细的课题实施服务方案，包含但不限于①整体实施方案；②计划进度安排；③服务流程；④成果验收方案等。 评审标准：方案各部分内容全面详细、阐述条理清晰详尽、符合本项目采购需求得22分，每缺一项内容扣5.5分，评审内容有缺陷的根据情况扣分，扣完为止。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管理制度及措施</w:t>
            </w:r>
          </w:p>
        </w:tc>
        <w:tc>
          <w:tcPr>
            <w:tcW w:type="dxa" w:w="2492"/>
          </w:tcPr>
          <w:p>
            <w:pPr>
              <w:pStyle w:val="null3"/>
            </w:pPr>
            <w:r>
              <w:rPr>
                <w:rFonts w:ascii="仿宋_GB2312" w:hAnsi="仿宋_GB2312" w:cs="仿宋_GB2312" w:eastAsia="仿宋_GB2312"/>
              </w:rPr>
              <w:t>供应商针对本项目提供具体的管理制度及措施，包含但不限于：①项目管理规章制度；②项目资料管理措施；③服务人员的稳定、服务的质量、成果安全性保障措施；④软硬件投入及监测措施等。 评审标准：制度及措施各部分内容全面详细、阐述条理清晰详尽、符合本项目采购需求得16分，每缺一项内容扣4分，评审内容有缺陷的根据情况扣分，扣完为止。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供应商针对本项目提供服务质量保证措施及方案，包括但不限于：①质量保证范围及措施；②服务水平定义保证措施；③技术服务能力；④服务协调方案等。 评审标准：措施及方案各部分内容全面详细、阐述条理清晰详尽、符合本项目采购需求得16分，每缺一项内容扣4分，评审内容有缺陷的根据情况扣分，扣完为止。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供应商针对本项目提供保密方案，内容包含但不限于：①保密方案；②保密承诺等。 评审标准：方案各部分内容全面详细、阐述条理清晰详尽、符合本项目采购需求得6分，每缺一项内容扣3分，评审内容有缺陷的根据情况扣分，扣完为止。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人员组织措施</w:t>
            </w:r>
          </w:p>
        </w:tc>
        <w:tc>
          <w:tcPr>
            <w:tcW w:type="dxa" w:w="2492"/>
          </w:tcPr>
          <w:p>
            <w:pPr>
              <w:pStyle w:val="null3"/>
            </w:pPr>
            <w:r>
              <w:rPr>
                <w:rFonts w:ascii="仿宋_GB2312" w:hAnsi="仿宋_GB2312" w:cs="仿宋_GB2312" w:eastAsia="仿宋_GB2312"/>
              </w:rPr>
              <w:t>供应商针对本项目拟投入人员团队提供组织实施方案，包括但不限于：①项目组织架构；②岗位职责；③团队人员配置清单；④团队人员履历等。 评审标准：方案各部分内容全面详细、阐述条理清晰详尽、符合本项目采购需求得16分，每缺一项内容扣4分，评审内容有缺陷的根据情况扣分，扣完为止。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投标人提供2023年5月1日至今（以合同签订日期为准）类似项目的业绩合同，每份计1分，满分5分。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