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版本号：SCZA2026-CS-1422-00120260611001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教学能力比赛作品制作及指导项目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SCZA2026-CS-1422-001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教学能力比赛作品制作及指导项目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SCZA2026-CS-1422-001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教学能力比赛作品制作及指导项目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为帮助教师提高利用信息化手段进行课程建设和教学的能力，转变传统 教学理念，提升自身素养，优化教学过程，提升教学效果。校级、省级及以上教师教学能力比赛作品制作与指导，包括提供专家培训及指导、参赛作品指导、参赛文件优化、参赛视频拍摄服务。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采购包1（教学能力比赛作品制作及指导项目）：属于专门面向中小企业采购。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029-88519189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代理服务费收费标准：代理服务费参考《国家计委关于印发&lt;招标代理服务收费管理暂行办法&gt;的通知》（计价格[2002]1980号）规定标准按标段收取。中标单位的招标代理服务费交纳信息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及行业标准等，以最新和要求较高的为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为帮助教师提高利用信息化手段进行课程建设和教学的能力，转变传统 教学理念，提升自身素养，优化教学过程，提升教学效果。校级、省级及以上教师教学能力比赛作品制作与指导，包括提供专家培训及指导、参赛文件指导、参赛文件美化、参赛视频拍摄服务，提供线上评审平台上传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教学能力比赛作品制作及指导项目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标的名称：教学能力比赛作品制作及指导项目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一、项目概况</w:t>
            </w:r>
          </w:p>
          <w:p>
            <w:pPr>
              <w:pStyle w:val="null3"/>
            </w:pPr>
            <w:r>
              <w:rPr>
                <w:rFonts w:ascii="仿宋_GB2312" w:hAnsi="仿宋_GB2312" w:cs="仿宋_GB2312" w:eastAsia="仿宋_GB2312"/>
              </w:rPr>
              <w:t>为帮助教师提高利用信息化手段进行课程建设和教学的能力，转变传统教学理念，提升自身素养，优化教学过程，提升教学效果。校级、省级及以上教师教学能力比赛作品制作与指导，包括提供专家培训及指导、参赛文件指导、参赛文件美化、参赛视频拍摄服务，提供线上评审平台上传服务。</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青年教师教学竞赛作品制作与指导。为学校举办校级青年教师教学竞赛提供网评及现场评审专家不少于5名，提供大赛解读指导不少于3次。在省级青年教师教学竞赛中向2位参赛选手提供不少于2轮赛事指导，录制16个参赛学时的比赛视频，参赛文件设计与美化。</w:t>
            </w:r>
          </w:p>
          <w:p>
            <w:pPr>
              <w:pStyle w:val="null3"/>
            </w:pPr>
            <w:r>
              <w:rPr>
                <w:rFonts w:ascii="仿宋_GB2312" w:hAnsi="仿宋_GB2312" w:cs="仿宋_GB2312" w:eastAsia="仿宋_GB2312"/>
              </w:rPr>
              <w:t>2.一带一路暨金砖国家技能发展与技术创新大赛第三届教师教学能力赛作品制作与指导。为学校举办校级一带一路教师教学能力赛提供网评及现场评审专家不少于5名，提供大赛解读指导不少于3次。在国家级一带一路暨金砖国家技能发展与技术创新大赛第三届教师教学能力赛中向参赛选手提供不少于2轮的赛事指导，为18个团队录制课堂实录、说课视频、数字化资源使用展示视频，为团队参赛文件进行设计与美化，提供中英文对照翻译服务。</w:t>
            </w:r>
          </w:p>
          <w:p>
            <w:pPr>
              <w:pStyle w:val="null3"/>
            </w:pPr>
            <w:r>
              <w:rPr>
                <w:rFonts w:ascii="仿宋_GB2312" w:hAnsi="仿宋_GB2312" w:cs="仿宋_GB2312" w:eastAsia="仿宋_GB2312"/>
              </w:rPr>
              <w:t>3.双师型教师大比武比赛作品制作与指导。为学校举办双师型教师大比武提供网评及现场评审专家不少于5名，提供大赛解读指导不少于3次。在省级双师型教师大比武中向参赛选手提供不少于2轮的赛事指导，按照文件要求，为团队录制说课视频、技能操作实录、数字化资源使用展示视频等，为团队参赛文件进行设计与美化。</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所有文档材料均要求规范、简明、完整、朴实，正文使用小四号字、1.5倍行距，禁用以装饰为目的的图片或照片，以PDF格式提交。</w:t>
            </w:r>
          </w:p>
          <w:p>
            <w:pPr>
              <w:pStyle w:val="null3"/>
            </w:pPr>
            <w:r>
              <w:rPr>
                <w:rFonts w:ascii="仿宋_GB2312" w:hAnsi="仿宋_GB2312" w:cs="仿宋_GB2312" w:eastAsia="仿宋_GB2312"/>
              </w:rPr>
              <w:t>1.课程整体设计方案</w:t>
            </w:r>
          </w:p>
          <w:p>
            <w:pPr>
              <w:pStyle w:val="null3"/>
            </w:pPr>
            <w:r>
              <w:rPr>
                <w:rFonts w:ascii="仿宋_GB2312" w:hAnsi="仿宋_GB2312" w:cs="仿宋_GB2312" w:eastAsia="仿宋_GB2312"/>
              </w:rPr>
              <w:t>对一门课程（不得少于2学分）教学活动的系统规划方案。应阐述课程学习目标如何符合本校办学定位和专业人才培养目标，价值塑造、知识传授、能力培养是如何有机融合。基本要素包括：课程名称、适用专业和年级、课程性质、教学设计理念、教学目标、内容结构、教学安排、课程资源、教学策略及方法、课程评价方法等。中文字符在5000字以内（文末注明正文“中文字符统计数”），插入的图表应有针对性、有效性，文字清晰可见，单张图表原则上不超过半页，图表数量总共不得超过12个。</w:t>
            </w:r>
          </w:p>
          <w:p>
            <w:pPr>
              <w:pStyle w:val="null3"/>
            </w:pPr>
            <w:r>
              <w:rPr>
                <w:rFonts w:ascii="仿宋_GB2312" w:hAnsi="仿宋_GB2312" w:cs="仿宋_GB2312" w:eastAsia="仿宋_GB2312"/>
              </w:rPr>
              <w:t>2.教案</w:t>
            </w:r>
          </w:p>
          <w:p>
            <w:pPr>
              <w:pStyle w:val="null3"/>
            </w:pPr>
            <w:r>
              <w:rPr>
                <w:rFonts w:ascii="仿宋_GB2312" w:hAnsi="仿宋_GB2312" w:cs="仿宋_GB2312" w:eastAsia="仿宋_GB2312"/>
              </w:rPr>
              <w:t>根据专业人才培养方案和课程标准，选取该课程在一个学期中符合规定的教学内容，撰写实际使用的教案。教案应包括授课信息、内容分析、学情分析、教学目标、教学策略、教学活动安排、课后反思等教学基本要素，要求设计合理、重点突出、前后衔接、规范完整、详略得当（其中课中教学活动安排占主要篇幅），体现具体的教学内容、活动及时间分配，能够有效指导教学实施，课后对授课实效、改革创新、存在不足及改进设想进行客观深入反思。</w:t>
            </w:r>
          </w:p>
          <w:p>
            <w:pPr>
              <w:pStyle w:val="null3"/>
            </w:pPr>
            <w:r>
              <w:rPr>
                <w:rFonts w:ascii="仿宋_GB2312" w:hAnsi="仿宋_GB2312" w:cs="仿宋_GB2312" w:eastAsia="仿宋_GB2312"/>
              </w:rPr>
              <w:t>3.课程实录（时长根据文件要求确定）</w:t>
            </w:r>
          </w:p>
          <w:p>
            <w:pPr>
              <w:pStyle w:val="null3"/>
            </w:pPr>
            <w:r>
              <w:rPr>
                <w:rFonts w:ascii="仿宋_GB2312" w:hAnsi="仿宋_GB2312" w:cs="仿宋_GB2312" w:eastAsia="仿宋_GB2312"/>
              </w:rPr>
              <w:t>按照教学设计实施课堂教学（或专周实习实训、岗位实习教学），参赛队录制课堂教学视频。课堂教学应在实际教学场所，班级全体学生参加。课堂教学视频应呈现课程属性特质、反映教师教学风格。</w:t>
            </w:r>
          </w:p>
          <w:p>
            <w:pPr>
              <w:pStyle w:val="null3"/>
            </w:pPr>
            <w:r>
              <w:rPr>
                <w:rFonts w:ascii="仿宋_GB2312" w:hAnsi="仿宋_GB2312" w:cs="仿宋_GB2312" w:eastAsia="仿宋_GB2312"/>
              </w:rPr>
              <w:t>课堂实录视频须采用1机位全程连续录制，镜头固定，录制过程中不可调整焦距。录课过程中拍摄及其他人员不在场，提交的视频从拍摄人员离场开始到拍摄人员停机为止。所有机位拍摄的视频须保证音轨连续，不另行剪辑及配音，须加注中英文字幕。视频采用mp4格式封装，单个视频文件大小不超过300M。视频文件以“教案序号+第几学时+教案页码+教学环节名称”来命名。</w:t>
            </w:r>
          </w:p>
          <w:p>
            <w:pPr>
              <w:pStyle w:val="null3"/>
            </w:pPr>
            <w:r>
              <w:rPr>
                <w:rFonts w:ascii="仿宋_GB2312" w:hAnsi="仿宋_GB2312" w:cs="仿宋_GB2312" w:eastAsia="仿宋_GB2312"/>
              </w:rPr>
              <w:t>视频录制采用H.264/AVC编码格式压缩，动态比特率（码流）不低于1024Kbps，分辨率设定为1280*720，采用逐行扫描，帧速率为25帧/秒。音频采用AAC格式压缩，采样率48KHz，比特率（码流）128Kbps（恒定）。</w:t>
            </w:r>
          </w:p>
          <w:p>
            <w:pPr>
              <w:pStyle w:val="null3"/>
            </w:pPr>
            <w:r>
              <w:rPr>
                <w:rFonts w:ascii="仿宋_GB2312" w:hAnsi="仿宋_GB2312" w:cs="仿宋_GB2312" w:eastAsia="仿宋_GB2312"/>
              </w:rPr>
              <w:t>4.说课视频（时长根据文件要求确定）</w:t>
            </w:r>
          </w:p>
          <w:p>
            <w:pPr>
              <w:pStyle w:val="null3"/>
            </w:pPr>
            <w:r>
              <w:rPr>
                <w:rFonts w:ascii="仿宋_GB2312" w:hAnsi="仿宋_GB2312" w:cs="仿宋_GB2312" w:eastAsia="仿宋_GB2312"/>
              </w:rPr>
              <w:t>说课内容主要围绕课程对专业人才培养的支撑度、课程设计、教学资源（含微课）、教学效果、教学反思、课程对外推广等。说课视频可采取摄影、录屏等多种形式，参赛队员可根据需要决定是否出镜，须加注中英文字幕，视频采用mp4格式封装。视频文件以“课程名称”来命名。</w:t>
            </w:r>
          </w:p>
          <w:p>
            <w:pPr>
              <w:pStyle w:val="null3"/>
            </w:pPr>
            <w:r>
              <w:rPr>
                <w:rFonts w:ascii="仿宋_GB2312" w:hAnsi="仿宋_GB2312" w:cs="仿宋_GB2312" w:eastAsia="仿宋_GB2312"/>
              </w:rPr>
              <w:t>5.数字化资源使用展示视频（时长根据文件要求确定）</w:t>
            </w:r>
          </w:p>
          <w:p>
            <w:pPr>
              <w:pStyle w:val="null3"/>
            </w:pPr>
            <w:r>
              <w:rPr>
                <w:rFonts w:ascii="仿宋_GB2312" w:hAnsi="仿宋_GB2312" w:cs="仿宋_GB2312" w:eastAsia="仿宋_GB2312"/>
              </w:rPr>
              <w:t>所提交教案对应部分的数字化教学资源，类型不局限于微课、动画、小程序、交互式游戏、教学智能体、虚拟仿真软件、应用程序（APP）等。数字化资源使用过程可采用“录屏+旁白”、“摄影+旁白”等形式展现。视频采用mp4格式封装，须加注中英文字幕，单个大小不超过100M。</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在合同执行过程中需要服务商应执行的相关服务标准和应当履行的相关义务。</w:t>
            </w:r>
          </w:p>
          <w:p>
            <w:pPr>
              <w:pStyle w:val="null3"/>
            </w:pPr>
            <w:r>
              <w:rPr>
                <w:rFonts w:ascii="仿宋_GB2312" w:hAnsi="仿宋_GB2312" w:cs="仿宋_GB2312" w:eastAsia="仿宋_GB2312"/>
              </w:rPr>
              <w:t>1.服务商服务能力要求</w:t>
            </w:r>
          </w:p>
          <w:p>
            <w:pPr>
              <w:pStyle w:val="null3"/>
            </w:pPr>
            <w:r>
              <w:rPr>
                <w:rFonts w:ascii="仿宋_GB2312" w:hAnsi="仿宋_GB2312" w:cs="仿宋_GB2312" w:eastAsia="仿宋_GB2312"/>
              </w:rPr>
              <w:t>服务商承担过熟悉教学能力比赛赛项流程，深度理解教师教学能力比赛项目，承担过同类比赛并获得奖项，拥有成熟的服务和技术团队，能够确保项目建设顺利完成。</w:t>
            </w:r>
          </w:p>
          <w:p>
            <w:pPr>
              <w:pStyle w:val="null3"/>
            </w:pPr>
            <w:r>
              <w:rPr>
                <w:rFonts w:ascii="仿宋_GB2312" w:hAnsi="仿宋_GB2312" w:cs="仿宋_GB2312" w:eastAsia="仿宋_GB2312"/>
              </w:rPr>
              <w:t>2.人员配置要求</w:t>
            </w:r>
          </w:p>
          <w:p>
            <w:pPr>
              <w:pStyle w:val="null3"/>
            </w:pPr>
            <w:r>
              <w:rPr>
                <w:rFonts w:ascii="仿宋_GB2312" w:hAnsi="仿宋_GB2312" w:cs="仿宋_GB2312" w:eastAsia="仿宋_GB2312"/>
              </w:rPr>
              <w:t>派驻不少于2个服务团队进行同时拍摄，团队总成员不少于10人，完成教学视频录制服务，且均承担过同类型或类似的课程或比赛建设服务。团队需有信息安全意识，在项目实施过程中不得外泄、不得倒卖、不得向第三方泄露。确保项目信息、教师个人信息、教学内容等相关比赛资料安全。团队成员不少于两人参与过相关信息安全培训，并提供培训证书。</w:t>
            </w:r>
          </w:p>
          <w:p>
            <w:pPr>
              <w:pStyle w:val="null3"/>
            </w:pPr>
            <w:r>
              <w:rPr>
                <w:rFonts w:ascii="仿宋_GB2312" w:hAnsi="仿宋_GB2312" w:cs="仿宋_GB2312" w:eastAsia="仿宋_GB2312"/>
              </w:rPr>
              <w:t>3.素材采集及视频拍摄专业设备</w:t>
            </w:r>
          </w:p>
          <w:p>
            <w:pPr>
              <w:pStyle w:val="null3"/>
            </w:pPr>
            <w:r>
              <w:rPr>
                <w:rFonts w:ascii="仿宋_GB2312" w:hAnsi="仿宋_GB2312" w:cs="仿宋_GB2312" w:eastAsia="仿宋_GB2312"/>
              </w:rPr>
              <w:t>(1)素材采集及视频拍摄流程及过程所需的设备配备能力；</w:t>
            </w:r>
          </w:p>
          <w:p>
            <w:pPr>
              <w:pStyle w:val="null3"/>
            </w:pPr>
            <w:r>
              <w:rPr>
                <w:rFonts w:ascii="仿宋_GB2312" w:hAnsi="仿宋_GB2312" w:cs="仿宋_GB2312" w:eastAsia="仿宋_GB2312"/>
              </w:rPr>
              <w:t>(2)配置包括：</w:t>
            </w:r>
          </w:p>
          <w:p>
            <w:pPr>
              <w:pStyle w:val="null3"/>
            </w:pPr>
            <w:r>
              <w:rPr>
                <w:rFonts w:ascii="仿宋_GB2312" w:hAnsi="仿宋_GB2312" w:cs="仿宋_GB2312" w:eastAsia="仿宋_GB2312"/>
              </w:rPr>
              <w:t>1)需使用具备4K高清视频采集设备。采用3机位全程连续录制，镜头固定，其中一个机位对准黑板和屏幕，另两个机位根据教学实际固定镜头位置，须覆盖教室全景。3机位须同步录制，保证音视频准确同步。录课过程中拍摄及其他人员不在场，提交的视频从拍摄人员离场开始到拍摄人员停机为止(1学时之外的录制时长不超过2分钟),采集设备中须具有采集工作人员全程监控三个机位录制进程的全程监控设备，确保视频拍摄质量。</w:t>
            </w:r>
          </w:p>
          <w:p>
            <w:pPr>
              <w:pStyle w:val="null3"/>
            </w:pPr>
            <w:r>
              <w:rPr>
                <w:rFonts w:ascii="仿宋_GB2312" w:hAnsi="仿宋_GB2312" w:cs="仿宋_GB2312" w:eastAsia="仿宋_GB2312"/>
              </w:rPr>
              <w:t>2)拍摄采集设备所使用应用软件需具有采用三机位一站式同步回放功 能，确保视频同频同音轨且无剪辑配音比赛要求。需提供多频同步播放器软件为参赛教师现场多频展示课堂教学过程有利于及时优化，同时检查视频的同轨同音。</w:t>
            </w:r>
          </w:p>
          <w:p>
            <w:pPr>
              <w:pStyle w:val="null3"/>
            </w:pPr>
            <w:r>
              <w:rPr>
                <w:rFonts w:ascii="仿宋_GB2312" w:hAnsi="仿宋_GB2312" w:cs="仿宋_GB2312" w:eastAsia="仿宋_GB2312"/>
              </w:rPr>
              <w:t>五、线上评审平台要求</w:t>
            </w:r>
          </w:p>
          <w:p>
            <w:pPr>
              <w:pStyle w:val="null3"/>
            </w:pPr>
            <w:r>
              <w:rPr>
                <w:rFonts w:ascii="仿宋_GB2312" w:hAnsi="仿宋_GB2312" w:cs="仿宋_GB2312" w:eastAsia="仿宋_GB2312"/>
              </w:rPr>
              <w:t>1.灵活配置、公平评审、数据资产沉淀、多系统对接与服务生态扩展。支持分布式微服务部署，支持云平台/物理机部署。支持PC端、移动端（H5），兼容主流浏览器。</w:t>
            </w:r>
          </w:p>
          <w:p>
            <w:pPr>
              <w:pStyle w:val="null3"/>
            </w:pPr>
            <w:r>
              <w:rPr>
                <w:rFonts w:ascii="仿宋_GB2312" w:hAnsi="仿宋_GB2312" w:cs="仿宋_GB2312" w:eastAsia="仿宋_GB2312"/>
              </w:rPr>
              <w:t>2.架构模式：微服务架构，前后端分离。</w:t>
            </w:r>
          </w:p>
          <w:p>
            <w:pPr>
              <w:pStyle w:val="null3"/>
            </w:pPr>
            <w:r>
              <w:rPr>
                <w:rFonts w:ascii="仿宋_GB2312" w:hAnsi="仿宋_GB2312" w:cs="仿宋_GB2312" w:eastAsia="仿宋_GB2312"/>
              </w:rPr>
              <w:t>服务拆分：网关服务、用户/权限服务、竞赛管理、报名评审、数据统计等。</w:t>
            </w:r>
          </w:p>
          <w:p>
            <w:pPr>
              <w:pStyle w:val="null3"/>
            </w:pPr>
            <w:r>
              <w:rPr>
                <w:rFonts w:ascii="仿宋_GB2312" w:hAnsi="仿宋_GB2312" w:cs="仿宋_GB2312" w:eastAsia="仿宋_GB2312"/>
              </w:rPr>
              <w:t>3.技术后端：Java 17+、Spring Boot 3.x、Spring Cloud、MyBatis/MyBatis-Plus、Redis、RabbitMQ/Kafka、Nacos、Gateway、JWT。</w:t>
            </w:r>
          </w:p>
          <w:p>
            <w:pPr>
              <w:pStyle w:val="null3"/>
            </w:pPr>
            <w:r>
              <w:rPr>
                <w:rFonts w:ascii="仿宋_GB2312" w:hAnsi="仿宋_GB2312" w:cs="仿宋_GB2312" w:eastAsia="仿宋_GB2312"/>
              </w:rPr>
              <w:t>前端：Vue3、Element Plus、Vite、WebSocket、响应式布局。</w:t>
            </w:r>
          </w:p>
          <w:p>
            <w:pPr>
              <w:pStyle w:val="null3"/>
            </w:pPr>
            <w:r>
              <w:rPr>
                <w:rFonts w:ascii="仿宋_GB2312" w:hAnsi="仿宋_GB2312" w:cs="仿宋_GB2312" w:eastAsia="仿宋_GB2312"/>
              </w:rPr>
              <w:t>数据库：MySQL 8.x（主库）、Redis 6.x+（缓存）、MinIO/FastDFS（文件存储）。</w:t>
            </w:r>
          </w:p>
          <w:p>
            <w:pPr>
              <w:pStyle w:val="null3"/>
            </w:pPr>
            <w:r>
              <w:rPr>
                <w:rFonts w:ascii="仿宋_GB2312" w:hAnsi="仿宋_GB2312" w:cs="仿宋_GB2312" w:eastAsia="仿宋_GB2312"/>
              </w:rPr>
              <w:t>运维监控：Docker、Nacos、Prometheus+Grafana、ELK日志收集。</w:t>
            </w:r>
          </w:p>
          <w:p>
            <w:pPr>
              <w:pStyle w:val="null3"/>
            </w:pPr>
            <w:r>
              <w:rPr>
                <w:rFonts w:ascii="仿宋_GB2312" w:hAnsi="仿宋_GB2312" w:cs="仿宋_GB2312" w:eastAsia="仿宋_GB2312"/>
              </w:rPr>
              <w:t>4.竞赛网站可视化页面设计器，支持自定义主题色、布局、模块拖拽，内置模板一键应用。内容管理：日程、竞赛说明，支持富文本编辑。</w:t>
            </w:r>
          </w:p>
          <w:p>
            <w:pPr>
              <w:pStyle w:val="null3"/>
            </w:pPr>
            <w:r>
              <w:rPr>
                <w:rFonts w:ascii="仿宋_GB2312" w:hAnsi="仿宋_GB2312" w:cs="仿宋_GB2312" w:eastAsia="仿宋_GB2312"/>
              </w:rPr>
              <w:t>5.门户访问权限控制、分级管理员、访问PV/UV统计。修改后一键发布、即时生效，支持预览。</w:t>
            </w:r>
          </w:p>
          <w:p>
            <w:pPr>
              <w:pStyle w:val="null3"/>
            </w:pPr>
            <w:r>
              <w:rPr>
                <w:rFonts w:ascii="仿宋_GB2312" w:hAnsi="仿宋_GB2312" w:cs="仿宋_GB2312" w:eastAsia="仿宋_GB2312"/>
              </w:rPr>
              <w:t>6.预置角色：超级管理员、竞赛管理员、参赛人、评审专家，支持自定义角色。</w:t>
            </w:r>
          </w:p>
          <w:p>
            <w:pPr>
              <w:pStyle w:val="null3"/>
            </w:pPr>
            <w:r>
              <w:rPr>
                <w:rFonts w:ascii="仿宋_GB2312" w:hAnsi="仿宋_GB2312" w:cs="仿宋_GB2312" w:eastAsia="仿宋_GB2312"/>
              </w:rPr>
              <w:t>权限模型：RBAC+数据权限，支持按竞赛、院系、角色分配权限。</w:t>
            </w:r>
          </w:p>
          <w:p>
            <w:pPr>
              <w:pStyle w:val="null3"/>
            </w:pPr>
            <w:r>
              <w:rPr>
                <w:rFonts w:ascii="仿宋_GB2312" w:hAnsi="仿宋_GB2312" w:cs="仿宋_GB2312" w:eastAsia="仿宋_GB2312"/>
              </w:rPr>
              <w:t>管理员：每个竞赛可独立设置多管理员，权限隔离、并行操作。</w:t>
            </w:r>
          </w:p>
          <w:p>
            <w:pPr>
              <w:pStyle w:val="null3"/>
            </w:pPr>
            <w:r>
              <w:rPr>
                <w:rFonts w:ascii="仿宋_GB2312" w:hAnsi="仿宋_GB2312" w:cs="仿宋_GB2312" w:eastAsia="仿宋_GB2312"/>
              </w:rPr>
              <w:t>7.竞赛规则设置时间控制：报名、作品提交、评审起止时间，精确到分钟。</w:t>
            </w:r>
          </w:p>
          <w:p>
            <w:pPr>
              <w:pStyle w:val="null3"/>
            </w:pPr>
            <w:r>
              <w:rPr>
                <w:rFonts w:ascii="仿宋_GB2312" w:hAnsi="仿宋_GB2312" w:cs="仿宋_GB2312" w:eastAsia="仿宋_GB2312"/>
              </w:rPr>
              <w:t>报名范围：全校开放/仅限本单位（院系）。</w:t>
            </w:r>
          </w:p>
          <w:p>
            <w:pPr>
              <w:pStyle w:val="null3"/>
            </w:pPr>
            <w:r>
              <w:rPr>
                <w:rFonts w:ascii="仿宋_GB2312" w:hAnsi="仿宋_GB2312" w:cs="仿宋_GB2312" w:eastAsia="仿宋_GB2312"/>
              </w:rPr>
              <w:t>审核流程：支持1–3级审核，可配置审核人员、时间、是否同院系回避、审核理由必填。</w:t>
            </w:r>
          </w:p>
          <w:p>
            <w:pPr>
              <w:pStyle w:val="null3"/>
            </w:pPr>
            <w:r>
              <w:rPr>
                <w:rFonts w:ascii="仿宋_GB2312" w:hAnsi="仿宋_GB2312" w:cs="仿宋_GB2312" w:eastAsia="仿宋_GB2312"/>
              </w:rPr>
              <w:t>8.提交限制：退回作品可重编、每人提交数量上限、附件下载权限、选手功能权限开关。</w:t>
            </w:r>
          </w:p>
          <w:p>
            <w:pPr>
              <w:pStyle w:val="null3"/>
            </w:pPr>
            <w:r>
              <w:rPr>
                <w:rFonts w:ascii="仿宋_GB2312" w:hAnsi="仿宋_GB2312" w:cs="仿宋_GB2312" w:eastAsia="仿宋_GB2312"/>
              </w:rPr>
              <w:t>9.报名表单：自定义字段（文本、单选、多选、日期、附件、子表单等）。</w:t>
            </w:r>
          </w:p>
          <w:p>
            <w:pPr>
              <w:pStyle w:val="null3"/>
            </w:pPr>
            <w:r>
              <w:rPr>
                <w:rFonts w:ascii="仿宋_GB2312" w:hAnsi="仿宋_GB2312" w:cs="仿宋_GB2312" w:eastAsia="仿宋_GB2312"/>
              </w:rPr>
              <w:t>数据管理：报名信息查看、筛选、删除、批量导出Excel。</w:t>
            </w:r>
          </w:p>
          <w:p>
            <w:pPr>
              <w:pStyle w:val="null3"/>
            </w:pPr>
            <w:r>
              <w:rPr>
                <w:rFonts w:ascii="仿宋_GB2312" w:hAnsi="仿宋_GB2312" w:cs="仿宋_GB2312" w:eastAsia="仿宋_GB2312"/>
              </w:rPr>
              <w:t>状态跟踪：未提交、待审核、已通过、已驳回，实时统计。</w:t>
            </w:r>
          </w:p>
          <w:p>
            <w:pPr>
              <w:pStyle w:val="null3"/>
            </w:pPr>
            <w:r>
              <w:rPr>
                <w:rFonts w:ascii="仿宋_GB2312" w:hAnsi="仿宋_GB2312" w:cs="仿宋_GB2312" w:eastAsia="仿宋_GB2312"/>
              </w:rPr>
              <w:t>10.作品表单：自定义提交字段，支持文本、富文本、筛选器、附件、子表单。</w:t>
            </w:r>
          </w:p>
          <w:p>
            <w:pPr>
              <w:pStyle w:val="null3"/>
            </w:pPr>
            <w:r>
              <w:rPr>
                <w:rFonts w:ascii="仿宋_GB2312" w:hAnsi="仿宋_GB2312" w:cs="仿宋_GB2312" w:eastAsia="仿宋_GB2312"/>
              </w:rPr>
              <w:t>视频时长/分辨率。审核操作：查看详情、审核通过/驳回、批量导出、导出详情。</w:t>
            </w:r>
          </w:p>
          <w:p>
            <w:pPr>
              <w:pStyle w:val="null3"/>
            </w:pPr>
            <w:r>
              <w:rPr>
                <w:rFonts w:ascii="仿宋_GB2312" w:hAnsi="仿宋_GB2312" w:cs="仿宋_GB2312" w:eastAsia="仿宋_GB2312"/>
              </w:rPr>
              <w:t>11.专家库：支持批量导手动添加，维护单位、职称、学科、联系方式。</w:t>
            </w:r>
          </w:p>
          <w:p>
            <w:pPr>
              <w:pStyle w:val="null3"/>
            </w:pPr>
            <w:r>
              <w:rPr>
                <w:rFonts w:ascii="仿宋_GB2312" w:hAnsi="仿宋_GB2312" w:cs="仿宋_GB2312" w:eastAsia="仿宋_GB2312"/>
              </w:rPr>
              <w:t>专家组：按竞赛自定义专家组，支持自主选择/随机抽取成员。</w:t>
            </w:r>
          </w:p>
          <w:p>
            <w:pPr>
              <w:pStyle w:val="null3"/>
            </w:pPr>
            <w:r>
              <w:rPr>
                <w:rFonts w:ascii="仿宋_GB2312" w:hAnsi="仿宋_GB2312" w:cs="仿宋_GB2312" w:eastAsia="仿宋_GB2312"/>
              </w:rPr>
              <w:t>作品分配：按专家组分配作品，支持手动/随机分配。</w:t>
            </w:r>
          </w:p>
          <w:p>
            <w:pPr>
              <w:pStyle w:val="null3"/>
            </w:pPr>
            <w:r>
              <w:rPr>
                <w:rFonts w:ascii="仿宋_GB2312" w:hAnsi="仿宋_GB2312" w:cs="仿宋_GB2312" w:eastAsia="仿宋_GB2312"/>
              </w:rPr>
              <w:t>12.支持单人评审、多人评审。自定义评分表，权重配置， AI辅助评价。</w:t>
            </w:r>
          </w:p>
          <w:p>
            <w:pPr>
              <w:pStyle w:val="null3"/>
            </w:pPr>
            <w:r>
              <w:rPr>
                <w:rFonts w:ascii="仿宋_GB2312" w:hAnsi="仿宋_GB2312" w:cs="仿宋_GB2312" w:eastAsia="仿宋_GB2312"/>
              </w:rPr>
              <w:t>进度监控：按专家/作品双维度实时查看。</w:t>
            </w:r>
          </w:p>
          <w:p>
            <w:pPr>
              <w:pStyle w:val="null3"/>
            </w:pPr>
            <w:r>
              <w:rPr>
                <w:rFonts w:ascii="仿宋_GB2312" w:hAnsi="仿宋_GB2312" w:cs="仿宋_GB2312" w:eastAsia="仿宋_GB2312"/>
              </w:rPr>
              <w:t>13.得分计算：分项得分、权重汇总、实际得分，支持自动/手动计算。</w:t>
            </w:r>
          </w:p>
          <w:p>
            <w:pPr>
              <w:pStyle w:val="null3"/>
            </w:pPr>
            <w:r>
              <w:rPr>
                <w:rFonts w:ascii="仿宋_GB2312" w:hAnsi="仿宋_GB2312" w:cs="仿宋_GB2312" w:eastAsia="仿宋_GB2312"/>
              </w:rPr>
              <w:t>14.赛序抽签多抽签任务：支持按竞赛设置多个抽签场景。抽签规则：起止时间、是否可重复抽取、序号起始值、清空次数限制。</w:t>
            </w:r>
          </w:p>
          <w:p>
            <w:pPr>
              <w:pStyle w:val="null3"/>
            </w:pPr>
            <w:r>
              <w:rPr>
                <w:rFonts w:ascii="仿宋_GB2312" w:hAnsi="仿宋_GB2312" w:cs="仿宋_GB2312" w:eastAsia="仿宋_GB2312"/>
              </w:rPr>
              <w:t>15.自动关联：抽签结果自动同步至评审列表，专家按赛序评审。</w:t>
            </w:r>
          </w:p>
          <w:p>
            <w:pPr>
              <w:pStyle w:val="null3"/>
            </w:pPr>
            <w:r>
              <w:rPr>
                <w:rFonts w:ascii="仿宋_GB2312" w:hAnsi="仿宋_GB2312" w:cs="仿宋_GB2312" w:eastAsia="仿宋_GB2312"/>
              </w:rPr>
              <w:t>16.投票管理</w:t>
            </w:r>
          </w:p>
          <w:p>
            <w:pPr>
              <w:pStyle w:val="null3"/>
            </w:pPr>
            <w:r>
              <w:rPr>
                <w:rFonts w:ascii="仿宋_GB2312" w:hAnsi="仿宋_GB2312" w:cs="仿宋_GB2312" w:eastAsia="仿宋_GB2312"/>
              </w:rPr>
              <w:t>投票配置：标题、起止时间、专家票数上限、选项设置、按选项限票、提交确认弹窗。</w:t>
            </w:r>
          </w:p>
          <w:p>
            <w:pPr>
              <w:pStyle w:val="null3"/>
            </w:pPr>
            <w:r>
              <w:rPr>
                <w:rFonts w:ascii="仿宋_GB2312" w:hAnsi="仿宋_GB2312" w:cs="仿宋_GB2312" w:eastAsia="仿宋_GB2312"/>
              </w:rPr>
              <w:t>17.性能指标:</w:t>
            </w:r>
          </w:p>
          <w:p>
            <w:pPr>
              <w:pStyle w:val="null3"/>
            </w:pPr>
            <w:r>
              <w:rPr>
                <w:rFonts w:ascii="仿宋_GB2312" w:hAnsi="仿宋_GB2312" w:cs="仿宋_GB2312" w:eastAsia="仿宋_GB2312"/>
              </w:rPr>
              <w:t>并发用户：支持≥1000人同时在线报名/提交/评审。</w:t>
            </w:r>
          </w:p>
          <w:p>
            <w:pPr>
              <w:pStyle w:val="null3"/>
            </w:pPr>
            <w:r>
              <w:rPr>
                <w:rFonts w:ascii="仿宋_GB2312" w:hAnsi="仿宋_GB2312" w:cs="仿宋_GB2312" w:eastAsia="仿宋_GB2312"/>
              </w:rPr>
              <w:t>响应时间：普通请求≤500ms，复杂统计≤2s。</w:t>
            </w:r>
          </w:p>
          <w:p>
            <w:pPr>
              <w:pStyle w:val="null3"/>
            </w:pPr>
            <w:r>
              <w:rPr>
                <w:rFonts w:ascii="仿宋_GB2312" w:hAnsi="仿宋_GB2312" w:cs="仿宋_GB2312" w:eastAsia="仿宋_GB2312"/>
              </w:rPr>
              <w:t>文件处理：支持单文件200MB上传。</w:t>
            </w:r>
          </w:p>
          <w:p>
            <w:pPr>
              <w:pStyle w:val="null3"/>
            </w:pPr>
            <w:r>
              <w:rPr>
                <w:rFonts w:ascii="仿宋_GB2312" w:hAnsi="仿宋_GB2312" w:cs="仿宋_GB2312" w:eastAsia="仿宋_GB2312"/>
              </w:rPr>
              <w:t>18.安全指标</w:t>
            </w:r>
          </w:p>
          <w:p>
            <w:pPr>
              <w:pStyle w:val="null3"/>
            </w:pPr>
            <w:r>
              <w:rPr>
                <w:rFonts w:ascii="仿宋_GB2312" w:hAnsi="仿宋_GB2312" w:cs="仿宋_GB2312" w:eastAsia="仿宋_GB2312"/>
              </w:rPr>
              <w:t>支持统一身份认证对接（CAS/OAuth2）、账号密码+验证码、单点登录。</w:t>
            </w:r>
          </w:p>
          <w:p>
            <w:pPr>
              <w:pStyle w:val="null3"/>
            </w:pPr>
            <w:r>
              <w:rPr>
                <w:rFonts w:ascii="仿宋_GB2312" w:hAnsi="仿宋_GB2312" w:cs="仿宋_GB2312" w:eastAsia="仿宋_GB2312"/>
              </w:rPr>
              <w:t>数据安全：定期自动备份（每日全备+增量）。</w:t>
            </w:r>
          </w:p>
          <w:p>
            <w:pPr>
              <w:pStyle w:val="null3"/>
            </w:pPr>
            <w:r>
              <w:rPr>
                <w:rFonts w:ascii="仿宋_GB2312" w:hAnsi="仿宋_GB2312" w:cs="仿宋_GB2312" w:eastAsia="仿宋_GB2312"/>
              </w:rPr>
              <w:t>评审公平：匿名盲审、IP/设备限制、回避机制，可溯源。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磋商报价是供应商响应磋商项目要求的全部工作内容的价格体现，包括供应商完成本项目所需的直接费用、间接费、利润、税金及其它相关的一切费用，包括但不限于：服务费(含售后)、设备使用费、人员工资、管理费、验收费、社保、取暖费、降温费、保险费、利润和税金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合同签订后6个月内完成所有服务内容。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及行业标准等，以最新和要求较高的为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预付款，协议签订生效后(付款前服务商应出具等值发票交至采购人，采购人以银行转账方式支付)，达到付款条件起30个工作日内，支付合同总金额的40.0%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进度款，项目整体验收通过后(付款前服务商应出具等值发票交至采购人，采购人以银行转账方式支付；其他具体按拟签订采购合同相关条款执行)，达到付款条件起30个工作日内，支付合同总金额的60.0%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1.严格按照《中华人民共和国民法典》相关条款执行。 2.未按合同要求提供服务、服务质量不达标或考核不合格的，按《中华人民共和国政府采购法》有关规定处罚。 3.延迟交付服务或成果的，每逾期1天，乙方向甲方支付合同标的额1‰的违约金；逾期累计30天的，甲方有权单方解除协议，乙方需赔偿甲方由此造成的经济损失。 4.争议解决途径：向有管辖权的法院提起诉讼。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3、提供响应文件递交截止时间前近六个月中至少一个月的纳税证明或完税证明，依法免税的单位应提供相关证明材料；时间以税款所属时期为准 4、提供响应文件递交截止时间前近六个月中至少一个月的社会保障资金缴存单据或社保机构开具的社会保险参保缴费情况证明，依法不需要缴纳社会保障资金的单位应提供相关证明材料。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业绩.docx 服务方案 供应商应提交的相关资格证明材料 标的清单 商务及技术条款偏离表.docx 报价表 拟投入专业人员.docx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商务及技术条款偏离表.docx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教学能力比赛培训与指导实施方案</w:t>
            </w:r>
          </w:p>
        </w:tc>
        <w:tc>
          <w:tcPr>
            <w:tcW w:type="dxa" w:w="2492"/>
          </w:tcPr>
          <w:p>
            <w:pPr>
              <w:pStyle w:val="null3"/>
            </w:pPr>
            <w:r>
              <w:rPr>
                <w:rFonts w:ascii="仿宋_GB2312" w:hAnsi="仿宋_GB2312" w:cs="仿宋_GB2312" w:eastAsia="仿宋_GB2312"/>
              </w:rPr>
              <w:t>供应商根据教学能力比赛培训与指导要求提供详实的实施方案，根据方案的完整性（方案必须全面，对评审内容中的各项要求有详细描述），可实施性（切合本项目实际情况，提出步骤清晰、合理的方案）针对性（方案能紧扣项目实际情况，内容科学合理）评审；每满足一个评审标准得2分，每有一项内容有缺陷扣1分（缺陷指描述有一定错误，与实际需求不匹配，内容粗略等），不满足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专项实施方案</w:t>
            </w:r>
          </w:p>
        </w:tc>
        <w:tc>
          <w:tcPr>
            <w:tcW w:type="dxa" w:w="2492"/>
          </w:tcPr>
          <w:p>
            <w:pPr>
              <w:pStyle w:val="null3"/>
            </w:pPr>
            <w:r>
              <w:rPr>
                <w:rFonts w:ascii="仿宋_GB2312" w:hAnsi="仿宋_GB2312" w:cs="仿宋_GB2312" w:eastAsia="仿宋_GB2312"/>
              </w:rPr>
              <w:t>一、供应商根据本项目的技术要求提供针对三项赛事的专项实施方案，内容包括:①比赛实施方案②专家磨课及指导方案③参赛作品实录及视频制作方案④评审系统及线上线下评审办法方案⑤数字化资源成果转化方案等；根据以下标准评审； 二、评审标准1.完整性：方案必须全面，对评审内容中的各项要求有详细描述；2.可实施性：切合本项目实际情况，提出步骤清晰、合理的方案；3.针对性：方案能紧扣项目实际情况，内容科学合理； 三、赋分标准（满分15分） ①比赛实施方案：每满足一个评审标准得1分，不满足得0分，满分3分； ②专家磨课及指导方案：每满足一个评审标准得1分，不满足得0分，满分3分； ③参赛作品实录及视频制作方案：每满足一个评审标准得1分，不满足得0分，满分3分； ④评审系统使用及线上线下评审办法方案：每满足一个评审标准得1分，不满足得0分，满分3分； ⑤数字化资源成果转化方案：每满足一个评审标准得1分，不满足得0分，满分3分；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供应商根据采购要求，提供针对本项目的应急服务方案，包括但不限于可能发生的风险事件及应急处置方案、人员应急保障、技术应急保障等： （1）方案逻辑层次清晰、时效性强、针对性强，有完善的解决方案得3分； （2）方案逻辑层次较清晰、时效性满足应急要求、较强针对性，有具体的解决方案得2分； （3）方案逻辑层次一般、时效性基本保障应急要求、针对性一般，有解决方案得1分； （4）未提供的不得分。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对项目实施的的进度保证措施进行分析： （1）进度保证措施合理，可操作性强，能够充分保障项目的实施进度，得3分； （2）保证措施基本合理，可操作性一般；能够保障项目的实施进度，得2分； （3）保证措施一般，可操作性差；能够基本保障项目的实施进度，得1分。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针对本项目提供组织架构及职能分工方案： （1）人员职能分工合理、组织架构完善、人员数量满足或优于采购需求的得3分； （2） 人员职能分工较为合理、组织架构较完善，人员数量基本满足采购需求的得2分； （3）人员职能分工基本合理、组织架构不清晰，人员数量勉强满足采购需求的得1分； （4）人员配备情况不满足基本要求的不得分。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在线评审平台建设方案</w:t>
            </w:r>
          </w:p>
        </w:tc>
        <w:tc>
          <w:tcPr>
            <w:tcW w:type="dxa" w:w="2492"/>
          </w:tcPr>
          <w:p>
            <w:pPr>
              <w:pStyle w:val="null3"/>
            </w:pPr>
            <w:r>
              <w:rPr>
                <w:rFonts w:ascii="仿宋_GB2312" w:hAnsi="仿宋_GB2312" w:cs="仿宋_GB2312" w:eastAsia="仿宋_GB2312"/>
              </w:rPr>
              <w:t>一、供应商提供针对本项目在线评审平台建设方案，根据平台方案的①架构及模块搭建方案，②平台安全性保障方案③平台的稳定性保障评审；并按照以下下标准评审： 二、评审标准1.完整性：方案必须全面，对评审内容中的各项要求有详细描述；2.可实施性：切合本项目实际情况，提出步骤清晰、合理的方案；3.针对性：方案能紧扣项目实际情况，内容科学合理； 三、赋分标准（满分9分） ①比架构及模块搭建方案：每满足一个评审标准得1分，不满足得0分，满分3分； ②平台安全性保障方案：每满足一个评审标准得1分，不满足得0分，满分3分； ③平台的稳定性保障评审：每满足一个评审标准得1分，不满足得0分，满分3分；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（1）项目团队人员每有1人具备相关类似项目经验得1分，最多得12分；(合同或课程官网名单或业主证明等资料均可）； （2）项目团队人员中每有1人具备与项目实施相关的技能证书、职称证书、评价证书等，并提供培训证书得2分，最多得6分。 提供团队人员身份证复印件，劳动合同复印件和社保证明，缺少不得分。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专家团队</w:t>
            </w:r>
          </w:p>
        </w:tc>
        <w:tc>
          <w:tcPr>
            <w:tcW w:type="dxa" w:w="2492"/>
          </w:tcPr>
          <w:p>
            <w:pPr>
              <w:pStyle w:val="null3"/>
            </w:pPr>
            <w:r>
              <w:rPr>
                <w:rFonts w:ascii="仿宋_GB2312" w:hAnsi="仿宋_GB2312" w:cs="仿宋_GB2312" w:eastAsia="仿宋_GB2312"/>
              </w:rPr>
              <w:t>专家团队人员中具备副高级及以上职称且具备相关参赛或指导经验（提供相关证明资料），每提供一个专家得2分，最多得10分。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供应商提供完全满足本次课程实录的摄影设备、录音设备、灯光、监听、存储、后期制作设备等，每满足一项得1.5分，最多得9分。 供应商具备完善的驻场录制场地搭建能力得2分； 提供完善合理的搭建方案得2分。 说明：需提供相关设施设备的购入发票以及录制场地购买或租赁发票。不提供不得分。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拟投入设备清单.docx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供应商具有2023年1月1日起至今的类似业绩，业绩以合同扫描(复印)件为依据；每提供1个业绩得2分，最多得10分。 说明：业绩以合同扫描件(复印)件为依据,时间以合同签订时间为准。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 （最低报价不是中标(成交)的唯一依据）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详见附件：拟投入设备清单.docx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详见附件：6.1-西安职业技术学院服务合同(服务)-政府采购.docx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