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版本号：0701-2641SX06001320260721001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西安市中小学教师及校园长学校数字化融合教育、人工智能等信息化能力提升培训项目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0701-2641SX060013</w:t>
      </w:r>
      <w:r>
        <w:br/>
      </w:r>
      <w:r>
        <w:br/>
      </w:r>
      <w:r>
        <w:br/>
      </w:r>
    </w:p>
    <w:p>
      <w:pPr>
        <w:pStyle w:val="null3"/>
        <w:jc w:val="center"/>
        <w:outlineLvl w:val="2"/>
      </w:pPr>
      <w:r>
        <w:rPr>
          <w:rFonts w:ascii="仿宋_GB2312" w:hAnsi="仿宋_GB2312" w:cs="仿宋_GB2312" w:eastAsia="仿宋_GB2312"/>
          <w:sz w:val="28"/>
          <w:b/>
        </w:rPr>
        <w:t>西安市教育局（本级）</w:t>
      </w:r>
    </w:p>
    <w:p>
      <w:pPr>
        <w:pStyle w:val="null3"/>
        <w:jc w:val="center"/>
        <w:outlineLvl w:val="2"/>
      </w:pPr>
      <w:r>
        <w:rPr>
          <w:rFonts w:ascii="仿宋_GB2312" w:hAnsi="仿宋_GB2312" w:cs="仿宋_GB2312" w:eastAsia="仿宋_GB2312"/>
          <w:sz w:val="28"/>
          <w:b/>
        </w:rPr>
        <w:t>中技国际招标有限公司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中技国际招标有限公司</w:t>
      </w:r>
      <w:r>
        <w:rPr>
          <w:rFonts w:ascii="仿宋_GB2312" w:hAnsi="仿宋_GB2312" w:cs="仿宋_GB2312" w:eastAsia="仿宋_GB2312"/>
        </w:rPr>
        <w:t>（以下简称“代理机构”）受</w:t>
      </w:r>
      <w:r>
        <w:rPr>
          <w:rFonts w:ascii="仿宋_GB2312" w:hAnsi="仿宋_GB2312" w:cs="仿宋_GB2312" w:eastAsia="仿宋_GB2312"/>
        </w:rPr>
        <w:t>西安市教育局（本级）</w:t>
      </w:r>
      <w:r>
        <w:rPr>
          <w:rFonts w:ascii="仿宋_GB2312" w:hAnsi="仿宋_GB2312" w:cs="仿宋_GB2312" w:eastAsia="仿宋_GB2312"/>
        </w:rPr>
        <w:t>委托，拟对</w:t>
      </w:r>
      <w:r>
        <w:rPr>
          <w:rFonts w:ascii="仿宋_GB2312" w:hAnsi="仿宋_GB2312" w:cs="仿宋_GB2312" w:eastAsia="仿宋_GB2312"/>
        </w:rPr>
        <w:t>西安市中小学教师及校园长学校数字化融合教育、人工智能等信息化能力提升培训项目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0701-2641SX060013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西安市中小学教师及校园长学校数字化融合教育、人工智能等信息化能力提升培训项目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“推进教育数字化” 被写进党代会报告，明确其为开辟教育发展新赛道、塑造发展新优势的关键突破口。2024 年《教育强国建设规划纲要（2024—2035年）》、2025年教育部《数字化赋能教师发展行动》等文件密集出台，要求以数字素养与智能素养为核心，全面提升教师与校园长信息化能力，推动信息技术与教育教学深度融合。2026年作为“十四五” 收官与“十五五” 谋划的关键节点，教育数字化转型进入深度融合、智能赋能的攻坚阶段，教师与校园长的信息化能力成为决定转型成效的核心变量。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采购包1（西安市中小学教师及校园长学校数字化融合教育、人工智能等信息化能力提升培训项目）：属于专门面向中小企业采购。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授权代表参加磋商的，须出具法定代表人授权委托书（附法定代表人身份证复印件及被授权人身份证复印件）；法定代表人直接参加磋商只需提供法定代表人资格证明书（附法定代表人身份证复印件）。</w:t>
      </w:r>
    </w:p>
    <w:p>
      <w:pPr>
        <w:pStyle w:val="null3"/>
      </w:pPr>
      <w:r>
        <w:rPr>
          <w:rFonts w:ascii="仿宋_GB2312" w:hAnsi="仿宋_GB2312" w:cs="仿宋_GB2312" w:eastAsia="仿宋_GB2312"/>
        </w:rPr>
        <w:t>2、联合体：本项目不接受联合体参与磋商。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西安市教育局（本级）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凤城八路109号市政府6号楼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029-67096592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中技国际招标有限公司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北京市丰台区西营街1号院2区1号楼，2区2号楼，2区3号楼8层801、9层901（1号楼）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李冬、韩峰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19039005157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代理服务费收费标准：参照《国家计委关于印发&lt;招标代理服务收费管理暂行办法&gt;的通知》（计价格[2002]1980号）规定标准收取。 开户名称：中技国际招标有限公司 开户银行：中国银行总行营业部 账号:778350010653 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西安市教育局（本级）</w:t>
      </w:r>
      <w:r>
        <w:rPr>
          <w:rFonts w:ascii="仿宋_GB2312" w:hAnsi="仿宋_GB2312" w:cs="仿宋_GB2312" w:eastAsia="仿宋_GB2312"/>
        </w:rPr>
        <w:t>和</w:t>
      </w:r>
      <w:r>
        <w:rPr>
          <w:rFonts w:ascii="仿宋_GB2312" w:hAnsi="仿宋_GB2312" w:cs="仿宋_GB2312" w:eastAsia="仿宋_GB2312"/>
        </w:rPr>
        <w:t>中技国际招标有限公司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西安市教育局（本级）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中技国际招标有限公司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西安市教育局（本级）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中技国际招标有限公司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1.按照采购人要求，依据现场实际需要，确保西安市中小学教师及校园长学校数字化融合教育、人工智能等信息化能力提升培训项目圆满结束。 2.活动完成后，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中技国际招标有限公司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中技国际招标有限公司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中技国际招标有限公司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联系人：李冬、韩峰</w:t>
      </w:r>
    </w:p>
    <w:p>
      <w:pPr>
        <w:pStyle w:val="null3"/>
      </w:pPr>
      <w:r>
        <w:rPr>
          <w:rFonts w:ascii="仿宋_GB2312" w:hAnsi="仿宋_GB2312" w:cs="仿宋_GB2312" w:eastAsia="仿宋_GB2312"/>
        </w:rPr>
        <w:t>联系电话：19039005157</w:t>
      </w:r>
    </w:p>
    <w:p>
      <w:pPr>
        <w:pStyle w:val="null3"/>
      </w:pPr>
      <w:r>
        <w:rPr>
          <w:rFonts w:ascii="仿宋_GB2312" w:hAnsi="仿宋_GB2312" w:cs="仿宋_GB2312" w:eastAsia="仿宋_GB2312"/>
        </w:rPr>
        <w:t>地址：北京市丰台区西营街1号院2区1号楼，2区2号楼，2区3号楼8层801、9层901（1号楼）</w:t>
      </w:r>
    </w:p>
    <w:p>
      <w:pPr>
        <w:pStyle w:val="null3"/>
      </w:pPr>
      <w:r>
        <w:rPr>
          <w:rFonts w:ascii="仿宋_GB2312" w:hAnsi="仿宋_GB2312" w:cs="仿宋_GB2312" w:eastAsia="仿宋_GB2312"/>
        </w:rPr>
        <w:t>邮编：100071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“推进教育数字化” 被写进党代会报告，明确其为开辟教育发展新赛道、塑造发展新优势的关键突破口。2024 年《教育强国建设规划纲要（2024—2035年）》、2025年教育部《数字化赋能教师发展行动》等文件密集出台，要求以数字素养与智能素养为核心，全面提升教师与校园长信息化能力，推动信息技术与教育教学深度融合。2026年作为“十四五” 收官与“十五五” 谋划的关键节点，教育数字化转型进入深度融合、智能赋能的攻坚阶段，教师与校园长的信息化能力成为决定转型成效的核心变量。</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西安市中小学教师及校园长学校数字化融合教育、人工智能等信息化能力提升培训项目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标的名称：西安市中小学教师及校园长学校数字化融合教育、人工智能等信息化能力提升培训项目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1.培训对象：西安市中小学教师及校园长</w:t>
            </w:r>
          </w:p>
          <w:p>
            <w:pPr>
              <w:pStyle w:val="null3"/>
              <w:ind w:firstLine="420"/>
              <w:jc w:val="both"/>
            </w:pPr>
            <w:r>
              <w:rPr>
                <w:rFonts w:ascii="仿宋_GB2312" w:hAnsi="仿宋_GB2312" w:cs="仿宋_GB2312" w:eastAsia="仿宋_GB2312"/>
                <w:sz w:val="21"/>
              </w:rPr>
              <w:t>2.培训人数：1000人</w:t>
            </w:r>
          </w:p>
          <w:p>
            <w:pPr>
              <w:pStyle w:val="null3"/>
              <w:ind w:firstLine="420"/>
              <w:jc w:val="both"/>
            </w:pPr>
            <w:r>
              <w:rPr>
                <w:rFonts w:ascii="仿宋_GB2312" w:hAnsi="仿宋_GB2312" w:cs="仿宋_GB2312" w:eastAsia="仿宋_GB2312"/>
                <w:sz w:val="21"/>
              </w:rPr>
              <w:t>3.培训周期：3天集中</w:t>
            </w:r>
          </w:p>
          <w:p>
            <w:pPr>
              <w:pStyle w:val="null3"/>
              <w:ind w:firstLine="420"/>
              <w:jc w:val="both"/>
            </w:pPr>
            <w:r>
              <w:rPr>
                <w:rFonts w:ascii="仿宋_GB2312" w:hAnsi="仿宋_GB2312" w:cs="仿宋_GB2312" w:eastAsia="仿宋_GB2312"/>
                <w:sz w:val="21"/>
              </w:rPr>
              <w:t>4.培训内容：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1）中小学教师：教师数字素养通识、信息技术与学科教学深度融合、AI工具赋能备课、授课、作业设计、数字化评价与个性化教学等内容。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2）校园长：学校数字化发展规划编制、校园长信息化领导力建设、人工智能赋能学校管理、区域与校际数字化协同发展等内容。</w:t>
            </w:r>
          </w:p>
          <w:p>
            <w:pPr>
              <w:pStyle w:val="null3"/>
              <w:ind w:firstLine="420"/>
              <w:jc w:val="both"/>
            </w:pPr>
            <w:r>
              <w:rPr>
                <w:rFonts w:ascii="仿宋_GB2312" w:hAnsi="仿宋_GB2312" w:cs="仿宋_GB2312" w:eastAsia="仿宋_GB2312"/>
                <w:sz w:val="21"/>
              </w:rPr>
              <w:t>5.培训方式：本次培训以理论与实践深度融合为核心，采用典型教学案例深度剖析引导中小学教师及校园长借鉴创新，并依托任务驱动的参与式培训强化学科技能转化。通过精准需求分析、分层指导与学科专家匹配，确保资源精准投放与个体能力有效提升。贯穿成果导向，要求学员产出学段学科适配的可展示、可推广成果，最终实现专业素养与教学能力的显著进阶。</w:t>
            </w:r>
          </w:p>
          <w:p>
            <w:pPr>
              <w:pStyle w:val="null3"/>
              <w:jc w:val="both"/>
            </w:pPr>
            <w:r>
              <w:rPr>
                <w:rFonts w:ascii="仿宋_GB2312" w:hAnsi="仿宋_GB2312" w:cs="仿宋_GB2312" w:eastAsia="仿宋_GB2312"/>
                <w:sz w:val="21"/>
              </w:rPr>
              <w:t xml:space="preserve">         6.供应商须提供项目年度培训方案、年度实施计划、专家师资、组织管理保障等信息。</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配备与本项目需求匹配的专家以及有关工作人员，项目组成人员职责分工明确、数量和结构配备合理。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提供的设备能够满足本项目的需求。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自合同签订之日起至本项目履约完毕止。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服务结束后由采购人组织验收。验收依据：磋商文件、磋商响应文件、合同文本、国内相应的标准、规范。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其他，所有培训结束并验收合格后，达到付款条件起10个工作日内，支付合同总金额的100.0%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2）投标人未按合同要求提供服务或服务质量不能满足技术要求，且在规定时间内未使采购人满意的，采购人有权解除合同，同时报请陕西省财政厅政府采购监管部门对其违约行为进行追究。（3）因执行本项目合同所发生的或与本项目合同有关的一切争议,双方应通过友好协商解决。如果协商开始后六十（60）天还不能解决，任何一方均可按中华人民共和国有关法律的规定提交仲裁。仲裁地点为西安仲裁委员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供应商需在项目电子化交易系统中按要求填写《投标函》完成承诺并进行电子签章，同时提供以下各项证明材料： ①供应商具有独立承担民事责任能力的法人或其他组织或自然人，并提供法人或者其他组织合法有效的营业执照等证明文件，事业单位应提供事业单位法人证书，自然人应提供身份证明文件。 ②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 ③提供磋商截止日前一年内任意一个月已缴纳的社会保障资金的证明（社会保障资金缴存单据或社保机构开具的社会保险参保缴费情况证明等）；依法不需要缴纳社会保障资金的供应商应提供相关文件证明。 ④具备履行合同所必需的设备和专业技术能力，提供承诺函。 ⑤参加政府采购活动前3年内，在经营活动中没有重大违法记录，以及未被列入失信被执行人、重大税收违法案件当事人名单、政府采购严重违法失信行为记录名单，提供书面声明。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提供2025年度经审计的供应商财务会计报告（至少包括资产负债表、利润表,成立时间至提交响应文件截止时间不足一年的可提供成立后任意时段的资产负债表），或者提供响应文件截止时间前6个月内银行出具的资信证明，提供复印件），或财政部门认可的政府采购专业担保机构出具的担保函（以上三种任意一项即可）。</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授权代表参加磋商的，须出具法定代表人授权委托书（附法定代表人身份证复印件及被授权人身份证复印件）；法定代表人直接参加磋商只需提供法定代表人资格证明书（附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本项目不接受联合体参与磋商。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完整无缺项，未超过最高限价(单价限价)，无选择性报价。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磋商响应文件的签字盖章合格有效。</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完全理解并响应磋商文件合同条款的要求，且未含有采购人不能接受的附加条件的。</w:t>
            </w:r>
          </w:p>
        </w:tc>
        <w:tc>
          <w:tcPr>
            <w:tcW w:type="dxa" w:w="1661"/>
          </w:tcPr>
          <w:p>
            <w:pPr>
              <w:pStyle w:val="null3"/>
            </w:pPr>
            <w:r>
              <w:rPr>
                <w:rFonts w:ascii="仿宋_GB2312" w:hAnsi="仿宋_GB2312" w:cs="仿宋_GB2312" w:eastAsia="仿宋_GB2312"/>
              </w:rPr>
              <w:t>服务条款偏离表.docx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符合磋商文件的实质性要求</w:t>
            </w:r>
          </w:p>
        </w:tc>
        <w:tc>
          <w:tcPr>
            <w:tcW w:type="dxa" w:w="3322"/>
          </w:tcPr>
          <w:p>
            <w:pPr>
              <w:pStyle w:val="null3"/>
            </w:pPr>
            <w:r>
              <w:rPr>
                <w:rFonts w:ascii="仿宋_GB2312" w:hAnsi="仿宋_GB2312" w:cs="仿宋_GB2312" w:eastAsia="仿宋_GB2312"/>
              </w:rPr>
              <w:t>供应商按照磋商文件要求上传磋商响应文件。</w:t>
            </w:r>
          </w:p>
        </w:tc>
        <w:tc>
          <w:tcPr>
            <w:tcW w:type="dxa" w:w="1661"/>
          </w:tcPr>
          <w:p>
            <w:pPr>
              <w:pStyle w:val="null3"/>
            </w:pPr>
            <w:r>
              <w:rPr>
                <w:rFonts w:ascii="仿宋_GB2312" w:hAnsi="仿宋_GB2312" w:cs="仿宋_GB2312" w:eastAsia="仿宋_GB2312"/>
              </w:rPr>
              <w:t>服务条款偏离表.docx 商务条款偏离表.docx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一、评审内容：提供自2023年1月1日起，截至本项目开标之日的类似业绩（以合同签订时间为准），每提供一个得3分，最高得15分。 二、评审标准：业绩证明材料以磋商响应文件中提供的合同复印件为准，提供合同关键页复印件并加盖供应商公章（合同关键页内容须包含合同签订时间、签订双方名称、主要服务内容、双方盖章页等），否则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一、评审内容：针对本项目的需求理解包括①培训目标分析；②培训对象分层分类精准分析（中小学教师及校园长）；③政策导向及核心需求分析。 二、评审标准：①完整性:方案必须全面，对评审内容中的各项要求有详细描述；②可实施性:切合本项目实际情况，提出步骤清晰、合理的方案；③针对性:方案能够紧扣项目实际情况，内容科学合理。 三、赋分标准：①培训目标分析，每完全满足一项评审标准得1分，满分3分；②培训对象分层分类精准分析，每完全满足一项评审标准得1分，满分3分；③政策导向及核心需求分析，每完全满足一项评审标准得1分，满分3分。 以上内容不提供的不得分。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培训服务方案</w:t>
            </w:r>
          </w:p>
        </w:tc>
        <w:tc>
          <w:tcPr>
            <w:tcW w:type="dxa" w:w="2492"/>
          </w:tcPr>
          <w:p>
            <w:pPr>
              <w:pStyle w:val="null3"/>
            </w:pPr>
            <w:r>
              <w:rPr>
                <w:rFonts w:ascii="仿宋_GB2312" w:hAnsi="仿宋_GB2312" w:cs="仿宋_GB2312" w:eastAsia="仿宋_GB2312"/>
              </w:rPr>
              <w:t>一、评审内容：供应商针对本项目编制完善的培训服务方案，内容包含但不限于：①服务总体设想、目标设置；②服务重难点分析及解决措施（教师数字素养通识、信息技术与学科教学深度融合、AI工具赋能备课、授课、作业设计、数字化评价与个性化教学等内容、学校数字化发展规划编制、校园长信息化领导力建设、人工智能赋能学校管理、区域与校际数字化协同发展等课程设置）；③服务方式多样化（理论与实践深度融合）；④风险缓冲与应急计划。 二、评审标准：①完整性:方案必须全面，对评审内容中的各项要求有详细描述；②可实施性:切合本项目实际情况，提出步骤清晰、合理的方案；③针对性:方案能够紧扣项目实际情况，内容科学合理。 三、赋分标准：①服务总体设想、目标设置，每完全满足一项评审标准得1分，满分3分；②服务重难点分析及解决措施，每完全满足一项评审标准得1分，满分3分；③服务方式多样化，每完全满足一项评审标准得1分，满分3分；④风险缓冲与应急计划，每完全满足一项评审标准得1分，满分3分。 以上内容不提供的不得分。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一、评审内容：针对本项目的实施进度计划方案包括①总体实施计划及安排；②各阶段实施计划（包括训前调研、培训实施、训后总结等）；③内部沟通与相互协调。 二、评审标准：①完整性:方案必须全面，对评审内容中的各项要求有详细描述；②可实施性:切合本项目实际情况，提出步骤清晰、合理的方案；③针对性:方案能够紧扣项目实际情况，内容科学合理。 三、赋分标准：①总体实施计划及安排，每完全满足一项评审标准得1分，满分3分；②各阶段实施计划，每完全满足一项评审标准得1分，满分3分；③内部沟通与相互协调，每完全满足一项评审标准得1分，满分3分。 以上内容不提供的不得分。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一、评审内容：供应商针对本项目编制完善的服务质量保障方案，内容包含但不限于：①培训质量控制方案；②人员配备及组织结构方案；③效果评估与考核质量保障方案。 二、评审标准：①完整性:方案必须全面，对评审内容中的各项要求有详细描述；②可实施性:切合本项目实际情况，提出步骤清晰、合理的方案；③针对性:方案能够紧扣项目实际情况，内容科学合理。 三、赋分标准：①培训质量控制方案，每完全满足一项评审标准得1分，满分3分；②人员配备及组织结构方案，每完全满足一项评审标准得1分，满分3分；③效果评估与考核质量保障方案，每完全满足一项评审标准得1分，满分3分。 以上内容不提供的不得分。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专家团队师资力量</w:t>
            </w:r>
          </w:p>
        </w:tc>
        <w:tc>
          <w:tcPr>
            <w:tcW w:type="dxa" w:w="2492"/>
          </w:tcPr>
          <w:p>
            <w:pPr>
              <w:pStyle w:val="null3"/>
            </w:pPr>
            <w:r>
              <w:rPr>
                <w:rFonts w:ascii="仿宋_GB2312" w:hAnsi="仿宋_GB2312" w:cs="仿宋_GB2312" w:eastAsia="仿宋_GB2312"/>
              </w:rPr>
              <w:t>一、项目负责人（满分10分） （一）具有教育类正高级职称的得4分；具有教育类副高级职称的得3分；具有教育类中级职称的得2分。否则不得分。（提供加盖公章的职称证书复印件） （二）具有类似培训项目项目负责人经验，每有一项得2分，累计得6分。（提供合同或业主证明等其他相关证明材料） 二、项目团队（除项目负责人外）（满分8分） （一）①培训团队人数＞20人得4分；②15人＜培训团队人数≤20人得3分；③10人＜培训团队人数≤15人得2分；④培训团队人数≤10人得1分；⑤未提供的不得分。 （二）①培训团队中正高级职称教师≥5人得4分；②培训团队中正高级职称教师有4人得3分；③培训团队中正高级职称教师有3人得2分；④培训团队中正高级职称教师≤2人得1分；⑤未提供的不得分。（提供加盖公章的职称证书复印件）。</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一、供应商承诺能够提供满足需求且设施设备齐全的培训场地及食宿场地的，得3分。 二、供应商承诺本项目配备的核心人员不得随意更换；若因客观因素确需更换的，须征得采购人同意，得3分。 三、供应商承诺若因人员未到位或消极怠工，导致培训进度及质量受到严重影响，在采购人提出更换相关人员的要求时，能够及时完成更换的，得3分。 四、供应商承诺在项目实施过程中无条件接受采购人监督；若需整改，须在采购人要求的合理时间内及时出具整改方案的，得3分。 五、供应商承诺严格落实档案资料与台账管理的各项规定，确保资料归集齐全、台账记录准确、保管规范安全，且无资料丢失、数据失真等问题的，得3分。 六、供应商承诺严格遵守廉洁从业规定，秉公管理档案台账，不徇私舞弊，自觉接受监督的，得3分。 上述各项须提供承诺函，格式自拟，未提供的不得分。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2007〕2号）的有关规定：价格分采用低价优先法计算，即满足磋商文件要求且磋商报价最低的磋商报价为评审基准价，其价格分为满分。其他供应商的价格分统一按照下列公式计算： 磋商报价得分=（评审基准价/磋商报价）×价格权值×100；计算分数时四舍五入取小数点后两位。 注：评标委员会二分之一以上专家认为某磋商报价有低于成本价嫌疑的，且供应商无法证明其价格合理性的，为无效报价。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详见附件：服务条款偏离表.docx</w:t>
      </w:r>
    </w:p>
    <w:p>
      <w:pPr>
        <w:pStyle w:val="null3"/>
        <w:ind w:firstLine="960"/>
      </w:pPr>
      <w:r>
        <w:rPr>
          <w:rFonts w:ascii="仿宋_GB2312" w:hAnsi="仿宋_GB2312" w:cs="仿宋_GB2312" w:eastAsia="仿宋_GB2312"/>
        </w:rPr>
        <w:t>详见附件：磋商响应方案说明书.docx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详见附件：《西安市中小学教师及校园长学校数字化融合教育、人工智能等信息化能力提升培训项目》合同.docx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