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F3AAF">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75FB17CF">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采购人（以下称“甲方”）：</w:t>
      </w:r>
      <w:r>
        <w:rPr>
          <w:rFonts w:hint="eastAsia" w:ascii="仿宋" w:hAnsi="仿宋" w:eastAsia="仿宋" w:cs="仿宋"/>
          <w:color w:val="auto"/>
          <w:kern w:val="1"/>
          <w:sz w:val="24"/>
          <w:szCs w:val="24"/>
          <w:highlight w:val="none"/>
          <w:u w:val="single"/>
        </w:rPr>
        <w:t xml:space="preserve"> 西安市教育局 </w:t>
      </w:r>
      <w:r>
        <w:rPr>
          <w:rFonts w:hint="eastAsia" w:ascii="仿宋" w:hAnsi="仿宋" w:eastAsia="仿宋" w:cs="仿宋"/>
          <w:color w:val="auto"/>
          <w:kern w:val="1"/>
          <w:sz w:val="24"/>
          <w:szCs w:val="24"/>
          <w:highlight w:val="none"/>
        </w:rPr>
        <w:t xml:space="preserve">                                         </w:t>
      </w:r>
    </w:p>
    <w:p w14:paraId="34040FEE">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西安市凤城八路109号市政府6号楼 </w:t>
      </w:r>
      <w:r>
        <w:rPr>
          <w:rFonts w:hint="eastAsia" w:ascii="仿宋" w:hAnsi="仿宋" w:eastAsia="仿宋" w:cs="仿宋"/>
          <w:color w:val="auto"/>
          <w:kern w:val="1"/>
          <w:sz w:val="24"/>
          <w:szCs w:val="24"/>
          <w:highlight w:val="none"/>
        </w:rPr>
        <w:t xml:space="preserve">                                                            </w:t>
      </w:r>
    </w:p>
    <w:p w14:paraId="379AF1DA">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608754B4">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供应商（以下称“乙方”）：</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4F620DE0">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13BE9D59">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2D0A7DB4">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68" w:firstLineChars="195"/>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根据《中华人民共和国政府采购法》及实施条例、《中华人民共和国民法典》和甲方采购项目</w:t>
      </w:r>
      <w:r>
        <w:rPr>
          <w:rFonts w:hint="eastAsia" w:ascii="仿宋" w:hAnsi="仿宋" w:eastAsia="仿宋" w:cs="仿宋"/>
          <w:color w:val="auto"/>
          <w:kern w:val="1"/>
          <w:sz w:val="24"/>
          <w:szCs w:val="24"/>
          <w:highlight w:val="none"/>
          <w:u w:val="single"/>
          <w:lang w:eastAsia="zh-CN"/>
        </w:rPr>
        <w:t>西安市中小学教师及校园长学校数字化融合教育、人工智能等信息化能力提升培训项目</w:t>
      </w:r>
      <w:r>
        <w:rPr>
          <w:rFonts w:hint="eastAsia" w:ascii="仿宋" w:hAnsi="仿宋" w:eastAsia="仿宋" w:cs="仿宋"/>
          <w:color w:val="auto"/>
          <w:kern w:val="1"/>
          <w:sz w:val="24"/>
          <w:szCs w:val="24"/>
          <w:highlight w:val="none"/>
          <w:u w:val="single"/>
        </w:rPr>
        <w:t>（采购项目编号：</w:t>
      </w:r>
      <w:r>
        <w:rPr>
          <w:rFonts w:hint="eastAsia" w:ascii="仿宋" w:hAnsi="仿宋" w:eastAsia="仿宋" w:cs="仿宋"/>
          <w:color w:val="auto"/>
          <w:kern w:val="1"/>
          <w:sz w:val="24"/>
          <w:szCs w:val="24"/>
          <w:highlight w:val="none"/>
          <w:u w:val="single"/>
          <w:lang w:eastAsia="zh-CN"/>
        </w:rPr>
        <w:t>0701-2641SX060013</w:t>
      </w:r>
      <w:r>
        <w:rPr>
          <w:rFonts w:hint="eastAsia" w:ascii="仿宋" w:hAnsi="仿宋" w:eastAsia="仿宋" w:cs="仿宋"/>
          <w:color w:val="auto"/>
          <w:kern w:val="1"/>
          <w:sz w:val="24"/>
          <w:szCs w:val="24"/>
          <w:highlight w:val="none"/>
          <w:u w:val="single"/>
        </w:rPr>
        <w:t>）</w:t>
      </w:r>
      <w:r>
        <w:rPr>
          <w:rFonts w:hint="eastAsia" w:ascii="仿宋" w:hAnsi="仿宋" w:eastAsia="仿宋" w:cs="仿宋"/>
          <w:color w:val="auto"/>
          <w:kern w:val="1"/>
          <w:sz w:val="24"/>
          <w:szCs w:val="24"/>
          <w:highlight w:val="none"/>
        </w:rPr>
        <w:t>的竞争性磋商文件、乙方递交的响应文件等有关规定，为确保甲方采购项目的顺利实施，甲、乙双方在平等自愿原则下签订本合同，并共同遵守如下条款：</w:t>
      </w:r>
    </w:p>
    <w:p w14:paraId="53785007">
      <w:pPr>
        <w:widowControl/>
        <w:numPr>
          <w:ilvl w:val="0"/>
          <w:numId w:val="1"/>
        </w:numPr>
        <w:shd w:val="clear"/>
        <w:tabs>
          <w:tab w:val="left" w:pos="1379"/>
        </w:tabs>
        <w:kinsoku w:val="0"/>
        <w:autoSpaceDE w:val="0"/>
        <w:autoSpaceDN w:val="0"/>
        <w:adjustRightInd w:val="0"/>
        <w:snapToGrid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0" w:name="_Toc11456"/>
      <w:bookmarkStart w:id="1" w:name="_Toc8233"/>
      <w:bookmarkStart w:id="2" w:name="_Toc5167"/>
      <w:r>
        <w:rPr>
          <w:rFonts w:hint="eastAsia" w:ascii="仿宋" w:hAnsi="仿宋" w:eastAsia="仿宋" w:cs="仿宋"/>
          <w:b/>
          <w:snapToGrid w:val="0"/>
          <w:color w:val="auto"/>
          <w:kern w:val="0"/>
          <w:sz w:val="24"/>
          <w:szCs w:val="24"/>
          <w:highlight w:val="none"/>
        </w:rPr>
        <w:t>合同采购内容</w:t>
      </w:r>
      <w:bookmarkEnd w:id="0"/>
      <w:bookmarkEnd w:id="1"/>
      <w:bookmarkEnd w:id="2"/>
    </w:p>
    <w:tbl>
      <w:tblPr>
        <w:tblStyle w:val="8"/>
        <w:tblW w:w="9888" w:type="dxa"/>
        <w:tblInd w:w="-154" w:type="dxa"/>
        <w:tblLayout w:type="fixed"/>
        <w:tblCellMar>
          <w:top w:w="0" w:type="dxa"/>
          <w:left w:w="0" w:type="dxa"/>
          <w:bottom w:w="0" w:type="dxa"/>
          <w:right w:w="0" w:type="dxa"/>
        </w:tblCellMar>
      </w:tblPr>
      <w:tblGrid>
        <w:gridCol w:w="887"/>
        <w:gridCol w:w="1320"/>
        <w:gridCol w:w="1920"/>
        <w:gridCol w:w="771"/>
        <w:gridCol w:w="885"/>
        <w:gridCol w:w="1604"/>
        <w:gridCol w:w="1258"/>
        <w:gridCol w:w="1243"/>
      </w:tblGrid>
      <w:tr w14:paraId="5D2857AF">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AA33525">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1E60F878">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6D7F35B">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3915AB69">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0DA7BA9">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采购</w:t>
            </w:r>
          </w:p>
          <w:p w14:paraId="4C940086">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DE11FE7">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3075105">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计量</w:t>
            </w:r>
          </w:p>
          <w:p w14:paraId="4FCF9580">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单位</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FC30302">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服务范围</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B22417E">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单价</w:t>
            </w:r>
          </w:p>
          <w:p w14:paraId="5C47DFB4">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A053191">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总金额（元）</w:t>
            </w:r>
          </w:p>
        </w:tc>
      </w:tr>
      <w:tr w14:paraId="550F03A4">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D68139A">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C02060000</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5B3BD16">
            <w:pPr>
              <w:widowControl/>
              <w:shd w:val="clear"/>
              <w:wordWrap w:val="0"/>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F08BDFA">
            <w:pPr>
              <w:widowControl/>
              <w:shd w:val="clear"/>
              <w:wordWrap w:val="0"/>
              <w:jc w:val="center"/>
              <w:textAlignment w:val="center"/>
              <w:rPr>
                <w:rFonts w:hint="eastAsia" w:ascii="仿宋" w:hAnsi="仿宋" w:eastAsia="仿宋" w:cs="仿宋"/>
                <w:snapToGrid w:val="0"/>
                <w:color w:val="auto"/>
                <w:kern w:val="0"/>
                <w:sz w:val="24"/>
                <w:szCs w:val="24"/>
                <w:highlight w:val="none"/>
                <w:lang w:eastAsia="zh-CN"/>
              </w:rPr>
            </w:pPr>
            <w:r>
              <w:rPr>
                <w:rFonts w:hint="eastAsia" w:ascii="仿宋" w:hAnsi="仿宋" w:eastAsia="仿宋" w:cs="仿宋"/>
                <w:snapToGrid w:val="0"/>
                <w:color w:val="auto"/>
                <w:kern w:val="0"/>
                <w:sz w:val="24"/>
                <w:szCs w:val="24"/>
                <w:highlight w:val="none"/>
                <w:lang w:eastAsia="zh-CN"/>
              </w:rPr>
              <w:t>西安市中小学教师及校园长学校数字化融合教育、人工智能等信息化能力提升培训项目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665B37C">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F93E4AE">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项</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7DCE72D">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详见招标文件</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0878BA2">
            <w:pPr>
              <w:widowControl/>
              <w:shd w:val="clear"/>
              <w:spacing w:line="360" w:lineRule="auto"/>
              <w:jc w:val="right"/>
              <w:textAlignment w:val="center"/>
              <w:rPr>
                <w:rFonts w:hint="eastAsia" w:ascii="仿宋" w:hAnsi="仿宋" w:eastAsia="仿宋" w:cs="仿宋"/>
                <w:snapToGrid w:val="0"/>
                <w:color w:val="auto"/>
                <w:kern w:val="0"/>
                <w:sz w:val="24"/>
                <w:szCs w:val="24"/>
                <w:highlight w:val="none"/>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368B599">
            <w:pPr>
              <w:widowControl/>
              <w:shd w:val="clear"/>
              <w:spacing w:line="360" w:lineRule="auto"/>
              <w:jc w:val="right"/>
              <w:textAlignment w:val="center"/>
              <w:rPr>
                <w:rFonts w:hint="eastAsia" w:ascii="仿宋" w:hAnsi="仿宋" w:eastAsia="仿宋" w:cs="仿宋"/>
                <w:snapToGrid w:val="0"/>
                <w:color w:val="auto"/>
                <w:kern w:val="0"/>
                <w:sz w:val="24"/>
                <w:szCs w:val="24"/>
                <w:highlight w:val="none"/>
                <w:shd w:val="clear" w:color="auto" w:fill="FFFFFF"/>
              </w:rPr>
            </w:pPr>
          </w:p>
        </w:tc>
      </w:tr>
    </w:tbl>
    <w:p w14:paraId="15258CD7">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lang w:bidi="zh-CN"/>
        </w:rPr>
      </w:pPr>
      <w:r>
        <w:rPr>
          <w:rFonts w:hint="eastAsia" w:ascii="仿宋" w:hAnsi="仿宋" w:eastAsia="仿宋" w:cs="仿宋"/>
          <w:snapToGrid w:val="0"/>
          <w:color w:val="auto"/>
          <w:kern w:val="0"/>
          <w:sz w:val="24"/>
          <w:szCs w:val="24"/>
          <w:highlight w:val="none"/>
          <w:lang w:bidi="zh-CN"/>
        </w:rPr>
        <w:t>合计金额人民币（大写）：</w:t>
      </w:r>
      <w:r>
        <w:rPr>
          <w:rFonts w:hint="eastAsia" w:ascii="仿宋" w:hAnsi="仿宋" w:eastAsia="仿宋" w:cs="仿宋"/>
          <w:snapToGrid w:val="0"/>
          <w:color w:val="auto"/>
          <w:kern w:val="0"/>
          <w:sz w:val="24"/>
          <w:szCs w:val="24"/>
          <w:highlight w:val="none"/>
          <w:u w:val="single"/>
          <w:lang w:bidi="zh-CN"/>
        </w:rPr>
        <w:t xml:space="preserve">               </w:t>
      </w:r>
      <w:r>
        <w:rPr>
          <w:rFonts w:hint="eastAsia" w:ascii="仿宋" w:hAnsi="仿宋" w:eastAsia="仿宋" w:cs="仿宋"/>
          <w:snapToGrid w:val="0"/>
          <w:color w:val="auto"/>
          <w:kern w:val="0"/>
          <w:sz w:val="24"/>
          <w:szCs w:val="24"/>
          <w:highlight w:val="none"/>
          <w:lang w:bidi="zh-CN"/>
        </w:rPr>
        <w:t xml:space="preserve"> </w:t>
      </w:r>
    </w:p>
    <w:p w14:paraId="6694F20D">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3" w:name="_Toc1852"/>
      <w:bookmarkStart w:id="4" w:name="_Toc22213"/>
      <w:bookmarkStart w:id="5" w:name="_Toc30510"/>
      <w:r>
        <w:rPr>
          <w:rFonts w:hint="eastAsia" w:ascii="仿宋" w:hAnsi="仿宋" w:eastAsia="仿宋" w:cs="仿宋"/>
          <w:b/>
          <w:snapToGrid w:val="0"/>
          <w:color w:val="auto"/>
          <w:kern w:val="0"/>
          <w:sz w:val="24"/>
          <w:szCs w:val="24"/>
          <w:highlight w:val="none"/>
        </w:rPr>
        <w:t>第二条 合同价款</w:t>
      </w:r>
      <w:bookmarkEnd w:id="3"/>
      <w:bookmarkEnd w:id="4"/>
      <w:bookmarkEnd w:id="5"/>
    </w:p>
    <w:p w14:paraId="48D0ADBC">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1.合同总价款为人民币</w:t>
      </w:r>
      <w:r>
        <w:rPr>
          <w:rFonts w:hint="eastAsia" w:ascii="仿宋" w:hAnsi="仿宋" w:eastAsia="仿宋" w:cs="仿宋"/>
          <w:color w:val="auto"/>
          <w:kern w:val="1"/>
          <w:sz w:val="24"/>
          <w:szCs w:val="24"/>
          <w:highlight w:val="none"/>
          <w:u w:val="single"/>
        </w:rPr>
        <w:t>（大写）：               ，</w:t>
      </w:r>
      <w:r>
        <w:rPr>
          <w:rFonts w:hint="eastAsia" w:ascii="仿宋" w:hAnsi="仿宋" w:eastAsia="仿宋" w:cs="仿宋"/>
          <w:color w:val="auto"/>
          <w:kern w:val="1"/>
          <w:sz w:val="24"/>
          <w:szCs w:val="24"/>
          <w:highlight w:val="none"/>
          <w:u w:val="single"/>
          <w:lang w:val="en-US" w:eastAsia="zh-CN"/>
        </w:rPr>
        <w:t>¥</w:t>
      </w:r>
      <w:r>
        <w:rPr>
          <w:rFonts w:hint="eastAsia" w:ascii="仿宋" w:hAnsi="仿宋" w:eastAsia="仿宋" w:cs="仿宋"/>
          <w:color w:val="auto"/>
          <w:kern w:val="1"/>
          <w:sz w:val="24"/>
          <w:szCs w:val="24"/>
          <w:highlight w:val="none"/>
          <w:u w:val="single"/>
        </w:rPr>
        <w:t xml:space="preserve">              </w:t>
      </w:r>
    </w:p>
    <w:p w14:paraId="223B6153">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u w:val="single"/>
        </w:rPr>
      </w:pPr>
      <w:r>
        <w:rPr>
          <w:rFonts w:hint="eastAsia" w:ascii="仿宋" w:hAnsi="仿宋" w:eastAsia="仿宋" w:cs="仿宋"/>
          <w:color w:val="auto"/>
          <w:kern w:val="1"/>
          <w:sz w:val="24"/>
          <w:szCs w:val="24"/>
          <w:highlight w:val="none"/>
        </w:rPr>
        <w:t>2.本项目合同总价款由以下组成：</w:t>
      </w:r>
      <w:r>
        <w:rPr>
          <w:rFonts w:hint="eastAsia" w:ascii="仿宋" w:hAnsi="仿宋" w:eastAsia="仿宋" w:cs="仿宋"/>
          <w:color w:val="auto"/>
          <w:kern w:val="1"/>
          <w:sz w:val="24"/>
          <w:szCs w:val="24"/>
          <w:highlight w:val="none"/>
          <w:u w:val="single"/>
        </w:rPr>
        <w:t xml:space="preserve">                    </w:t>
      </w:r>
    </w:p>
    <w:p w14:paraId="26B9730C">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3.甲方无须另向乙方支付本合同规定之外的其他任何费用</w:t>
      </w:r>
    </w:p>
    <w:p w14:paraId="7F7BD0B9">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4.履约保证金：不涉及</w:t>
      </w:r>
    </w:p>
    <w:p w14:paraId="59AA7EA1">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6" w:name="_Toc24914"/>
      <w:bookmarkStart w:id="7" w:name="_Toc4425"/>
      <w:bookmarkStart w:id="8" w:name="_Toc7270"/>
      <w:r>
        <w:rPr>
          <w:rFonts w:hint="eastAsia" w:ascii="仿宋" w:hAnsi="仿宋" w:eastAsia="仿宋" w:cs="仿宋"/>
          <w:b/>
          <w:snapToGrid w:val="0"/>
          <w:color w:val="auto"/>
          <w:kern w:val="0"/>
          <w:sz w:val="24"/>
          <w:szCs w:val="24"/>
          <w:highlight w:val="none"/>
        </w:rPr>
        <w:t>第三条  付款方式、时间及条件</w:t>
      </w:r>
      <w:bookmarkEnd w:id="6"/>
      <w:bookmarkEnd w:id="7"/>
      <w:bookmarkEnd w:id="8"/>
    </w:p>
    <w:p w14:paraId="1753195B">
      <w:pPr>
        <w:shd w:val="clear"/>
        <w:bidi w:val="0"/>
        <w:rPr>
          <w:rFonts w:hint="eastAsia" w:ascii="仿宋" w:hAnsi="仿宋" w:eastAsia="仿宋" w:cs="仿宋"/>
          <w:color w:val="auto"/>
          <w:highlight w:val="none"/>
        </w:rPr>
      </w:pPr>
      <w:bookmarkStart w:id="9" w:name="_Toc20131"/>
      <w:bookmarkStart w:id="10" w:name="_Toc32672"/>
      <w:r>
        <w:rPr>
          <w:rFonts w:hint="eastAsia" w:ascii="仿宋" w:hAnsi="仿宋" w:eastAsia="仿宋" w:cs="仿宋"/>
          <w:color w:val="auto"/>
          <w:highlight w:val="none"/>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u w:val="single"/>
          <w:lang w:val="en-US" w:eastAsia="zh-CN"/>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highlight w:val="none"/>
        </w:rPr>
        <w:t xml:space="preserve">       </w:t>
      </w:r>
      <w:bookmarkEnd w:id="9"/>
    </w:p>
    <w:p w14:paraId="319CACCC">
      <w:pPr>
        <w:shd w:val="clear"/>
        <w:tabs>
          <w:tab w:val="left" w:pos="1379"/>
        </w:tabs>
        <w:autoSpaceDE w:val="0"/>
        <w:autoSpaceDN w:val="0"/>
        <w:spacing w:line="360" w:lineRule="auto"/>
        <w:ind w:firstLine="482" w:firstLineChars="200"/>
        <w:jc w:val="left"/>
        <w:outlineLvl w:val="1"/>
        <w:rPr>
          <w:rFonts w:hint="eastAsia" w:ascii="仿宋" w:hAnsi="仿宋" w:eastAsia="仿宋" w:cs="仿宋"/>
          <w:b/>
          <w:snapToGrid w:val="0"/>
          <w:color w:val="auto"/>
          <w:kern w:val="0"/>
          <w:sz w:val="24"/>
          <w:szCs w:val="24"/>
          <w:highlight w:val="none"/>
        </w:rPr>
      </w:pPr>
      <w:bookmarkStart w:id="11" w:name="_Toc12363"/>
      <w:bookmarkStart w:id="12" w:name="_Toc25381"/>
      <w:r>
        <w:rPr>
          <w:rFonts w:hint="eastAsia" w:ascii="仿宋" w:hAnsi="仿宋" w:eastAsia="仿宋" w:cs="仿宋"/>
          <w:b/>
          <w:snapToGrid w:val="0"/>
          <w:color w:val="auto"/>
          <w:kern w:val="0"/>
          <w:sz w:val="24"/>
          <w:szCs w:val="24"/>
          <w:highlight w:val="none"/>
        </w:rPr>
        <w:t>第四条 交付时间、地点、方式</w:t>
      </w:r>
      <w:bookmarkEnd w:id="10"/>
      <w:bookmarkEnd w:id="11"/>
      <w:bookmarkEnd w:id="12"/>
    </w:p>
    <w:p w14:paraId="41B8220F">
      <w:pPr>
        <w:shd w:val="clea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rPr>
      </w:pPr>
      <w:bookmarkStart w:id="13" w:name="_Toc232492928"/>
      <w:bookmarkStart w:id="14" w:name="_Toc283019214"/>
      <w:bookmarkStart w:id="15" w:name="_Toc238984975"/>
      <w:bookmarkStart w:id="16" w:name="_Toc225654644"/>
      <w:bookmarkStart w:id="17" w:name="_Toc225244852"/>
      <w:bookmarkStart w:id="18" w:name="_Toc211911348"/>
      <w:bookmarkStart w:id="19" w:name="_Toc286993786"/>
      <w:bookmarkStart w:id="20" w:name="_Toc237145406"/>
      <w:bookmarkStart w:id="21" w:name="_Toc247334841"/>
      <w:bookmarkStart w:id="22" w:name="_Toc185395249"/>
      <w:bookmarkStart w:id="23" w:name="_Toc211854449"/>
      <w:bookmarkStart w:id="24" w:name="_Toc239233914"/>
      <w:bookmarkStart w:id="25" w:name="_Toc241833903"/>
      <w:bookmarkStart w:id="26" w:name="_Toc225670751"/>
      <w:bookmarkStart w:id="27" w:name="_Toc212019594"/>
      <w:bookmarkStart w:id="28" w:name="_Toc239568418"/>
      <w:bookmarkStart w:id="29" w:name="_Toc251768862"/>
      <w:bookmarkStart w:id="30" w:name="_Toc282696226"/>
      <w:r>
        <w:rPr>
          <w:rFonts w:hint="eastAsia" w:ascii="仿宋" w:hAnsi="仿宋" w:eastAsia="仿宋" w:cs="仿宋"/>
          <w:snapToGrid w:val="0"/>
          <w:color w:val="auto"/>
          <w:kern w:val="0"/>
          <w:sz w:val="24"/>
          <w:szCs w:val="24"/>
          <w:highlight w:val="none"/>
        </w:rPr>
        <w:t>1.交付时间：</w:t>
      </w:r>
      <w:r>
        <w:rPr>
          <w:rFonts w:hint="eastAsia" w:ascii="仿宋" w:hAnsi="仿宋" w:eastAsia="仿宋" w:cs="仿宋"/>
          <w:snapToGrid w:val="0"/>
          <w:color w:val="auto"/>
          <w:kern w:val="0"/>
          <w:sz w:val="24"/>
          <w:szCs w:val="24"/>
          <w:highlight w:val="none"/>
          <w:u w:val="single"/>
        </w:rPr>
        <w:t xml:space="preserve">                                       </w:t>
      </w:r>
    </w:p>
    <w:p w14:paraId="58F77C4B">
      <w:pPr>
        <w:shd w:val="clea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2.交付地点：</w:t>
      </w:r>
      <w:r>
        <w:rPr>
          <w:rFonts w:hint="eastAsia" w:ascii="仿宋" w:hAnsi="仿宋" w:eastAsia="仿宋" w:cs="仿宋"/>
          <w:snapToGrid w:val="0"/>
          <w:color w:val="auto"/>
          <w:kern w:val="0"/>
          <w:sz w:val="24"/>
          <w:szCs w:val="24"/>
          <w:highlight w:val="none"/>
          <w:u w:val="single"/>
        </w:rPr>
        <w:t xml:space="preserve">                                       </w:t>
      </w:r>
    </w:p>
    <w:p w14:paraId="51A6575E">
      <w:pPr>
        <w:shd w:val="clea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3.交付条件：</w:t>
      </w:r>
      <w:r>
        <w:rPr>
          <w:rFonts w:hint="eastAsia" w:ascii="仿宋" w:hAnsi="仿宋" w:eastAsia="仿宋" w:cs="仿宋"/>
          <w:snapToGrid w:val="0"/>
          <w:color w:val="auto"/>
          <w:kern w:val="0"/>
          <w:sz w:val="24"/>
          <w:szCs w:val="24"/>
          <w:highlight w:val="none"/>
          <w:u w:val="single"/>
          <w:lang w:val="zh-CN" w:bidi="zh-CN"/>
        </w:rPr>
        <w:t xml:space="preserve">                    </w:t>
      </w:r>
      <w:r>
        <w:rPr>
          <w:rFonts w:hint="eastAsia" w:ascii="仿宋" w:hAnsi="仿宋" w:eastAsia="仿宋" w:cs="仿宋"/>
          <w:snapToGrid w:val="0"/>
          <w:color w:val="auto"/>
          <w:kern w:val="0"/>
          <w:sz w:val="24"/>
          <w:szCs w:val="24"/>
          <w:highlight w:val="none"/>
          <w:u w:val="single"/>
          <w:lang w:bidi="zh-CN"/>
        </w:rPr>
        <w:t xml:space="preserve">                   </w:t>
      </w:r>
    </w:p>
    <w:p w14:paraId="741EC6E4">
      <w:pPr>
        <w:shd w:val="clea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甲方联系人：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257DCB45">
      <w:pPr>
        <w:shd w:val="clear"/>
        <w:autoSpaceDE w:val="0"/>
        <w:autoSpaceDN w:val="0"/>
        <w:spacing w:line="360" w:lineRule="auto"/>
        <w:ind w:firstLine="480" w:firstLineChars="200"/>
        <w:jc w:val="left"/>
        <w:rPr>
          <w:rFonts w:hint="eastAsia" w:ascii="仿宋" w:hAnsi="仿宋" w:eastAsia="仿宋" w:cs="仿宋"/>
          <w:b/>
          <w:snapToGrid w:val="0"/>
          <w:color w:val="auto"/>
          <w:kern w:val="0"/>
          <w:sz w:val="24"/>
          <w:szCs w:val="24"/>
          <w:highlight w:val="none"/>
          <w:lang w:val="zh-CN" w:bidi="zh-CN"/>
        </w:rPr>
      </w:pPr>
      <w:r>
        <w:rPr>
          <w:rFonts w:hint="eastAsia" w:ascii="仿宋" w:hAnsi="仿宋" w:eastAsia="仿宋" w:cs="仿宋"/>
          <w:snapToGrid w:val="0"/>
          <w:color w:val="auto"/>
          <w:kern w:val="0"/>
          <w:sz w:val="24"/>
          <w:szCs w:val="24"/>
          <w:highlight w:val="none"/>
          <w:lang w:bidi="zh-CN"/>
        </w:rPr>
        <w:t>乙方联系人：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62800177">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31" w:name="_Toc7716"/>
      <w:bookmarkStart w:id="32" w:name="_Toc7708"/>
      <w:bookmarkStart w:id="33" w:name="_Toc28705"/>
      <w:r>
        <w:rPr>
          <w:rFonts w:hint="eastAsia" w:ascii="仿宋" w:hAnsi="仿宋" w:eastAsia="仿宋" w:cs="仿宋"/>
          <w:b/>
          <w:snapToGrid w:val="0"/>
          <w:color w:val="auto"/>
          <w:kern w:val="0"/>
          <w:sz w:val="24"/>
          <w:szCs w:val="24"/>
          <w:highlight w:val="none"/>
        </w:rPr>
        <w:t>第五条 质量保证及售后服务</w:t>
      </w:r>
      <w:bookmarkEnd w:id="31"/>
      <w:bookmarkEnd w:id="32"/>
      <w:bookmarkEnd w:id="33"/>
    </w:p>
    <w:p w14:paraId="00163B5B">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质量保证：乙方应保证所提供的服务，符合甲方的要求。如不符时，乙方应负全责并尽快处理解决，由此造成的损失和相关费用由乙方负责，甲方保留终止合同及索赔的权利。</w:t>
      </w:r>
    </w:p>
    <w:p w14:paraId="2BC32EE6">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售后服务：</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w:t>
      </w:r>
    </w:p>
    <w:p w14:paraId="312BA33B">
      <w:pPr>
        <w:widowControl/>
        <w:numPr>
          <w:ilvl w:val="0"/>
          <w:numId w:val="2"/>
        </w:numPr>
        <w:pBdr>
          <w:top w:val="none" w:color="000000" w:sz="0" w:space="3"/>
          <w:left w:val="none" w:color="000000" w:sz="0" w:space="3"/>
          <w:bottom w:val="none" w:color="000000" w:sz="0" w:space="3"/>
          <w:right w:val="none" w:color="000000" w:sz="0" w:space="3"/>
          <w:between w:val="none" w:color="000000" w:sz="0" w:space="0"/>
        </w:pBdr>
        <w:shd w:val="clear"/>
        <w:kinsoku w:val="0"/>
        <w:autoSpaceDE w:val="0"/>
        <w:autoSpaceDN w:val="0"/>
        <w:adjustRightInd w:val="0"/>
        <w:snapToGrid w:val="0"/>
        <w:spacing w:line="360" w:lineRule="auto"/>
        <w:ind w:firstLine="482" w:firstLineChars="200"/>
        <w:jc w:val="left"/>
        <w:textAlignment w:val="baseline"/>
        <w:outlineLvl w:val="1"/>
        <w:rPr>
          <w:rFonts w:hint="eastAsia" w:ascii="仿宋" w:hAnsi="仿宋" w:eastAsia="仿宋" w:cs="仿宋"/>
          <w:b/>
          <w:color w:val="auto"/>
          <w:kern w:val="1"/>
          <w:sz w:val="24"/>
          <w:szCs w:val="24"/>
          <w:highlight w:val="none"/>
        </w:rPr>
      </w:pPr>
      <w:r>
        <w:rPr>
          <w:rFonts w:hint="eastAsia" w:ascii="仿宋" w:hAnsi="仿宋" w:eastAsia="仿宋" w:cs="仿宋"/>
          <w:b/>
          <w:color w:val="auto"/>
          <w:kern w:val="1"/>
          <w:sz w:val="24"/>
          <w:szCs w:val="24"/>
          <w:highlight w:val="none"/>
        </w:rPr>
        <w:t xml:space="preserve"> </w:t>
      </w:r>
      <w:bookmarkStart w:id="34" w:name="_Toc22318"/>
      <w:bookmarkStart w:id="35" w:name="_Toc27776"/>
      <w:bookmarkStart w:id="36" w:name="_Toc31612"/>
      <w:r>
        <w:rPr>
          <w:rFonts w:hint="eastAsia" w:ascii="仿宋" w:hAnsi="仿宋" w:eastAsia="仿宋" w:cs="仿宋"/>
          <w:b/>
          <w:color w:val="auto"/>
          <w:kern w:val="1"/>
          <w:sz w:val="24"/>
          <w:szCs w:val="24"/>
          <w:highlight w:val="none"/>
        </w:rPr>
        <w:t>验收</w:t>
      </w:r>
      <w:bookmarkEnd w:id="34"/>
      <w:bookmarkEnd w:id="35"/>
      <w:bookmarkEnd w:id="36"/>
    </w:p>
    <w:p w14:paraId="6A2BA667">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bCs/>
          <w:color w:val="auto"/>
          <w:kern w:val="1"/>
          <w:sz w:val="24"/>
          <w:szCs w:val="24"/>
          <w:highlight w:val="none"/>
          <w:u w:val="single"/>
        </w:rPr>
      </w:pPr>
      <w:r>
        <w:rPr>
          <w:rFonts w:hint="eastAsia" w:ascii="仿宋" w:hAnsi="仿宋" w:eastAsia="仿宋" w:cs="仿宋"/>
          <w:bCs/>
          <w:color w:val="auto"/>
          <w:kern w:val="1"/>
          <w:sz w:val="24"/>
          <w:szCs w:val="24"/>
          <w:highlight w:val="none"/>
          <w:u w:val="single"/>
        </w:rPr>
        <w:t>乙方完成服务后应及时通知甲方进行验收。验收合格的，甲方在验收合格单上签字；验收不合格的，乙方应当在7日内进行返工或调整，并重新提交甲方验收。同一交付成果连续【两次】验收仍不合格，甲方有权单方解除合同，并要求乙方承担本合同第十条约定的违约责任。</w:t>
      </w:r>
    </w:p>
    <w:p w14:paraId="63A941F5">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2" w:firstLineChars="200"/>
        <w:outlineLvl w:val="1"/>
        <w:rPr>
          <w:rFonts w:hint="eastAsia" w:ascii="仿宋" w:hAnsi="仿宋" w:eastAsia="仿宋" w:cs="仿宋"/>
          <w:b/>
          <w:color w:val="auto"/>
          <w:kern w:val="1"/>
          <w:sz w:val="24"/>
          <w:szCs w:val="24"/>
          <w:highlight w:val="none"/>
        </w:rPr>
      </w:pPr>
      <w:bookmarkStart w:id="37" w:name="_Toc19571"/>
      <w:bookmarkStart w:id="38" w:name="_Toc13257"/>
      <w:bookmarkStart w:id="39" w:name="_Toc2361"/>
      <w:r>
        <w:rPr>
          <w:rFonts w:hint="eastAsia" w:ascii="仿宋" w:hAnsi="仿宋" w:eastAsia="仿宋" w:cs="仿宋"/>
          <w:b/>
          <w:color w:val="auto"/>
          <w:kern w:val="1"/>
          <w:sz w:val="24"/>
          <w:szCs w:val="24"/>
          <w:highlight w:val="none"/>
        </w:rPr>
        <w:t>第七条  无产权瑕疵条款</w:t>
      </w:r>
      <w:bookmarkEnd w:id="37"/>
      <w:bookmarkEnd w:id="38"/>
      <w:bookmarkEnd w:id="39"/>
    </w:p>
    <w:p w14:paraId="00C67788">
      <w:pPr>
        <w:widowControl/>
        <w:shd w:val="clear"/>
        <w:tabs>
          <w:tab w:val="left" w:pos="144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乙方保证所提供的服务的所有权完全属于乙方且无任何抵押、查封等产权瑕疵。如有产权瑕疵的，视为乙方违约。乙方应负担由此而产生的一切损失。</w:t>
      </w:r>
    </w:p>
    <w:p w14:paraId="09D5C421">
      <w:pPr>
        <w:widowControl/>
        <w:shd w:val="clear"/>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0" w:name="_Toc12634"/>
      <w:bookmarkStart w:id="41" w:name="_Toc30074"/>
      <w:bookmarkStart w:id="42" w:name="_Toc24422"/>
      <w:r>
        <w:rPr>
          <w:rFonts w:hint="eastAsia" w:ascii="仿宋" w:hAnsi="仿宋" w:eastAsia="仿宋" w:cs="仿宋"/>
          <w:b/>
          <w:snapToGrid w:val="0"/>
          <w:color w:val="auto"/>
          <w:kern w:val="0"/>
          <w:sz w:val="24"/>
          <w:szCs w:val="24"/>
          <w:highlight w:val="none"/>
        </w:rPr>
        <w:t>第八条  甲方的权利和义务</w:t>
      </w:r>
      <w:bookmarkEnd w:id="40"/>
      <w:bookmarkEnd w:id="41"/>
      <w:bookmarkEnd w:id="42"/>
    </w:p>
    <w:p w14:paraId="793946B0">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E826A4C">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2.甲方有权依据双方签订的考评办法对乙方提供的服务进行定期考评。当考评结果未达到标准时，有权依据考评办法约定的数额扣除履约保证金。</w:t>
      </w:r>
    </w:p>
    <w:p w14:paraId="4B5EA263">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3.负责检查监督乙方管理工作的实施及制度的执行情况。</w:t>
      </w:r>
    </w:p>
    <w:p w14:paraId="0DD8A082">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4.根据本合同规定，按时向乙方支付应付服务费用。</w:t>
      </w:r>
    </w:p>
    <w:p w14:paraId="200E759D">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5.国家法律、法规所规定由甲方承担的其它责任。</w:t>
      </w:r>
    </w:p>
    <w:p w14:paraId="25451FE8">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3" w:name="_Toc19623"/>
      <w:bookmarkStart w:id="44" w:name="_Toc7436"/>
      <w:r>
        <w:rPr>
          <w:rFonts w:hint="eastAsia" w:ascii="仿宋" w:hAnsi="仿宋" w:eastAsia="仿宋" w:cs="仿宋"/>
          <w:b/>
          <w:snapToGrid w:val="0"/>
          <w:color w:val="auto"/>
          <w:kern w:val="0"/>
          <w:sz w:val="24"/>
          <w:szCs w:val="24"/>
          <w:highlight w:val="none"/>
        </w:rPr>
        <w:t>第九条  乙方的权利和义务</w:t>
      </w:r>
      <w:bookmarkEnd w:id="43"/>
      <w:bookmarkEnd w:id="44"/>
    </w:p>
    <w:p w14:paraId="0013F5B5">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1.对本合同规定的委托服务范围内的项目享有管理权及服务义务。</w:t>
      </w:r>
    </w:p>
    <w:p w14:paraId="6ACDF95E">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2.根据本合同的规定向甲方收取相关服务费用，并有权在本项目管理范围内管理及合理使用。</w:t>
      </w:r>
    </w:p>
    <w:p w14:paraId="4C11D250">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3.及时向甲方通告本项目服务范围内有关服务的重大事项，及时配合处理投诉。</w:t>
      </w:r>
    </w:p>
    <w:p w14:paraId="37CD4680">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w:t>
      </w:r>
      <w:r>
        <w:rPr>
          <w:rFonts w:hint="eastAsia" w:ascii="仿宋" w:hAnsi="仿宋" w:eastAsia="仿宋" w:cs="仿宋"/>
          <w:bCs/>
          <w:snapToGrid w:val="0"/>
          <w:color w:val="auto"/>
          <w:kern w:val="0"/>
          <w:sz w:val="24"/>
          <w:szCs w:val="24"/>
          <w:highlight w:val="none"/>
        </w:rPr>
        <w:t>接受项目行业管理部门及政府有关部门的指导，接受甲方的监督。</w:t>
      </w:r>
    </w:p>
    <w:p w14:paraId="58FE267B">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5.国家法律、法规所规定由乙方承担的其它责任。</w:t>
      </w:r>
    </w:p>
    <w:p w14:paraId="4B3A44E5">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5" w:name="_Toc29819"/>
      <w:bookmarkStart w:id="46" w:name="_Toc18131"/>
      <w:bookmarkStart w:id="47" w:name="_Toc11196"/>
      <w:r>
        <w:rPr>
          <w:rFonts w:hint="eastAsia" w:ascii="仿宋" w:hAnsi="仿宋" w:eastAsia="仿宋" w:cs="仿宋"/>
          <w:b/>
          <w:snapToGrid w:val="0"/>
          <w:color w:val="auto"/>
          <w:kern w:val="0"/>
          <w:sz w:val="24"/>
          <w:szCs w:val="24"/>
          <w:highlight w:val="none"/>
        </w:rPr>
        <w:t>第十条  违约责任</w:t>
      </w:r>
      <w:bookmarkEnd w:id="45"/>
      <w:bookmarkEnd w:id="46"/>
      <w:bookmarkEnd w:id="47"/>
    </w:p>
    <w:p w14:paraId="5DC9619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1.甲乙双方必须遵守本合同并执行合同中的各项规定，保证本合同的正常履行。</w:t>
      </w:r>
    </w:p>
    <w:p w14:paraId="462307FE">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w:t>
      </w:r>
    </w:p>
    <w:p w14:paraId="1D48498E">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3. 若乙方未能按合同约定的时间交付任何交付成果或完成服务，每逾期一日，应向甲方支付合同总价款【千分之三】的违约金，逾期超过【15】日的，甲方有权单方解除合同。</w:t>
      </w:r>
    </w:p>
    <w:p w14:paraId="3C46147D">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4.若乙方交付的服务或成果存在质量缺陷，经甲方指出后未能按第六条规定按时整改合格的，甲方有权根据问题严重程度，扣减相应部分合同价款，并要求乙方支付合同总价款【10%】的违约金。</w:t>
      </w:r>
    </w:p>
    <w:p w14:paraId="1C4BD3A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5. 甲方根据本合同约定或法律规定选择解除合同的，自解除合同的书面通知送达乙方之日起合同解除。甲方有权要求乙方退还已支付的全部款项，支付本合同约定的全部违约金，并赔偿甲方因此遭受的全部损失（包括但不限于另寻第三方产生的额外费用、维权支出的律师费、诉讼费等）。</w:t>
      </w:r>
    </w:p>
    <w:p w14:paraId="723D842D">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8" w:name="_Toc29882"/>
      <w:bookmarkStart w:id="49" w:name="_Toc30563"/>
      <w:bookmarkStart w:id="50" w:name="_Toc20912"/>
      <w:r>
        <w:rPr>
          <w:rFonts w:hint="eastAsia" w:ascii="仿宋" w:hAnsi="仿宋" w:eastAsia="仿宋" w:cs="仿宋"/>
          <w:b/>
          <w:snapToGrid w:val="0"/>
          <w:color w:val="auto"/>
          <w:kern w:val="0"/>
          <w:sz w:val="24"/>
          <w:szCs w:val="24"/>
          <w:highlight w:val="none"/>
        </w:rPr>
        <w:t>第十一条  知识产权</w:t>
      </w:r>
    </w:p>
    <w:p w14:paraId="6D9628A1">
      <w:pPr>
        <w:widowControl/>
        <w:shd w:val="clear"/>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rPr>
        <w:t>1</w:t>
      </w:r>
      <w:r>
        <w:rPr>
          <w:rFonts w:hint="eastAsia" w:ascii="仿宋" w:hAnsi="仿宋" w:eastAsia="仿宋" w:cs="仿宋"/>
          <w:b w:val="0"/>
          <w:bCs/>
          <w:snapToGrid w:val="0"/>
          <w:color w:val="auto"/>
          <w:kern w:val="0"/>
          <w:sz w:val="24"/>
          <w:szCs w:val="24"/>
          <w:highlight w:val="none"/>
          <w:lang w:eastAsia="zh-CN"/>
        </w:rPr>
        <w:t>.</w:t>
      </w:r>
      <w:r>
        <w:rPr>
          <w:rFonts w:hint="eastAsia" w:ascii="仿宋" w:hAnsi="仿宋" w:eastAsia="仿宋" w:cs="仿宋"/>
          <w:b w:val="0"/>
          <w:bCs/>
          <w:snapToGrid w:val="0"/>
          <w:color w:val="auto"/>
          <w:kern w:val="0"/>
          <w:sz w:val="24"/>
          <w:szCs w:val="24"/>
          <w:highlight w:val="none"/>
          <w:lang w:val="en-US" w:eastAsia="zh-CN"/>
        </w:rPr>
        <w:t xml:space="preserve"> </w:t>
      </w:r>
      <w:r>
        <w:rPr>
          <w:rFonts w:hint="eastAsia" w:ascii="仿宋" w:hAnsi="仿宋" w:eastAsia="仿宋" w:cs="仿宋"/>
          <w:b w:val="0"/>
          <w:bCs/>
          <w:snapToGrid w:val="0"/>
          <w:color w:val="auto"/>
          <w:kern w:val="0"/>
          <w:sz w:val="24"/>
          <w:szCs w:val="24"/>
          <w:highlight w:val="none"/>
        </w:rPr>
        <w:t>乙方为履行本合同所产生的所有工作成果，包括但不限于评价标准、技术文件、数据分析、评价报告、培训材料等（以下简称“工作成果”），其全部知识产权（包括著作权、专利申请权、技术秘密等）自该工作成果产生之日起，即独家且永久地归属于甲方所有。</w:t>
      </w:r>
    </w:p>
    <w:p w14:paraId="61ABAE71">
      <w:pPr>
        <w:widowControl/>
        <w:shd w:val="clear"/>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lang w:val="en-US" w:eastAsia="zh-CN"/>
        </w:rPr>
        <w:t>2.</w:t>
      </w:r>
      <w:r>
        <w:rPr>
          <w:rFonts w:hint="eastAsia" w:ascii="仿宋" w:hAnsi="仿宋" w:eastAsia="仿宋" w:cs="仿宋"/>
          <w:b w:val="0"/>
          <w:bCs/>
          <w:snapToGrid w:val="0"/>
          <w:color w:val="auto"/>
          <w:kern w:val="0"/>
          <w:sz w:val="24"/>
          <w:szCs w:val="24"/>
          <w:highlight w:val="none"/>
        </w:rPr>
        <w:t xml:space="preserve"> 乙方有义务协助甲方办理相关知识产权的登记、申请等手续。乙方仅可在为本项目履行之目的范围内使用上述工作成果，未经甲方书面许可，不得向任何第三方披露、许可或转让。</w:t>
      </w:r>
    </w:p>
    <w:p w14:paraId="3ECF17E6">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r>
        <w:rPr>
          <w:rFonts w:hint="eastAsia" w:ascii="仿宋" w:hAnsi="仿宋" w:eastAsia="仿宋" w:cs="仿宋"/>
          <w:b/>
          <w:snapToGrid w:val="0"/>
          <w:color w:val="auto"/>
          <w:kern w:val="0"/>
          <w:sz w:val="24"/>
          <w:szCs w:val="24"/>
          <w:highlight w:val="none"/>
          <w:lang w:val="en-US" w:eastAsia="zh-CN"/>
        </w:rPr>
        <w:t xml:space="preserve">第十二条  </w:t>
      </w:r>
      <w:r>
        <w:rPr>
          <w:rFonts w:hint="eastAsia" w:ascii="仿宋" w:hAnsi="仿宋" w:eastAsia="仿宋" w:cs="仿宋"/>
          <w:b/>
          <w:snapToGrid w:val="0"/>
          <w:color w:val="auto"/>
          <w:kern w:val="0"/>
          <w:sz w:val="24"/>
          <w:szCs w:val="24"/>
          <w:highlight w:val="none"/>
        </w:rPr>
        <w:t>不可抗力事件处理</w:t>
      </w:r>
      <w:bookmarkEnd w:id="48"/>
      <w:bookmarkEnd w:id="49"/>
      <w:bookmarkEnd w:id="50"/>
    </w:p>
    <w:p w14:paraId="3B0EEF26">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1.在合同有效期内，任何一方因不可抗力事件导致不能履行合同，则合同履行期可延长，其延长期与不可抗力影响期相同。</w:t>
      </w:r>
    </w:p>
    <w:p w14:paraId="24B66F6B">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2.不可抗力事件发生后，应立即通知对方，并寄送有关权威机构出具的证明。</w:t>
      </w:r>
    </w:p>
    <w:p w14:paraId="514B1258">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3.不可抗力事件延续30天以上，双方应通过友好协商，确定是否继续履行合同。</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A72D35D">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51" w:name="_Toc362"/>
      <w:bookmarkStart w:id="52" w:name="_Toc13911"/>
      <w:bookmarkStart w:id="53" w:name="_Toc830"/>
      <w:bookmarkStart w:id="54" w:name="_Toc225654649"/>
      <w:bookmarkStart w:id="55" w:name="_Toc232492933"/>
      <w:bookmarkStart w:id="56" w:name="_Toc211854454"/>
      <w:bookmarkStart w:id="57" w:name="_Toc211911353"/>
      <w:bookmarkStart w:id="58" w:name="_Toc241833908"/>
      <w:bookmarkStart w:id="59" w:name="_Toc239233919"/>
      <w:bookmarkStart w:id="60" w:name="_Toc237145411"/>
      <w:bookmarkStart w:id="61" w:name="_Toc286993792"/>
      <w:bookmarkStart w:id="62" w:name="_Toc225244857"/>
      <w:bookmarkStart w:id="63" w:name="_Toc212019599"/>
      <w:bookmarkStart w:id="64" w:name="_Toc185395254"/>
      <w:bookmarkStart w:id="65" w:name="_Toc225670756"/>
      <w:bookmarkStart w:id="66" w:name="_Toc247334846"/>
      <w:bookmarkStart w:id="67" w:name="_Toc239568423"/>
      <w:bookmarkStart w:id="68" w:name="_Toc238984980"/>
      <w:bookmarkStart w:id="69" w:name="_Toc251768867"/>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三</w:t>
      </w:r>
      <w:r>
        <w:rPr>
          <w:rFonts w:hint="eastAsia" w:ascii="仿宋" w:hAnsi="仿宋" w:eastAsia="仿宋" w:cs="仿宋"/>
          <w:b/>
          <w:snapToGrid w:val="0"/>
          <w:color w:val="auto"/>
          <w:kern w:val="0"/>
          <w:sz w:val="24"/>
          <w:szCs w:val="24"/>
          <w:highlight w:val="none"/>
        </w:rPr>
        <w:t>条  合同的变更和终止</w:t>
      </w:r>
      <w:bookmarkEnd w:id="51"/>
      <w:bookmarkEnd w:id="52"/>
      <w:bookmarkEnd w:id="53"/>
    </w:p>
    <w:p w14:paraId="184A4BE5">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除《中华人民共和国政府采购法》第49条、第50条第二款规定的情形外，本合同一经签订，甲乙双方不得擅自变更、中止或终止合同。</w:t>
      </w:r>
    </w:p>
    <w:p w14:paraId="17402B86">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70" w:name="_Toc317"/>
      <w:bookmarkStart w:id="71" w:name="_Toc5821"/>
      <w:bookmarkStart w:id="72" w:name="_Toc25935"/>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四</w:t>
      </w:r>
      <w:r>
        <w:rPr>
          <w:rFonts w:hint="eastAsia" w:ascii="仿宋" w:hAnsi="仿宋" w:eastAsia="仿宋" w:cs="仿宋"/>
          <w:b/>
          <w:snapToGrid w:val="0"/>
          <w:color w:val="auto"/>
          <w:kern w:val="0"/>
          <w:sz w:val="24"/>
          <w:szCs w:val="24"/>
          <w:highlight w:val="none"/>
        </w:rPr>
        <w:t xml:space="preserve">条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hint="eastAsia" w:ascii="仿宋" w:hAnsi="仿宋" w:eastAsia="仿宋" w:cs="仿宋"/>
          <w:b/>
          <w:snapToGrid w:val="0"/>
          <w:color w:val="auto"/>
          <w:kern w:val="0"/>
          <w:sz w:val="24"/>
          <w:szCs w:val="24"/>
          <w:highlight w:val="none"/>
        </w:rPr>
        <w:t>争议解决条款</w:t>
      </w:r>
      <w:bookmarkEnd w:id="70"/>
      <w:bookmarkEnd w:id="71"/>
      <w:bookmarkEnd w:id="72"/>
    </w:p>
    <w:p w14:paraId="6F4D9A38">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在执行本合同中发生的或与本合同有关的争端，双方应通过友好协商解决，经协商在7天内不能达成协议时，则采取：向甲方所在地有管辖权的人民法院提起诉讼；</w:t>
      </w:r>
    </w:p>
    <w:p w14:paraId="07615EFF">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73" w:name="_Toc225670757"/>
      <w:bookmarkStart w:id="74" w:name="_Toc225654650"/>
      <w:bookmarkStart w:id="75" w:name="_Toc232492934"/>
      <w:bookmarkStart w:id="76" w:name="_Toc211911354"/>
      <w:bookmarkStart w:id="77" w:name="_Toc251768868"/>
      <w:bookmarkStart w:id="78" w:name="_Toc185395255"/>
      <w:bookmarkStart w:id="79" w:name="_Toc241833909"/>
      <w:bookmarkStart w:id="80" w:name="_Toc239233920"/>
      <w:bookmarkStart w:id="81" w:name="_Toc238984981"/>
      <w:bookmarkStart w:id="82" w:name="_Toc282696231"/>
      <w:bookmarkStart w:id="83" w:name="_Toc247334847"/>
      <w:bookmarkStart w:id="84" w:name="_Toc237145412"/>
      <w:bookmarkStart w:id="85" w:name="_Toc212019600"/>
      <w:bookmarkStart w:id="86" w:name="_Toc239568424"/>
      <w:bookmarkStart w:id="87" w:name="_Toc225244858"/>
      <w:bookmarkStart w:id="88" w:name="_Toc283019219"/>
      <w:bookmarkStart w:id="89" w:name="_Toc286993793"/>
      <w:bookmarkStart w:id="90" w:name="_Toc211854455"/>
      <w:bookmarkStart w:id="91" w:name="_Toc29710"/>
      <w:bookmarkStart w:id="92" w:name="_Toc6377"/>
      <w:bookmarkStart w:id="93" w:name="_Toc233"/>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五</w:t>
      </w:r>
      <w:r>
        <w:rPr>
          <w:rFonts w:hint="eastAsia" w:ascii="仿宋" w:hAnsi="仿宋" w:eastAsia="仿宋" w:cs="仿宋"/>
          <w:b/>
          <w:snapToGrid w:val="0"/>
          <w:color w:val="auto"/>
          <w:kern w:val="0"/>
          <w:sz w:val="24"/>
          <w:szCs w:val="24"/>
          <w:highlight w:val="none"/>
        </w:rPr>
        <w:t>条  合同</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hint="eastAsia" w:ascii="仿宋" w:hAnsi="仿宋" w:eastAsia="仿宋" w:cs="仿宋"/>
          <w:b/>
          <w:snapToGrid w:val="0"/>
          <w:color w:val="auto"/>
          <w:kern w:val="0"/>
          <w:sz w:val="24"/>
          <w:szCs w:val="24"/>
          <w:highlight w:val="none"/>
        </w:rPr>
        <w:t>生效及其他</w:t>
      </w:r>
      <w:bookmarkEnd w:id="91"/>
      <w:bookmarkEnd w:id="92"/>
      <w:bookmarkEnd w:id="93"/>
    </w:p>
    <w:p w14:paraId="35E645AB">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1.合同经双方法定代表人或授权委托代理人签字并加盖单位公章后生效。</w:t>
      </w:r>
    </w:p>
    <w:p w14:paraId="509F42FE">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BCC19BB">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3.本合同一式</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份，自双方签章之日起起效。甲方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份，乙方</w:t>
      </w:r>
      <w:r>
        <w:rPr>
          <w:rFonts w:hint="eastAsia" w:ascii="仿宋" w:hAnsi="仿宋" w:eastAsia="仿宋" w:cs="仿宋"/>
          <w:i/>
          <w:iCs/>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份，具有同等法律效力。</w:t>
      </w:r>
    </w:p>
    <w:p w14:paraId="10C6F530">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94" w:name="_Toc22754"/>
      <w:bookmarkStart w:id="95" w:name="_Toc15608"/>
      <w:bookmarkStart w:id="96" w:name="_Toc28847"/>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六</w:t>
      </w:r>
      <w:r>
        <w:rPr>
          <w:rFonts w:hint="eastAsia" w:ascii="仿宋" w:hAnsi="仿宋" w:eastAsia="仿宋" w:cs="仿宋"/>
          <w:b/>
          <w:snapToGrid w:val="0"/>
          <w:color w:val="auto"/>
          <w:kern w:val="0"/>
          <w:sz w:val="24"/>
          <w:szCs w:val="24"/>
          <w:highlight w:val="none"/>
        </w:rPr>
        <w:t>条  附件</w:t>
      </w:r>
      <w:bookmarkEnd w:id="94"/>
      <w:bookmarkEnd w:id="95"/>
      <w:bookmarkEnd w:id="96"/>
    </w:p>
    <w:p w14:paraId="7543AA12">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1.项目竞争性磋商文件</w:t>
      </w:r>
    </w:p>
    <w:p w14:paraId="65DBED4B">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2.项目修改澄清文件（若有）</w:t>
      </w:r>
    </w:p>
    <w:p w14:paraId="0820F414">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3.项目响应文件</w:t>
      </w:r>
    </w:p>
    <w:p w14:paraId="3765E741">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4.成交通知书</w:t>
      </w:r>
    </w:p>
    <w:p w14:paraId="5034BBEF">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5.其他</w:t>
      </w:r>
    </w:p>
    <w:p w14:paraId="3111909A">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15AFCD83">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3ECBFC33">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0CCCA006">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甲     方：（公章）   </w:t>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 xml:space="preserve">     乙    方：   （公章）</w:t>
      </w:r>
    </w:p>
    <w:p w14:paraId="1FE761E7">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法定代表人（委托代理人）：          法定代表人（委托代理人）：</w:t>
      </w:r>
    </w:p>
    <w:p w14:paraId="0A480D4A">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地    址：                          地    址：</w:t>
      </w:r>
    </w:p>
    <w:p w14:paraId="45AD5A09">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开户银行：                          开户银行：</w:t>
      </w:r>
    </w:p>
    <w:p w14:paraId="2EE82E7B">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账号名称：                          账号名称：</w:t>
      </w:r>
    </w:p>
    <w:p w14:paraId="16E744F1">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    号：                          账    号：</w:t>
      </w:r>
    </w:p>
    <w:p w14:paraId="2B5BC87C">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纳税人识别号：                      纳税人识别号：</w:t>
      </w:r>
    </w:p>
    <w:p w14:paraId="1AC16141">
      <w:pPr>
        <w:widowControl/>
        <w:shd w:val="clear"/>
        <w:kinsoku w:val="0"/>
        <w:autoSpaceDE w:val="0"/>
        <w:autoSpaceDN w:val="0"/>
        <w:adjustRightInd w:val="0"/>
        <w:snapToGrid w:val="0"/>
        <w:spacing w:line="360" w:lineRule="auto"/>
        <w:ind w:firstLine="240" w:firstLineChars="1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  电    话：                          电    话：</w:t>
      </w:r>
    </w:p>
    <w:p w14:paraId="599EBB07">
      <w:pPr>
        <w:widowControl/>
        <w:shd w:val="clear"/>
        <w:kinsoku w:val="0"/>
        <w:autoSpaceDE w:val="0"/>
        <w:autoSpaceDN w:val="0"/>
        <w:adjustRightInd w:val="0"/>
        <w:snapToGrid w:val="0"/>
        <w:spacing w:after="120" w:line="360" w:lineRule="auto"/>
        <w:ind w:firstLine="480" w:firstLineChars="200"/>
        <w:jc w:val="left"/>
        <w:textAlignment w:val="baseline"/>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日    期：    年  月  日 </w:t>
      </w:r>
      <w:r>
        <w:rPr>
          <w:rFonts w:hint="eastAsia" w:ascii="仿宋" w:hAnsi="仿宋" w:eastAsia="仿宋" w:cs="仿宋"/>
          <w:snapToGrid w:val="0"/>
          <w:color w:val="auto"/>
          <w:sz w:val="24"/>
          <w:szCs w:val="24"/>
          <w:highlight w:val="none"/>
        </w:rPr>
        <w:tab/>
      </w:r>
      <w:r>
        <w:rPr>
          <w:rFonts w:hint="eastAsia" w:ascii="仿宋" w:hAnsi="仿宋" w:eastAsia="仿宋" w:cs="仿宋"/>
          <w:snapToGrid w:val="0"/>
          <w:color w:val="auto"/>
          <w:sz w:val="24"/>
          <w:szCs w:val="24"/>
          <w:highlight w:val="none"/>
        </w:rPr>
        <w:t xml:space="preserve">        日    期：  年  月  日</w:t>
      </w:r>
    </w:p>
    <w:p w14:paraId="314F0375">
      <w:pPr>
        <w:widowControl/>
        <w:shd w:val="clear"/>
        <w:spacing w:line="360" w:lineRule="auto"/>
        <w:ind w:firstLine="480" w:firstLineChars="200"/>
        <w:jc w:val="left"/>
        <w:rPr>
          <w:rFonts w:hint="eastAsia" w:ascii="仿宋" w:hAnsi="仿宋" w:eastAsia="仿宋" w:cs="仿宋"/>
          <w:color w:val="auto"/>
          <w:kern w:val="0"/>
          <w:sz w:val="24"/>
          <w:szCs w:val="24"/>
          <w:highlight w:val="none"/>
          <w:lang w:eastAsia="zh-Hans"/>
        </w:rPr>
      </w:pPr>
    </w:p>
    <w:p w14:paraId="2713C8DA">
      <w:bookmarkStart w:id="97" w:name="_GoBack"/>
      <w:bookmarkEnd w:id="97"/>
    </w:p>
    <w:sectPr>
      <w:pgSz w:w="11906" w:h="16838"/>
      <w:pgMar w:top="1440" w:right="1440" w:bottom="1440" w:left="144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C44E5"/>
    <w:rsid w:val="006140F3"/>
    <w:rsid w:val="0DD060F5"/>
    <w:rsid w:val="23192B3F"/>
    <w:rsid w:val="34DC1CDF"/>
    <w:rsid w:val="39DD3AE3"/>
    <w:rsid w:val="411462D3"/>
    <w:rsid w:val="62F35BD2"/>
    <w:rsid w:val="6BBC44E5"/>
    <w:rsid w:val="7B1649F5"/>
    <w:rsid w:val="7B663F22"/>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4">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5">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6">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next w:val="3"/>
    <w:qFormat/>
    <w:uiPriority w:val="0"/>
    <w:pPr>
      <w:spacing w:line="520" w:lineRule="exact"/>
      <w:ind w:firstLine="640" w:firstLineChars="200"/>
    </w:pPr>
  </w:style>
  <w:style w:type="paragraph" w:styleId="3">
    <w:name w:val="Body Text"/>
    <w:basedOn w:val="1"/>
    <w:next w:val="1"/>
    <w:qFormat/>
    <w:uiPriority w:val="0"/>
    <w:pPr>
      <w:spacing w:before="0" w:after="140" w:line="276" w:lineRule="auto"/>
    </w:p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2456</Words>
  <Characters>2529</Characters>
  <Lines>0</Lines>
  <Paragraphs>0</Paragraphs>
  <TotalTime>0</TotalTime>
  <ScaleCrop>false</ScaleCrop>
  <LinksUpToDate>false</LinksUpToDate>
  <CharactersWithSpaces>3547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2025-11-26T07:24:00Z</dcterms:created>
  <dc:creator>CL</dc:creator>
  <cp:lastModifiedBy>CL</cp:lastModifiedBy>
  <dcterms:modified xsi:type="dcterms:W3CDTF">2026-07-21T03:25:06Z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DABF1CCF01D044A08205CB06EE6C1CD3_11</vt:lpwstr>
  </property>
  <property fmtid="{D5CDD505-2E9C-101B-9397-08002B2CF9AE}" pid="4" name="KSOTemplateDocerSaveRecord">
    <vt:lpwstr>eyJoZGlkIjoiNmRmMTljNGYxMGI1MWU1YzE0NmZmODE3MjAwNjliZTgiLCJ1c2VySWQiOiI5OTA3NTIwNzAifQ==</vt:lpwstr>
  </property>
</Properties>
</file>