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8A18C">
      <w:pPr>
        <w:pStyle w:val="3"/>
        <w:keepNext w:val="0"/>
        <w:keepLines w:val="0"/>
        <w:rPr>
          <w:rFonts w:hint="eastAsia" w:ascii="宋体" w:hAnsi="宋体"/>
          <w:b w:val="0"/>
          <w:sz w:val="32"/>
          <w:szCs w:val="32"/>
        </w:rPr>
      </w:pPr>
      <w:r>
        <w:rPr>
          <w:rFonts w:hint="eastAsia" w:ascii="宋体" w:hAnsi="宋体"/>
          <w:sz w:val="32"/>
          <w:szCs w:val="32"/>
        </w:rPr>
        <w:t>技术参数及要求</w:t>
      </w:r>
    </w:p>
    <w:p w14:paraId="03839388">
      <w:pPr>
        <w:spacing w:line="360" w:lineRule="auto"/>
        <w:rPr>
          <w:rFonts w:hint="eastAsia" w:ascii="宋体" w:hAnsi="宋体" w:cs="宋体"/>
          <w:b/>
          <w:bCs/>
          <w:sz w:val="24"/>
        </w:rPr>
      </w:pPr>
      <w:r>
        <w:rPr>
          <w:rFonts w:hint="eastAsia" w:ascii="宋体" w:hAnsi="宋体" w:cs="宋体"/>
          <w:b/>
          <w:bCs/>
          <w:sz w:val="24"/>
        </w:rPr>
        <w:t>标包1：2026年教育考试院存储系统维保服务及技术支持</w:t>
      </w:r>
    </w:p>
    <w:p w14:paraId="477BD43E">
      <w:pPr>
        <w:widowControl/>
        <w:numPr>
          <w:ilvl w:val="0"/>
          <w:numId w:val="1"/>
        </w:numPr>
        <w:spacing w:before="60" w:after="60" w:line="360" w:lineRule="auto"/>
        <w:ind w:right="60"/>
        <w:jc w:val="left"/>
        <w:rPr>
          <w:rFonts w:hint="eastAsia" w:ascii="宋体" w:hAnsi="宋体" w:cs="宋体"/>
          <w:b/>
          <w:bCs/>
          <w:kern w:val="0"/>
          <w:sz w:val="24"/>
        </w:rPr>
      </w:pPr>
      <w:bookmarkStart w:id="0" w:name="_Toc493755836"/>
      <w:bookmarkStart w:id="1" w:name="_Toc493755734"/>
      <w:r>
        <w:rPr>
          <w:rFonts w:hint="eastAsia" w:ascii="宋体" w:hAnsi="宋体" w:cs="宋体"/>
          <w:b/>
          <w:bCs/>
          <w:kern w:val="0"/>
          <w:sz w:val="24"/>
        </w:rPr>
        <w:t>服务需求</w:t>
      </w:r>
      <w:bookmarkEnd w:id="0"/>
      <w:bookmarkEnd w:id="1"/>
    </w:p>
    <w:p w14:paraId="0F8E2C40">
      <w:pPr>
        <w:widowControl/>
        <w:spacing w:before="60" w:after="60" w:line="360" w:lineRule="auto"/>
        <w:ind w:right="60" w:firstLine="480" w:firstLineChars="200"/>
        <w:jc w:val="left"/>
        <w:rPr>
          <w:rFonts w:hint="eastAsia" w:ascii="宋体" w:hAnsi="宋体" w:cs="宋体"/>
          <w:sz w:val="24"/>
        </w:rPr>
      </w:pPr>
      <w:r>
        <w:rPr>
          <w:rFonts w:hint="eastAsia" w:ascii="宋体" w:hAnsi="宋体" w:cs="宋体"/>
          <w:sz w:val="24"/>
        </w:rPr>
        <w:t>提供7*24电话响应服务，服务响应时间小于三十分钟，到达现场时间要求4小时以内。</w:t>
      </w:r>
    </w:p>
    <w:p w14:paraId="2A4A681B">
      <w:pPr>
        <w:widowControl/>
        <w:spacing w:before="60" w:after="60" w:line="360" w:lineRule="auto"/>
        <w:ind w:right="60"/>
        <w:jc w:val="left"/>
        <w:rPr>
          <w:rFonts w:hint="eastAsia" w:ascii="宋体" w:hAnsi="宋体" w:cs="宋体"/>
          <w:b/>
          <w:bCs/>
          <w:kern w:val="0"/>
          <w:sz w:val="24"/>
        </w:rPr>
      </w:pPr>
      <w:bookmarkStart w:id="2" w:name="_Toc493755837"/>
      <w:bookmarkStart w:id="3" w:name="_Toc493755735"/>
      <w:r>
        <w:rPr>
          <w:rFonts w:hint="eastAsia" w:ascii="宋体" w:hAnsi="宋体" w:cs="宋体"/>
          <w:b/>
          <w:bCs/>
          <w:kern w:val="0"/>
          <w:sz w:val="24"/>
        </w:rPr>
        <w:t>2、备件需求</w:t>
      </w:r>
      <w:bookmarkEnd w:id="2"/>
      <w:bookmarkEnd w:id="3"/>
    </w:p>
    <w:p w14:paraId="6CA618CE">
      <w:pPr>
        <w:widowControl/>
        <w:wordWrap w:val="0"/>
        <w:autoSpaceDE w:val="0"/>
        <w:autoSpaceDN w:val="0"/>
        <w:adjustRightInd w:val="0"/>
        <w:snapToGrid w:val="0"/>
        <w:spacing w:line="360" w:lineRule="auto"/>
        <w:ind w:firstLine="480" w:firstLineChars="200"/>
        <w:textAlignment w:val="baseline"/>
        <w:rPr>
          <w:rFonts w:hint="eastAsia" w:ascii="宋体" w:hAnsi="宋体" w:cs="宋体"/>
          <w:sz w:val="24"/>
        </w:rPr>
      </w:pPr>
      <w:r>
        <w:rPr>
          <w:rFonts w:hint="eastAsia" w:ascii="宋体" w:hAnsi="宋体" w:cs="宋体"/>
          <w:sz w:val="24"/>
        </w:rPr>
        <w:t>供应商必须承诺为本项目中的所有设备提供满足服务</w:t>
      </w:r>
      <w:bookmarkStart w:id="22" w:name="_GoBack"/>
      <w:bookmarkEnd w:id="22"/>
      <w:r>
        <w:rPr>
          <w:rFonts w:hint="eastAsia" w:ascii="宋体" w:hAnsi="宋体" w:cs="宋体"/>
          <w:sz w:val="24"/>
        </w:rPr>
        <w:t>期限的备品备件，且保证备品备件必须是来自于设备原厂商的产品。备件提供原厂5*8*NBD服务级别（服务说明：8小时内接受受理，1小时内批复，批复后第二个工作日内安排备件发货。。</w:t>
      </w:r>
    </w:p>
    <w:p w14:paraId="6A78058E">
      <w:pPr>
        <w:widowControl/>
        <w:spacing w:before="60" w:after="60" w:line="360" w:lineRule="auto"/>
        <w:ind w:right="60"/>
        <w:jc w:val="left"/>
        <w:rPr>
          <w:rFonts w:hint="eastAsia" w:ascii="宋体" w:hAnsi="宋体" w:cs="宋体"/>
          <w:b/>
          <w:bCs/>
          <w:kern w:val="0"/>
          <w:sz w:val="24"/>
        </w:rPr>
      </w:pPr>
      <w:bookmarkStart w:id="4" w:name="_Toc493755736"/>
      <w:bookmarkStart w:id="5" w:name="_Toc493755838"/>
      <w:r>
        <w:rPr>
          <w:rFonts w:hint="eastAsia" w:ascii="宋体" w:hAnsi="宋体" w:cs="宋体"/>
          <w:b/>
          <w:bCs/>
          <w:kern w:val="0"/>
          <w:sz w:val="24"/>
        </w:rPr>
        <w:t>3、维保期限要求</w:t>
      </w:r>
      <w:bookmarkEnd w:id="4"/>
      <w:bookmarkEnd w:id="5"/>
    </w:p>
    <w:p w14:paraId="14C15EF9">
      <w:pPr>
        <w:widowControl/>
        <w:kinsoku w:val="0"/>
        <w:autoSpaceDE w:val="0"/>
        <w:autoSpaceDN w:val="0"/>
        <w:adjustRightInd w:val="0"/>
        <w:snapToGrid w:val="0"/>
        <w:spacing w:line="360" w:lineRule="auto"/>
        <w:ind w:firstLine="480" w:firstLineChars="200"/>
        <w:textAlignment w:val="baseline"/>
        <w:rPr>
          <w:rFonts w:hint="eastAsia" w:ascii="宋体" w:hAnsi="宋体" w:cs="宋体"/>
          <w:sz w:val="24"/>
        </w:rPr>
      </w:pPr>
      <w:r>
        <w:rPr>
          <w:rFonts w:hint="eastAsia" w:ascii="宋体" w:hAnsi="宋体" w:cs="宋体"/>
          <w:sz w:val="24"/>
        </w:rPr>
        <w:t>续保时间需为原中止时间后续1年，要求在原厂服务启动书中分别列明，</w:t>
      </w:r>
      <w:r>
        <w:rPr>
          <w:rFonts w:hint="eastAsia" w:ascii="宋体" w:hAnsi="宋体" w:cs="宋体"/>
          <w:sz w:val="24"/>
          <w:highlight w:val="none"/>
        </w:rPr>
        <w:t>特殊要求的设备备注说明。</w:t>
      </w:r>
    </w:p>
    <w:p w14:paraId="09DFBBFE">
      <w:pPr>
        <w:widowControl/>
        <w:spacing w:before="60" w:after="60" w:line="360" w:lineRule="auto"/>
        <w:ind w:right="60"/>
        <w:jc w:val="left"/>
        <w:rPr>
          <w:rFonts w:hint="eastAsia" w:ascii="宋体" w:hAnsi="宋体" w:cs="宋体"/>
          <w:b/>
          <w:bCs/>
          <w:sz w:val="24"/>
        </w:rPr>
      </w:pPr>
      <w:bookmarkStart w:id="6" w:name="_Toc493755839"/>
      <w:bookmarkStart w:id="7" w:name="_Toc493755737"/>
      <w:r>
        <w:rPr>
          <w:rFonts w:hint="eastAsia" w:ascii="宋体" w:hAnsi="宋体" w:cs="宋体"/>
          <w:b/>
          <w:bCs/>
          <w:sz w:val="24"/>
        </w:rPr>
        <w:t>4、故障确诊时限要求</w:t>
      </w:r>
      <w:bookmarkEnd w:id="6"/>
      <w:bookmarkEnd w:id="7"/>
    </w:p>
    <w:p w14:paraId="77187417">
      <w:pPr>
        <w:widowControl/>
        <w:wordWrap w:val="0"/>
        <w:autoSpaceDE w:val="0"/>
        <w:autoSpaceDN w:val="0"/>
        <w:adjustRightInd w:val="0"/>
        <w:snapToGrid w:val="0"/>
        <w:spacing w:line="360" w:lineRule="auto"/>
        <w:ind w:firstLine="480" w:firstLineChars="200"/>
        <w:textAlignment w:val="baseline"/>
        <w:rPr>
          <w:rFonts w:hint="eastAsia" w:ascii="宋体" w:hAnsi="宋体" w:cs="宋体"/>
          <w:sz w:val="24"/>
        </w:rPr>
      </w:pPr>
      <w:r>
        <w:rPr>
          <w:rFonts w:hint="eastAsia" w:ascii="宋体" w:hAnsi="宋体" w:cs="宋体"/>
          <w:sz w:val="24"/>
        </w:rPr>
        <w:t>重大故障（业务中断，数据丢失）P1级别，1小时之内</w:t>
      </w:r>
      <w:bookmarkStart w:id="8" w:name="OLE_LINK31"/>
      <w:bookmarkStart w:id="9" w:name="OLE_LINK30"/>
      <w:bookmarkStart w:id="10" w:name="OLE_LINK28"/>
      <w:bookmarkStart w:id="11" w:name="OLE_LINK29"/>
      <w:r>
        <w:rPr>
          <w:rFonts w:hint="eastAsia" w:ascii="宋体" w:hAnsi="宋体" w:cs="宋体"/>
          <w:sz w:val="24"/>
        </w:rPr>
        <w:t>故障确诊</w:t>
      </w:r>
      <w:bookmarkEnd w:id="8"/>
      <w:bookmarkEnd w:id="9"/>
      <w:bookmarkEnd w:id="10"/>
      <w:bookmarkEnd w:id="11"/>
      <w:r>
        <w:rPr>
          <w:rFonts w:hint="eastAsia" w:ascii="宋体" w:hAnsi="宋体" w:cs="宋体"/>
          <w:sz w:val="24"/>
        </w:rPr>
        <w:t>；有潜在重大的隐患（影响和限制了部分业务运营）P2级别故障，4小时之内故障确诊；一般性技术故障（发现网络和设备的技术问题，但系统仍可正常运行）P3级别，48小时之内故障确诊。如需工程师抵达现场，上述时间以工程师抵达现场时间起算。请投标方提供响应的承诺。</w:t>
      </w:r>
    </w:p>
    <w:p w14:paraId="6D7D152A">
      <w:pPr>
        <w:pStyle w:val="6"/>
        <w:spacing w:before="60" w:after="60" w:line="360" w:lineRule="auto"/>
        <w:ind w:left="0" w:right="60"/>
        <w:rPr>
          <w:rFonts w:hint="eastAsia" w:ascii="宋体" w:hAnsi="宋体" w:cs="宋体"/>
          <w:lang w:eastAsia="zh-CN"/>
        </w:rPr>
      </w:pPr>
      <w:bookmarkStart w:id="12" w:name="_Toc493755840"/>
      <w:bookmarkStart w:id="13" w:name="_Toc493755738"/>
      <w:r>
        <w:rPr>
          <w:rFonts w:hint="eastAsia" w:ascii="宋体" w:hAnsi="宋体" w:cs="宋体"/>
          <w:b/>
          <w:bCs/>
          <w:lang w:eastAsia="zh-CN"/>
        </w:rPr>
        <w:t>5、</w:t>
      </w:r>
      <w:r>
        <w:rPr>
          <w:rFonts w:hint="eastAsia" w:ascii="宋体" w:hAnsi="宋体" w:cs="宋体"/>
          <w:lang w:eastAsia="zh-CN"/>
        </w:rPr>
        <w:t>在服务期内如用户有需求，供应商对参保设备提供配置调整和调试服务。</w:t>
      </w:r>
      <w:bookmarkEnd w:id="12"/>
      <w:bookmarkEnd w:id="13"/>
      <w:bookmarkStart w:id="14" w:name="_Toc493755841"/>
      <w:bookmarkStart w:id="15" w:name="_Toc493755739"/>
      <w:r>
        <w:rPr>
          <w:rFonts w:hint="eastAsia" w:ascii="宋体" w:hAnsi="宋体" w:cs="宋体"/>
          <w:lang w:eastAsia="zh-CN"/>
        </w:rPr>
        <w:t>这些服务的一切费用计入磋商报价，用户不再支付其他费用。</w:t>
      </w:r>
      <w:bookmarkEnd w:id="14"/>
      <w:bookmarkEnd w:id="15"/>
    </w:p>
    <w:p w14:paraId="61B12769">
      <w:pPr>
        <w:widowControl/>
        <w:spacing w:before="60" w:after="60" w:line="360" w:lineRule="auto"/>
        <w:ind w:right="60"/>
        <w:jc w:val="left"/>
        <w:rPr>
          <w:rFonts w:hint="eastAsia" w:ascii="宋体" w:hAnsi="宋体" w:cs="宋体"/>
          <w:sz w:val="24"/>
        </w:rPr>
      </w:pPr>
      <w:bookmarkStart w:id="16" w:name="_Toc493755842"/>
      <w:bookmarkStart w:id="17" w:name="_Toc493755740"/>
      <w:r>
        <w:rPr>
          <w:rFonts w:hint="eastAsia" w:ascii="宋体" w:hAnsi="宋体" w:cs="宋体"/>
          <w:b/>
          <w:bCs/>
          <w:sz w:val="24"/>
        </w:rPr>
        <w:t>6、</w:t>
      </w:r>
      <w:r>
        <w:rPr>
          <w:rFonts w:hint="eastAsia" w:ascii="宋体" w:hAnsi="宋体" w:cs="宋体"/>
          <w:sz w:val="24"/>
        </w:rPr>
        <w:t>本项目须提供原厂商针对本次维保服务招标项目的授权函。</w:t>
      </w:r>
      <w:bookmarkEnd w:id="16"/>
      <w:bookmarkEnd w:id="17"/>
    </w:p>
    <w:p w14:paraId="3FE3EFE3">
      <w:pPr>
        <w:widowControl/>
        <w:spacing w:before="60" w:after="60" w:line="360" w:lineRule="auto"/>
        <w:ind w:right="60"/>
        <w:jc w:val="left"/>
        <w:rPr>
          <w:rFonts w:hint="eastAsia" w:ascii="宋体" w:hAnsi="宋体" w:cs="宋体"/>
          <w:b/>
          <w:bCs/>
          <w:sz w:val="24"/>
        </w:rPr>
      </w:pPr>
      <w:bookmarkStart w:id="18" w:name="_Toc493755843"/>
      <w:bookmarkStart w:id="19" w:name="_Toc493755741"/>
      <w:r>
        <w:rPr>
          <w:rFonts w:hint="eastAsia" w:ascii="宋体" w:hAnsi="宋体" w:cs="宋体"/>
          <w:b/>
          <w:bCs/>
          <w:kern w:val="0"/>
          <w:sz w:val="24"/>
        </w:rPr>
        <w:t>7、服务验证说明</w:t>
      </w:r>
      <w:bookmarkEnd w:id="18"/>
      <w:bookmarkEnd w:id="19"/>
    </w:p>
    <w:p w14:paraId="5AE40406">
      <w:pPr>
        <w:widowControl/>
        <w:kinsoku w:val="0"/>
        <w:autoSpaceDE w:val="0"/>
        <w:autoSpaceDN w:val="0"/>
        <w:adjustRightInd w:val="0"/>
        <w:snapToGrid w:val="0"/>
        <w:spacing w:line="360" w:lineRule="auto"/>
        <w:ind w:firstLine="480" w:firstLineChars="200"/>
        <w:textAlignment w:val="baseline"/>
        <w:rPr>
          <w:rFonts w:hint="eastAsia" w:ascii="宋体" w:hAnsi="宋体" w:cs="宋体"/>
          <w:sz w:val="24"/>
        </w:rPr>
      </w:pPr>
      <w:r>
        <w:rPr>
          <w:rFonts w:hint="eastAsia" w:ascii="宋体" w:hAnsi="宋体" w:cs="宋体"/>
          <w:sz w:val="24"/>
        </w:rPr>
        <w:t>为保证服务质量的及时有效以及备件品质，供应商需在合同签订之日后20天内由原厂直接寄送服务启动通知书至陕西省教育考试院，且服务启动书最终用户必需与原项目相同，即：“陕西省教育考试院”（以原厂客服电话确认为准）。</w:t>
      </w:r>
    </w:p>
    <w:p w14:paraId="1601C0D6">
      <w:pPr>
        <w:widowControl/>
        <w:spacing w:before="60" w:after="60" w:line="360" w:lineRule="auto"/>
        <w:ind w:right="60"/>
        <w:jc w:val="left"/>
        <w:rPr>
          <w:rFonts w:hint="eastAsia" w:ascii="宋体" w:hAnsi="宋体" w:cs="宋体"/>
          <w:sz w:val="24"/>
        </w:rPr>
      </w:pPr>
      <w:bookmarkStart w:id="20" w:name="_Toc493755742"/>
      <w:bookmarkStart w:id="21" w:name="_Toc493755844"/>
      <w:r>
        <w:rPr>
          <w:rFonts w:hint="eastAsia" w:ascii="宋体" w:hAnsi="宋体" w:cs="宋体"/>
          <w:sz w:val="24"/>
        </w:rPr>
        <w:t>8、巡检要求</w:t>
      </w:r>
      <w:bookmarkEnd w:id="20"/>
      <w:bookmarkEnd w:id="21"/>
    </w:p>
    <w:p w14:paraId="611696E5">
      <w:pPr>
        <w:rPr>
          <w:rFonts w:hint="eastAsia" w:ascii="宋体" w:hAnsi="宋体" w:cs="宋体"/>
          <w:sz w:val="24"/>
        </w:rPr>
      </w:pPr>
      <w:r>
        <w:rPr>
          <w:rFonts w:hint="eastAsia" w:ascii="宋体" w:hAnsi="宋体" w:cs="宋体"/>
          <w:sz w:val="24"/>
        </w:rPr>
        <w:t>自启动付款流程起，一年内维保设备定期检查2次，请供应商提供响应的承诺。</w:t>
      </w:r>
    </w:p>
    <w:p w14:paraId="2A520D59">
      <w:pPr>
        <w:rPr>
          <w:rFonts w:hint="eastAsia" w:ascii="宋体" w:hAnsi="宋体" w:cs="宋体"/>
          <w:b/>
          <w:bCs/>
          <w:sz w:val="24"/>
        </w:rPr>
      </w:pPr>
      <w:r>
        <w:rPr>
          <w:rFonts w:hint="eastAsia" w:ascii="宋体" w:hAnsi="宋体" w:cs="宋体"/>
          <w:sz w:val="24"/>
        </w:rPr>
        <w:br w:type="page"/>
      </w:r>
      <w:r>
        <w:rPr>
          <w:rFonts w:hint="eastAsia" w:ascii="宋体" w:hAnsi="宋体" w:cs="宋体"/>
          <w:b/>
          <w:bCs/>
          <w:sz w:val="24"/>
        </w:rPr>
        <w:t>标包2：</w:t>
      </w:r>
      <w:r>
        <w:rPr>
          <w:rFonts w:hint="eastAsia" w:ascii="宋体" w:hAnsi="宋体" w:cs="宋体"/>
          <w:b/>
          <w:bCs/>
          <w:kern w:val="0"/>
          <w:sz w:val="24"/>
          <w:shd w:val="clear" w:color="auto" w:fill="FFFFFF"/>
          <w:lang w:bidi="ar"/>
        </w:rPr>
        <w:t>办公自动化（OA)系统维保服务</w:t>
      </w:r>
    </w:p>
    <w:p w14:paraId="30C0AAB7">
      <w:pPr>
        <w:rPr>
          <w:rFonts w:hint="eastAsia" w:ascii="宋体" w:hAnsi="宋体"/>
          <w:b/>
          <w:sz w:val="24"/>
        </w:rPr>
      </w:pPr>
      <w:r>
        <w:rPr>
          <w:rFonts w:hint="eastAsia" w:ascii="宋体" w:hAnsi="宋体"/>
          <w:b/>
          <w:sz w:val="24"/>
        </w:rPr>
        <w:t>一、服务内容</w:t>
      </w:r>
    </w:p>
    <w:p w14:paraId="1AB5529C">
      <w:pPr>
        <w:ind w:firstLine="480" w:firstLineChars="200"/>
        <w:rPr>
          <w:rFonts w:hint="eastAsia" w:ascii="宋体" w:hAnsi="宋体"/>
          <w:sz w:val="24"/>
        </w:rPr>
      </w:pPr>
      <w:r>
        <w:rPr>
          <w:rFonts w:hint="eastAsia" w:ascii="宋体" w:hAnsi="宋体"/>
          <w:sz w:val="24"/>
        </w:rPr>
        <w:t>(1)电话服务</w:t>
      </w:r>
    </w:p>
    <w:p w14:paraId="1BD2CF5A">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提供指定专人负责平台技术支持，技术支持人员在接到故障信息后应立即以电话热线的方式提供技术支持，协助平台系统管理人员解决所出现的系统故障。</w:t>
      </w:r>
    </w:p>
    <w:p w14:paraId="31833A3E">
      <w:pPr>
        <w:ind w:firstLine="480" w:firstLineChars="200"/>
        <w:rPr>
          <w:rFonts w:hint="eastAsia" w:ascii="宋体" w:hAnsi="宋体"/>
          <w:sz w:val="24"/>
        </w:rPr>
      </w:pPr>
      <w:r>
        <w:rPr>
          <w:rFonts w:hint="eastAsia" w:ascii="宋体" w:hAnsi="宋体"/>
          <w:sz w:val="24"/>
        </w:rPr>
        <w:t>(2)现场服务</w:t>
      </w:r>
    </w:p>
    <w:p w14:paraId="4E5A4801">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如果由于环境、设备、人为等原因，造成系统瘫痪或反应速度超过系统设计指标等通过电话无法排除的严重故障时，应在接到故障信息通知1小时内派遣技术支持工程师到达现场，协助系统管理工作人员排除故障、恢复系统运行，并在排除故障后1个工作日内将故障原因、解决方法、处理结果以书面形式上报平台系统管理人员。</w:t>
      </w:r>
    </w:p>
    <w:p w14:paraId="3C2FACD2">
      <w:pPr>
        <w:ind w:firstLine="480" w:firstLineChars="200"/>
        <w:rPr>
          <w:rFonts w:hint="eastAsia" w:ascii="宋体" w:hAnsi="宋体"/>
          <w:sz w:val="24"/>
        </w:rPr>
      </w:pPr>
      <w:r>
        <w:rPr>
          <w:rFonts w:hint="eastAsia" w:ascii="宋体" w:hAnsi="宋体"/>
          <w:sz w:val="24"/>
        </w:rPr>
        <w:t>(3)平台应用系统内容维护</w:t>
      </w:r>
    </w:p>
    <w:p w14:paraId="14831B2B">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在使用中如果需要对平台系统的功能或性能进行大幅度修改的，需将具体的改动内容以电子邮件形式发送给平台管理人员。需要根据使用中对平台系统提出的修改意见及时进行处理，对平台现有的流程及表单要持续优化，进一步提高现有流程及表单的反应速度。要进一步完善平台系统在日常使用中出现的小Bug。做好平台系统的备份工作，保证数据的完整性。做好平台系统和其他业务系统的集成工作，做好针对其他业务系统的数据导入导出的对接维护工作。</w:t>
      </w:r>
    </w:p>
    <w:p w14:paraId="3A3936A6">
      <w:pPr>
        <w:ind w:firstLine="480" w:firstLineChars="200"/>
        <w:rPr>
          <w:rFonts w:hint="eastAsia" w:ascii="宋体" w:hAnsi="宋体"/>
          <w:sz w:val="24"/>
        </w:rPr>
      </w:pPr>
      <w:r>
        <w:rPr>
          <w:rFonts w:hint="eastAsia" w:ascii="宋体" w:hAnsi="宋体"/>
          <w:sz w:val="24"/>
        </w:rPr>
        <w:t>(4)系统迁移</w:t>
      </w:r>
    </w:p>
    <w:p w14:paraId="4AC38B9B">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由于客观及外部环境发生变化时，需要对系统迁移的，要做好系统迁移工作，包括应用系统迁移和数据库迁移。同时要负责新环境中平台系统的调试及试运行工作，确保平台系统安全、正常运行。</w:t>
      </w:r>
    </w:p>
    <w:p w14:paraId="358004D0">
      <w:pPr>
        <w:ind w:firstLine="480" w:firstLineChars="200"/>
        <w:rPr>
          <w:rFonts w:hint="eastAsia" w:ascii="宋体" w:hAnsi="宋体"/>
          <w:sz w:val="24"/>
        </w:rPr>
      </w:pPr>
      <w:r>
        <w:rPr>
          <w:rFonts w:hint="eastAsia" w:ascii="宋体" w:hAnsi="宋体"/>
          <w:sz w:val="24"/>
        </w:rPr>
        <w:t>(5)电子签章对接</w:t>
      </w:r>
    </w:p>
    <w:p w14:paraId="40C309DA">
      <w:pPr>
        <w:autoSpaceDE w:val="0"/>
        <w:autoSpaceDN w:val="0"/>
        <w:adjustRightInd w:val="0"/>
        <w:spacing w:line="360" w:lineRule="auto"/>
        <w:ind w:left="479" w:leftChars="228"/>
        <w:jc w:val="left"/>
        <w:rPr>
          <w:rFonts w:hint="eastAsia" w:ascii="宋体" w:hAnsi="宋体" w:cs="仿宋"/>
          <w:sz w:val="24"/>
        </w:rPr>
      </w:pPr>
      <w:r>
        <w:rPr>
          <w:rFonts w:hint="eastAsia" w:ascii="宋体" w:hAnsi="宋体" w:cs="仿宋"/>
          <w:sz w:val="24"/>
        </w:rPr>
        <w:t>组织长期证书申请及导入；</w:t>
      </w:r>
    </w:p>
    <w:p w14:paraId="786AF0D9">
      <w:pPr>
        <w:autoSpaceDE w:val="0"/>
        <w:autoSpaceDN w:val="0"/>
        <w:adjustRightInd w:val="0"/>
        <w:spacing w:line="360" w:lineRule="auto"/>
        <w:ind w:left="479" w:leftChars="228"/>
        <w:jc w:val="left"/>
        <w:rPr>
          <w:rFonts w:hint="eastAsia" w:ascii="宋体" w:hAnsi="宋体" w:cs="仿宋"/>
          <w:sz w:val="24"/>
        </w:rPr>
      </w:pPr>
      <w:r>
        <w:rPr>
          <w:rFonts w:hint="eastAsia" w:ascii="宋体" w:hAnsi="宋体" w:cs="仿宋"/>
          <w:sz w:val="24"/>
        </w:rPr>
        <w:t>个人用户实名认证、签名制作及静默签授权；</w:t>
      </w:r>
      <w:r>
        <w:rPr>
          <w:rFonts w:hint="eastAsia" w:ascii="宋体" w:hAnsi="宋体" w:cs="仿宋"/>
          <w:sz w:val="24"/>
        </w:rPr>
        <w:br w:type="textWrapping"/>
      </w:r>
      <w:r>
        <w:rPr>
          <w:rFonts w:hint="eastAsia" w:ascii="宋体" w:hAnsi="宋体" w:cs="仿宋"/>
          <w:sz w:val="24"/>
        </w:rPr>
        <w:t>电子印章制作、印章使用授权及静默签授权；</w:t>
      </w:r>
    </w:p>
    <w:p w14:paraId="45153446">
      <w:pPr>
        <w:autoSpaceDE w:val="0"/>
        <w:autoSpaceDN w:val="0"/>
        <w:adjustRightInd w:val="0"/>
        <w:spacing w:line="360" w:lineRule="auto"/>
        <w:ind w:firstLine="480" w:firstLineChars="200"/>
        <w:jc w:val="left"/>
        <w:rPr>
          <w:rFonts w:ascii="宋体" w:hAnsi="宋体"/>
          <w:b/>
          <w:sz w:val="24"/>
        </w:rPr>
      </w:pPr>
      <w:r>
        <w:rPr>
          <w:rFonts w:hint="eastAsia" w:ascii="宋体" w:hAnsi="宋体" w:cs="仿宋"/>
          <w:sz w:val="24"/>
        </w:rPr>
        <w:t>OA系统与电子签章系统集成对接，实现</w:t>
      </w:r>
      <w:r>
        <w:rPr>
          <w:rFonts w:ascii="宋体" w:hAnsi="宋体" w:cs="仿宋"/>
          <w:sz w:val="24"/>
        </w:rPr>
        <w:t>录取名册</w:t>
      </w:r>
      <w:r>
        <w:rPr>
          <w:rFonts w:hint="eastAsia" w:ascii="宋体" w:hAnsi="宋体" w:cs="仿宋"/>
          <w:sz w:val="24"/>
        </w:rPr>
        <w:t>从OA审批流程批量上传，并进行自动用印，用印完成后将用印后文件自动回传OA审批表单中实现批量下载。</w:t>
      </w:r>
      <w:r>
        <w:rPr>
          <w:rFonts w:hint="eastAsia" w:ascii="宋体" w:hAnsi="宋体" w:cs="仿宋"/>
          <w:sz w:val="24"/>
        </w:rPr>
        <w:br w:type="textWrapping"/>
      </w:r>
      <w:r>
        <w:rPr>
          <w:rFonts w:hint="eastAsia" w:ascii="宋体" w:hAnsi="宋体"/>
          <w:b/>
          <w:sz w:val="24"/>
        </w:rPr>
        <w:t>二、技术参数</w:t>
      </w:r>
    </w:p>
    <w:p w14:paraId="3EAFBECE">
      <w:pPr>
        <w:rPr>
          <w:rFonts w:hint="eastAsia" w:ascii="宋体" w:hAnsi="宋体"/>
          <w:sz w:val="24"/>
        </w:rPr>
      </w:pPr>
      <w:r>
        <w:rPr>
          <w:rFonts w:hint="eastAsia" w:ascii="宋体" w:hAnsi="宋体"/>
          <w:sz w:val="24"/>
        </w:rPr>
        <w:t>1.基本售后服务内容</w:t>
      </w:r>
    </w:p>
    <w:tbl>
      <w:tblPr>
        <w:tblStyle w:val="4"/>
        <w:tblW w:w="9292" w:type="dxa"/>
        <w:jc w:val="center"/>
        <w:tblLayout w:type="fixed"/>
        <w:tblCellMar>
          <w:top w:w="0" w:type="dxa"/>
          <w:left w:w="108" w:type="dxa"/>
          <w:bottom w:w="0" w:type="dxa"/>
          <w:right w:w="108" w:type="dxa"/>
        </w:tblCellMar>
      </w:tblPr>
      <w:tblGrid>
        <w:gridCol w:w="2362"/>
        <w:gridCol w:w="6930"/>
      </w:tblGrid>
      <w:tr w14:paraId="04986C3D">
        <w:trPr>
          <w:trHeight w:val="291" w:hRule="atLeast"/>
          <w:jc w:val="center"/>
        </w:trPr>
        <w:tc>
          <w:tcPr>
            <w:tcW w:w="2362" w:type="dxa"/>
            <w:tcBorders>
              <w:top w:val="single" w:color="auto" w:sz="12" w:space="0"/>
              <w:left w:val="thinThickLargeGap" w:color="auto" w:sz="6" w:space="0"/>
              <w:bottom w:val="single" w:color="auto" w:sz="12" w:space="0"/>
              <w:right w:val="single" w:color="auto" w:sz="4" w:space="0"/>
            </w:tcBorders>
            <w:noWrap w:val="0"/>
            <w:vAlign w:val="center"/>
          </w:tcPr>
          <w:p w14:paraId="52B360E0">
            <w:pPr>
              <w:autoSpaceDE w:val="0"/>
              <w:autoSpaceDN w:val="0"/>
              <w:adjustRightInd w:val="0"/>
              <w:spacing w:line="360" w:lineRule="auto"/>
              <w:ind w:firstLine="482" w:firstLineChars="200"/>
              <w:jc w:val="left"/>
              <w:rPr>
                <w:rFonts w:hint="eastAsia" w:ascii="宋体" w:hAnsi="宋体" w:cs="仿宋"/>
                <w:b/>
                <w:bCs/>
                <w:sz w:val="24"/>
              </w:rPr>
            </w:pPr>
            <w:r>
              <w:rPr>
                <w:rFonts w:hint="eastAsia" w:ascii="宋体" w:hAnsi="宋体" w:cs="仿宋"/>
                <w:b/>
                <w:bCs/>
                <w:sz w:val="24"/>
              </w:rPr>
              <w:t>服务项目</w:t>
            </w:r>
          </w:p>
        </w:tc>
        <w:tc>
          <w:tcPr>
            <w:tcW w:w="6930" w:type="dxa"/>
            <w:tcBorders>
              <w:top w:val="single" w:color="auto" w:sz="12" w:space="0"/>
              <w:left w:val="single" w:color="auto" w:sz="4" w:space="0"/>
              <w:bottom w:val="single" w:color="auto" w:sz="12" w:space="0"/>
              <w:right w:val="thinThickLargeGap" w:color="auto" w:sz="6" w:space="0"/>
            </w:tcBorders>
            <w:noWrap w:val="0"/>
            <w:vAlign w:val="center"/>
          </w:tcPr>
          <w:p w14:paraId="3B312B41">
            <w:pPr>
              <w:autoSpaceDE w:val="0"/>
              <w:autoSpaceDN w:val="0"/>
              <w:adjustRightInd w:val="0"/>
              <w:spacing w:line="360" w:lineRule="auto"/>
              <w:ind w:firstLine="482" w:firstLineChars="200"/>
              <w:jc w:val="left"/>
              <w:rPr>
                <w:rFonts w:hint="eastAsia" w:ascii="宋体" w:hAnsi="宋体" w:cs="仿宋"/>
                <w:b/>
                <w:bCs/>
                <w:sz w:val="24"/>
              </w:rPr>
            </w:pPr>
            <w:r>
              <w:rPr>
                <w:rFonts w:hint="eastAsia" w:ascii="宋体" w:hAnsi="宋体" w:cs="仿宋"/>
                <w:b/>
                <w:bCs/>
                <w:sz w:val="24"/>
              </w:rPr>
              <w:t>服务说明</w:t>
            </w:r>
          </w:p>
        </w:tc>
      </w:tr>
      <w:tr w14:paraId="436A828E">
        <w:tblPrEx>
          <w:tblCellMar>
            <w:top w:w="0" w:type="dxa"/>
            <w:left w:w="108" w:type="dxa"/>
            <w:bottom w:w="0" w:type="dxa"/>
            <w:right w:w="108" w:type="dxa"/>
          </w:tblCellMar>
        </w:tblPrEx>
        <w:trPr>
          <w:trHeight w:val="819" w:hRule="atLeast"/>
          <w:jc w:val="center"/>
        </w:trPr>
        <w:tc>
          <w:tcPr>
            <w:tcW w:w="2362" w:type="dxa"/>
            <w:tcBorders>
              <w:top w:val="single" w:color="auto" w:sz="12" w:space="0"/>
              <w:left w:val="thinThickLargeGap" w:color="auto" w:sz="6" w:space="0"/>
              <w:bottom w:val="single" w:color="auto" w:sz="4" w:space="0"/>
              <w:right w:val="single" w:color="auto" w:sz="4" w:space="0"/>
            </w:tcBorders>
            <w:noWrap w:val="0"/>
            <w:vAlign w:val="center"/>
          </w:tcPr>
          <w:p w14:paraId="225CB712">
            <w:pPr>
              <w:autoSpaceDE w:val="0"/>
              <w:autoSpaceDN w:val="0"/>
              <w:adjustRightInd w:val="0"/>
              <w:spacing w:line="360" w:lineRule="auto"/>
              <w:jc w:val="left"/>
              <w:rPr>
                <w:rFonts w:hint="eastAsia" w:ascii="宋体" w:hAnsi="宋体" w:cs="仿宋"/>
                <w:sz w:val="24"/>
              </w:rPr>
            </w:pPr>
            <w:r>
              <w:rPr>
                <w:rFonts w:hint="eastAsia" w:ascii="宋体" w:hAnsi="宋体" w:cs="仿宋"/>
                <w:sz w:val="24"/>
              </w:rPr>
              <w:t>24小时在线知识库</w:t>
            </w:r>
          </w:p>
        </w:tc>
        <w:tc>
          <w:tcPr>
            <w:tcW w:w="6930" w:type="dxa"/>
            <w:tcBorders>
              <w:top w:val="single" w:color="auto" w:sz="12" w:space="0"/>
              <w:left w:val="single" w:color="auto" w:sz="4" w:space="0"/>
              <w:bottom w:val="single" w:color="auto" w:sz="4" w:space="0"/>
              <w:right w:val="thinThickLargeGap" w:color="auto" w:sz="6" w:space="0"/>
            </w:tcBorders>
            <w:noWrap w:val="0"/>
            <w:vAlign w:val="center"/>
          </w:tcPr>
          <w:p w14:paraId="1489BF83">
            <w:pPr>
              <w:ind w:left="705" w:leftChars="50" w:hanging="600" w:hangingChars="250"/>
              <w:rPr>
                <w:rFonts w:hint="eastAsia" w:ascii="宋体" w:hAnsi="宋体" w:cs="仿宋"/>
                <w:sz w:val="24"/>
              </w:rPr>
            </w:pPr>
            <w:r>
              <w:rPr>
                <w:rFonts w:hint="eastAsia" w:ascii="宋体" w:hAnsi="宋体" w:cs="仿宋"/>
                <w:sz w:val="24"/>
              </w:rPr>
              <w:t>提供完整的项目知识、案例知识、应用推荐等知识库</w:t>
            </w:r>
          </w:p>
        </w:tc>
      </w:tr>
      <w:tr w14:paraId="31270E16">
        <w:tblPrEx>
          <w:tblCellMar>
            <w:top w:w="0" w:type="dxa"/>
            <w:left w:w="108" w:type="dxa"/>
            <w:bottom w:w="0" w:type="dxa"/>
            <w:right w:w="108" w:type="dxa"/>
          </w:tblCellMar>
        </w:tblPrEx>
        <w:trPr>
          <w:trHeight w:val="277"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1B321A98">
            <w:pPr>
              <w:autoSpaceDE w:val="0"/>
              <w:autoSpaceDN w:val="0"/>
              <w:adjustRightInd w:val="0"/>
              <w:spacing w:line="360" w:lineRule="auto"/>
              <w:jc w:val="left"/>
              <w:rPr>
                <w:rFonts w:hint="eastAsia" w:ascii="宋体" w:hAnsi="宋体" w:cs="仿宋"/>
                <w:sz w:val="24"/>
              </w:rPr>
            </w:pPr>
            <w:r>
              <w:rPr>
                <w:rFonts w:hint="eastAsia" w:ascii="宋体" w:hAnsi="宋体" w:cs="仿宋"/>
                <w:sz w:val="24"/>
              </w:rPr>
              <w:t>24热线电话咨询</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6336DE98">
            <w:pPr>
              <w:ind w:left="705" w:leftChars="50" w:hanging="600" w:hangingChars="250"/>
              <w:rPr>
                <w:rFonts w:hint="eastAsia" w:ascii="宋体" w:hAnsi="宋体" w:cs="仿宋"/>
                <w:sz w:val="24"/>
              </w:rPr>
            </w:pPr>
            <w:r>
              <w:rPr>
                <w:rFonts w:hint="eastAsia" w:ascii="宋体" w:hAnsi="宋体" w:cs="仿宋"/>
                <w:sz w:val="24"/>
              </w:rPr>
              <w:t>对应客户服务人员联系</w:t>
            </w:r>
          </w:p>
        </w:tc>
      </w:tr>
      <w:tr w14:paraId="1AABEF27">
        <w:tblPrEx>
          <w:tblCellMar>
            <w:top w:w="0" w:type="dxa"/>
            <w:left w:w="108" w:type="dxa"/>
            <w:bottom w:w="0" w:type="dxa"/>
            <w:right w:w="108" w:type="dxa"/>
          </w:tblCellMar>
        </w:tblPrEx>
        <w:trPr>
          <w:trHeight w:val="277" w:hRule="atLeast"/>
          <w:jc w:val="center"/>
        </w:trPr>
        <w:tc>
          <w:tcPr>
            <w:tcW w:w="2362" w:type="dxa"/>
            <w:vMerge w:val="restart"/>
            <w:tcBorders>
              <w:top w:val="single" w:color="auto" w:sz="4" w:space="0"/>
              <w:left w:val="thinThickLargeGap" w:color="auto" w:sz="6" w:space="0"/>
              <w:bottom w:val="single" w:color="auto" w:sz="4" w:space="0"/>
              <w:right w:val="single" w:color="auto" w:sz="4" w:space="0"/>
            </w:tcBorders>
            <w:noWrap w:val="0"/>
            <w:vAlign w:val="center"/>
          </w:tcPr>
          <w:p w14:paraId="6B62637B">
            <w:pPr>
              <w:autoSpaceDE w:val="0"/>
              <w:autoSpaceDN w:val="0"/>
              <w:adjustRightInd w:val="0"/>
              <w:spacing w:line="360" w:lineRule="auto"/>
              <w:jc w:val="left"/>
              <w:rPr>
                <w:rFonts w:hint="eastAsia" w:ascii="宋体" w:hAnsi="宋体" w:cs="仿宋"/>
                <w:sz w:val="24"/>
              </w:rPr>
            </w:pPr>
            <w:r>
              <w:rPr>
                <w:rFonts w:hint="eastAsia" w:ascii="宋体" w:hAnsi="宋体" w:cs="仿宋"/>
                <w:sz w:val="24"/>
              </w:rPr>
              <w:t>系统故障和问题解决</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627DD913">
            <w:pPr>
              <w:ind w:left="705" w:leftChars="50" w:hanging="600" w:hangingChars="250"/>
              <w:rPr>
                <w:rFonts w:hint="eastAsia" w:ascii="宋体" w:hAnsi="宋体" w:cs="仿宋"/>
                <w:sz w:val="24"/>
              </w:rPr>
            </w:pPr>
            <w:r>
              <w:rPr>
                <w:rFonts w:hint="eastAsia" w:ascii="宋体" w:hAnsi="宋体" w:cs="仿宋"/>
                <w:sz w:val="24"/>
              </w:rPr>
              <w:t>系统BUG，并进行打补丁包发布</w:t>
            </w:r>
          </w:p>
        </w:tc>
      </w:tr>
      <w:tr w14:paraId="4E842936">
        <w:tblPrEx>
          <w:tblCellMar>
            <w:top w:w="0" w:type="dxa"/>
            <w:left w:w="108" w:type="dxa"/>
            <w:bottom w:w="0" w:type="dxa"/>
            <w:right w:w="108" w:type="dxa"/>
          </w:tblCellMar>
        </w:tblPrEx>
        <w:trPr>
          <w:trHeight w:val="277"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6D6688A6">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7C578D53">
            <w:pPr>
              <w:ind w:left="705" w:leftChars="50" w:hanging="600" w:hangingChars="250"/>
              <w:rPr>
                <w:rFonts w:hint="eastAsia" w:ascii="宋体" w:hAnsi="宋体" w:cs="仿宋"/>
                <w:sz w:val="24"/>
              </w:rPr>
            </w:pPr>
            <w:r>
              <w:rPr>
                <w:rFonts w:hint="eastAsia" w:ascii="宋体" w:hAnsi="宋体" w:cs="仿宋"/>
                <w:sz w:val="24"/>
              </w:rPr>
              <w:t>系统发生故障，日常办公不能正常开展</w:t>
            </w:r>
          </w:p>
        </w:tc>
      </w:tr>
      <w:tr w14:paraId="6F07374E">
        <w:tblPrEx>
          <w:tblCellMar>
            <w:top w:w="0" w:type="dxa"/>
            <w:left w:w="108" w:type="dxa"/>
            <w:bottom w:w="0" w:type="dxa"/>
            <w:right w:w="108" w:type="dxa"/>
          </w:tblCellMar>
        </w:tblPrEx>
        <w:trPr>
          <w:trHeight w:val="277"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53CC372C">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4331595F">
            <w:pPr>
              <w:ind w:left="705" w:leftChars="50" w:hanging="600" w:hangingChars="250"/>
              <w:rPr>
                <w:rFonts w:hint="eastAsia" w:ascii="宋体" w:hAnsi="宋体" w:cs="仿宋"/>
                <w:sz w:val="24"/>
              </w:rPr>
            </w:pPr>
            <w:r>
              <w:rPr>
                <w:rFonts w:hint="eastAsia" w:ascii="宋体" w:hAnsi="宋体" w:cs="仿宋"/>
                <w:sz w:val="24"/>
              </w:rPr>
              <w:t>重要功能无法使用，影响正常使用</w:t>
            </w:r>
          </w:p>
        </w:tc>
      </w:tr>
      <w:tr w14:paraId="20365975">
        <w:tblPrEx>
          <w:tblCellMar>
            <w:top w:w="0" w:type="dxa"/>
            <w:left w:w="108" w:type="dxa"/>
            <w:bottom w:w="0" w:type="dxa"/>
            <w:right w:w="108" w:type="dxa"/>
          </w:tblCellMar>
        </w:tblPrEx>
        <w:trPr>
          <w:trHeight w:val="277"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12FB136A">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2857E3A2">
            <w:pPr>
              <w:ind w:left="705" w:leftChars="50" w:hanging="600" w:hangingChars="250"/>
              <w:rPr>
                <w:rFonts w:hint="eastAsia" w:ascii="宋体" w:hAnsi="宋体" w:cs="仿宋"/>
                <w:sz w:val="24"/>
              </w:rPr>
            </w:pPr>
            <w:r>
              <w:rPr>
                <w:rFonts w:hint="eastAsia" w:ascii="宋体" w:hAnsi="宋体" w:cs="仿宋"/>
                <w:sz w:val="24"/>
              </w:rPr>
              <w:t>非重要功能无法使用，系统能继续运行并进行重要功能操作。</w:t>
            </w:r>
          </w:p>
        </w:tc>
      </w:tr>
      <w:tr w14:paraId="284C6068">
        <w:tblPrEx>
          <w:tblCellMar>
            <w:top w:w="0" w:type="dxa"/>
            <w:left w:w="108" w:type="dxa"/>
            <w:bottom w:w="0" w:type="dxa"/>
            <w:right w:w="108" w:type="dxa"/>
          </w:tblCellMar>
        </w:tblPrEx>
        <w:trPr>
          <w:trHeight w:val="277"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326C311E">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168A4D64">
            <w:pPr>
              <w:ind w:left="705" w:leftChars="50" w:hanging="600" w:hangingChars="250"/>
              <w:rPr>
                <w:rFonts w:hint="eastAsia" w:ascii="宋体" w:hAnsi="宋体" w:cs="仿宋"/>
                <w:sz w:val="24"/>
              </w:rPr>
            </w:pPr>
            <w:r>
              <w:rPr>
                <w:rFonts w:hint="eastAsia" w:ascii="宋体" w:hAnsi="宋体" w:cs="仿宋"/>
                <w:sz w:val="24"/>
              </w:rPr>
              <w:t>响应方式：电话、邮件、远程链接、客户环境模拟、现场解决。</w:t>
            </w:r>
          </w:p>
          <w:p w14:paraId="4F7120C7">
            <w:pPr>
              <w:ind w:left="705" w:leftChars="50" w:hanging="600" w:hangingChars="250"/>
              <w:rPr>
                <w:rFonts w:hint="eastAsia" w:ascii="宋体" w:hAnsi="宋体" w:cs="仿宋"/>
                <w:sz w:val="24"/>
              </w:rPr>
            </w:pPr>
            <w:r>
              <w:rPr>
                <w:rFonts w:hint="eastAsia" w:ascii="宋体" w:hAnsi="宋体" w:cs="仿宋"/>
                <w:sz w:val="24"/>
              </w:rPr>
              <w:t>注：甲方承诺可提供除业务及机密数据的数据环境。</w:t>
            </w:r>
          </w:p>
        </w:tc>
      </w:tr>
      <w:tr w14:paraId="077640DA">
        <w:tblPrEx>
          <w:tblCellMar>
            <w:top w:w="0" w:type="dxa"/>
            <w:left w:w="108" w:type="dxa"/>
            <w:bottom w:w="0" w:type="dxa"/>
            <w:right w:w="108" w:type="dxa"/>
          </w:tblCellMar>
        </w:tblPrEx>
        <w:trPr>
          <w:trHeight w:val="277"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0354BE55">
            <w:pPr>
              <w:autoSpaceDE w:val="0"/>
              <w:autoSpaceDN w:val="0"/>
              <w:adjustRightInd w:val="0"/>
              <w:spacing w:line="360" w:lineRule="auto"/>
              <w:jc w:val="left"/>
              <w:rPr>
                <w:rFonts w:hint="eastAsia" w:ascii="宋体" w:hAnsi="宋体" w:cs="仿宋"/>
                <w:sz w:val="24"/>
              </w:rPr>
            </w:pPr>
            <w:r>
              <w:rPr>
                <w:rFonts w:hint="eastAsia" w:ascii="宋体" w:hAnsi="宋体" w:cs="仿宋"/>
                <w:sz w:val="24"/>
              </w:rPr>
              <w:t>故障预防文档</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6611D3D6">
            <w:pPr>
              <w:ind w:left="79" w:leftChars="37" w:hanging="1"/>
              <w:rPr>
                <w:rFonts w:hint="eastAsia" w:ascii="宋体" w:hAnsi="宋体" w:cs="仿宋"/>
                <w:sz w:val="24"/>
              </w:rPr>
            </w:pPr>
            <w:r>
              <w:rPr>
                <w:rFonts w:hint="eastAsia" w:ascii="宋体" w:hAnsi="宋体" w:cs="仿宋"/>
                <w:sz w:val="24"/>
              </w:rPr>
              <w:t>就OA系统可能出现的问题，提出解决与预防文档，该日常维护文档包括：浏览器、电脑软件配置指导手册等文档。</w:t>
            </w:r>
          </w:p>
        </w:tc>
      </w:tr>
      <w:tr w14:paraId="0684F0C9">
        <w:tblPrEx>
          <w:tblCellMar>
            <w:top w:w="0" w:type="dxa"/>
            <w:left w:w="108" w:type="dxa"/>
            <w:bottom w:w="0" w:type="dxa"/>
            <w:right w:w="108" w:type="dxa"/>
          </w:tblCellMar>
        </w:tblPrEx>
        <w:trPr>
          <w:trHeight w:val="277"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6AB9EAA2">
            <w:pPr>
              <w:autoSpaceDE w:val="0"/>
              <w:autoSpaceDN w:val="0"/>
              <w:adjustRightInd w:val="0"/>
              <w:spacing w:line="360" w:lineRule="auto"/>
              <w:jc w:val="left"/>
              <w:rPr>
                <w:rFonts w:hint="eastAsia" w:ascii="宋体" w:hAnsi="宋体" w:cs="仿宋"/>
                <w:sz w:val="24"/>
              </w:rPr>
            </w:pPr>
            <w:r>
              <w:rPr>
                <w:rFonts w:hint="eastAsia" w:ascii="宋体" w:hAnsi="宋体" w:cs="仿宋"/>
                <w:sz w:val="24"/>
              </w:rPr>
              <w:t>日常功能、数据维护</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1A882EB3">
            <w:pPr>
              <w:ind w:left="80" w:leftChars="38"/>
              <w:rPr>
                <w:rFonts w:hint="eastAsia" w:ascii="宋体" w:hAnsi="宋体" w:cs="仿宋"/>
                <w:sz w:val="24"/>
              </w:rPr>
            </w:pPr>
            <w:r>
              <w:rPr>
                <w:rFonts w:hint="eastAsia" w:ascii="宋体" w:hAnsi="宋体" w:cs="仿宋"/>
                <w:sz w:val="24"/>
              </w:rPr>
              <w:t>针对用户提出特殊要求，如进行搭建新的角色、用户等不限于此的功能；数据维护是指根据用户需求从数据库、文件层次进行数据、文件修改等不限于此的功能。</w:t>
            </w:r>
          </w:p>
        </w:tc>
      </w:tr>
      <w:tr w14:paraId="3DA48CD8">
        <w:tblPrEx>
          <w:tblCellMar>
            <w:top w:w="0" w:type="dxa"/>
            <w:left w:w="108" w:type="dxa"/>
            <w:bottom w:w="0" w:type="dxa"/>
            <w:right w:w="108" w:type="dxa"/>
          </w:tblCellMar>
        </w:tblPrEx>
        <w:trPr>
          <w:trHeight w:val="115" w:hRule="atLeast"/>
          <w:jc w:val="center"/>
        </w:trPr>
        <w:tc>
          <w:tcPr>
            <w:tcW w:w="2362" w:type="dxa"/>
            <w:vMerge w:val="restart"/>
            <w:tcBorders>
              <w:top w:val="single" w:color="auto" w:sz="4" w:space="0"/>
              <w:left w:val="thinThickLargeGap" w:color="auto" w:sz="6" w:space="0"/>
              <w:bottom w:val="single" w:color="auto" w:sz="4" w:space="0"/>
              <w:right w:val="single" w:color="auto" w:sz="4" w:space="0"/>
            </w:tcBorders>
            <w:noWrap w:val="0"/>
            <w:vAlign w:val="center"/>
          </w:tcPr>
          <w:p w14:paraId="04A14347">
            <w:pPr>
              <w:autoSpaceDE w:val="0"/>
              <w:autoSpaceDN w:val="0"/>
              <w:adjustRightInd w:val="0"/>
              <w:spacing w:line="360" w:lineRule="auto"/>
              <w:jc w:val="left"/>
              <w:rPr>
                <w:rFonts w:hint="eastAsia" w:ascii="宋体" w:hAnsi="宋体" w:cs="仿宋"/>
                <w:sz w:val="24"/>
              </w:rPr>
            </w:pPr>
            <w:r>
              <w:rPr>
                <w:rFonts w:hint="eastAsia" w:ascii="宋体" w:hAnsi="宋体" w:cs="仿宋"/>
                <w:sz w:val="24"/>
              </w:rPr>
              <w:t>系统功能调整</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67F663CF">
            <w:pPr>
              <w:ind w:left="705" w:leftChars="50" w:hanging="600" w:hangingChars="250"/>
              <w:rPr>
                <w:rFonts w:hint="eastAsia" w:ascii="宋体" w:hAnsi="宋体" w:cs="仿宋"/>
                <w:sz w:val="24"/>
              </w:rPr>
            </w:pPr>
            <w:r>
              <w:rPr>
                <w:rFonts w:hint="eastAsia" w:ascii="宋体" w:hAnsi="宋体" w:cs="仿宋"/>
                <w:sz w:val="24"/>
              </w:rPr>
              <w:t>信息门户变动及版面变化</w:t>
            </w:r>
          </w:p>
        </w:tc>
      </w:tr>
      <w:tr w14:paraId="297E1085">
        <w:tblPrEx>
          <w:tblCellMar>
            <w:top w:w="0" w:type="dxa"/>
            <w:left w:w="108" w:type="dxa"/>
            <w:bottom w:w="0" w:type="dxa"/>
            <w:right w:w="108" w:type="dxa"/>
          </w:tblCellMar>
        </w:tblPrEx>
        <w:trPr>
          <w:trHeight w:val="115"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522041AD">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2A641871">
            <w:pPr>
              <w:autoSpaceDE w:val="0"/>
              <w:autoSpaceDN w:val="0"/>
              <w:adjustRightInd w:val="0"/>
              <w:spacing w:line="360" w:lineRule="auto"/>
              <w:ind w:firstLine="88" w:firstLineChars="37"/>
              <w:jc w:val="left"/>
              <w:rPr>
                <w:rFonts w:hint="eastAsia" w:ascii="宋体" w:hAnsi="宋体" w:cs="仿宋"/>
                <w:sz w:val="24"/>
              </w:rPr>
            </w:pPr>
            <w:r>
              <w:rPr>
                <w:rFonts w:hint="eastAsia" w:ascii="宋体" w:hAnsi="宋体" w:cs="仿宋"/>
                <w:sz w:val="24"/>
              </w:rPr>
              <w:t>原有工作流程变动</w:t>
            </w:r>
          </w:p>
        </w:tc>
      </w:tr>
      <w:tr w14:paraId="0162954E">
        <w:tblPrEx>
          <w:tblCellMar>
            <w:top w:w="0" w:type="dxa"/>
            <w:left w:w="108" w:type="dxa"/>
            <w:bottom w:w="0" w:type="dxa"/>
            <w:right w:w="108" w:type="dxa"/>
          </w:tblCellMar>
        </w:tblPrEx>
        <w:trPr>
          <w:trHeight w:val="630"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332AABAE">
            <w:pPr>
              <w:autoSpaceDE w:val="0"/>
              <w:autoSpaceDN w:val="0"/>
              <w:adjustRightInd w:val="0"/>
              <w:spacing w:line="360" w:lineRule="auto"/>
              <w:jc w:val="left"/>
              <w:rPr>
                <w:rFonts w:hint="eastAsia" w:ascii="宋体" w:hAnsi="宋体" w:cs="仿宋"/>
                <w:sz w:val="24"/>
              </w:rPr>
            </w:pPr>
            <w:r>
              <w:rPr>
                <w:rFonts w:hint="eastAsia" w:ascii="宋体" w:hAnsi="宋体" w:cs="仿宋"/>
                <w:sz w:val="24"/>
              </w:rPr>
              <w:t>补丁包更新</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08F294B7">
            <w:pPr>
              <w:ind w:left="80" w:leftChars="38"/>
              <w:rPr>
                <w:rFonts w:hint="eastAsia" w:ascii="宋体" w:hAnsi="宋体" w:cs="仿宋"/>
                <w:sz w:val="24"/>
              </w:rPr>
            </w:pPr>
            <w:r>
              <w:rPr>
                <w:rFonts w:hint="eastAsia" w:ascii="宋体" w:hAnsi="宋体" w:cs="仿宋"/>
                <w:sz w:val="24"/>
              </w:rPr>
              <w:t>如实际使用过程中牵扯到问题解决补丁包</w:t>
            </w:r>
          </w:p>
          <w:p w14:paraId="6F91549A">
            <w:pPr>
              <w:ind w:left="80" w:leftChars="38"/>
              <w:rPr>
                <w:rFonts w:hint="eastAsia" w:ascii="宋体" w:hAnsi="宋体" w:cs="仿宋"/>
                <w:sz w:val="24"/>
              </w:rPr>
            </w:pPr>
            <w:r>
              <w:rPr>
                <w:rFonts w:hint="eastAsia" w:ascii="宋体" w:hAnsi="宋体" w:cs="仿宋"/>
                <w:sz w:val="24"/>
              </w:rPr>
              <w:t>更新的,可免费更新</w:t>
            </w:r>
          </w:p>
        </w:tc>
      </w:tr>
      <w:tr w14:paraId="66DEEEDD">
        <w:tblPrEx>
          <w:tblCellMar>
            <w:top w:w="0" w:type="dxa"/>
            <w:left w:w="108" w:type="dxa"/>
            <w:bottom w:w="0" w:type="dxa"/>
            <w:right w:w="108" w:type="dxa"/>
          </w:tblCellMar>
        </w:tblPrEx>
        <w:trPr>
          <w:trHeight w:val="291"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3BEF7A6F">
            <w:pPr>
              <w:autoSpaceDE w:val="0"/>
              <w:autoSpaceDN w:val="0"/>
              <w:adjustRightInd w:val="0"/>
              <w:spacing w:line="360" w:lineRule="auto"/>
              <w:jc w:val="left"/>
              <w:rPr>
                <w:rFonts w:hint="eastAsia" w:ascii="宋体" w:hAnsi="宋体" w:cs="仿宋"/>
                <w:sz w:val="24"/>
              </w:rPr>
            </w:pPr>
            <w:r>
              <w:rPr>
                <w:rFonts w:hint="eastAsia" w:ascii="宋体" w:hAnsi="宋体" w:cs="仿宋"/>
                <w:sz w:val="24"/>
              </w:rPr>
              <w:t>系统重装迁移</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4CEB2B44">
            <w:pPr>
              <w:ind w:left="80" w:leftChars="38"/>
              <w:rPr>
                <w:rFonts w:hint="eastAsia" w:ascii="宋体" w:hAnsi="宋体" w:cs="仿宋"/>
                <w:sz w:val="24"/>
              </w:rPr>
            </w:pPr>
            <w:r>
              <w:rPr>
                <w:rFonts w:hint="eastAsia" w:ascii="宋体" w:hAnsi="宋体" w:cs="仿宋"/>
                <w:sz w:val="24"/>
              </w:rPr>
              <w:t>根据甲方需求，进行环境搭建、</w:t>
            </w:r>
          </w:p>
          <w:p w14:paraId="1763C311">
            <w:pPr>
              <w:ind w:left="80" w:leftChars="38"/>
              <w:rPr>
                <w:rFonts w:hint="eastAsia" w:ascii="宋体" w:hAnsi="宋体" w:cs="仿宋"/>
                <w:sz w:val="24"/>
              </w:rPr>
            </w:pPr>
            <w:r>
              <w:rPr>
                <w:rFonts w:hint="eastAsia" w:ascii="宋体" w:hAnsi="宋体" w:cs="仿宋"/>
                <w:sz w:val="24"/>
              </w:rPr>
              <w:t>重建、数据迁移、系统恢复。</w:t>
            </w:r>
          </w:p>
        </w:tc>
      </w:tr>
      <w:tr w14:paraId="29D7B476">
        <w:tblPrEx>
          <w:tblCellMar>
            <w:top w:w="0" w:type="dxa"/>
            <w:left w:w="108" w:type="dxa"/>
            <w:bottom w:w="0" w:type="dxa"/>
            <w:right w:w="108" w:type="dxa"/>
          </w:tblCellMar>
        </w:tblPrEx>
        <w:trPr>
          <w:trHeight w:val="754"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36A02C78">
            <w:pPr>
              <w:autoSpaceDE w:val="0"/>
              <w:autoSpaceDN w:val="0"/>
              <w:adjustRightInd w:val="0"/>
              <w:spacing w:line="360" w:lineRule="auto"/>
              <w:jc w:val="left"/>
              <w:rPr>
                <w:rFonts w:hint="eastAsia" w:ascii="宋体" w:hAnsi="宋体" w:cs="仿宋"/>
                <w:sz w:val="24"/>
              </w:rPr>
            </w:pPr>
            <w:r>
              <w:rPr>
                <w:rFonts w:hint="eastAsia" w:ascii="宋体" w:hAnsi="宋体" w:cs="仿宋"/>
                <w:sz w:val="24"/>
              </w:rPr>
              <w:t>系统问题受理</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3C162C80">
            <w:pPr>
              <w:ind w:left="80" w:leftChars="38"/>
              <w:rPr>
                <w:rFonts w:hint="eastAsia" w:ascii="宋体" w:hAnsi="宋体" w:cs="仿宋"/>
                <w:sz w:val="24"/>
              </w:rPr>
            </w:pPr>
            <w:r>
              <w:rPr>
                <w:rFonts w:hint="eastAsia" w:ascii="宋体" w:hAnsi="宋体" w:cs="仿宋"/>
                <w:sz w:val="24"/>
              </w:rPr>
              <w:t>对于软件产品中的问题，乙方向甲方提供受理和处理服务。</w:t>
            </w:r>
          </w:p>
        </w:tc>
      </w:tr>
      <w:tr w14:paraId="37E7FC8E">
        <w:tblPrEx>
          <w:tblCellMar>
            <w:top w:w="0" w:type="dxa"/>
            <w:left w:w="108" w:type="dxa"/>
            <w:bottom w:w="0" w:type="dxa"/>
            <w:right w:w="108" w:type="dxa"/>
          </w:tblCellMar>
        </w:tblPrEx>
        <w:trPr>
          <w:trHeight w:val="754"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51F7C5DE">
            <w:pPr>
              <w:autoSpaceDE w:val="0"/>
              <w:autoSpaceDN w:val="0"/>
              <w:adjustRightInd w:val="0"/>
              <w:spacing w:line="360" w:lineRule="auto"/>
              <w:jc w:val="left"/>
              <w:rPr>
                <w:rFonts w:hint="eastAsia" w:ascii="宋体" w:hAnsi="宋体" w:cs="仿宋"/>
                <w:sz w:val="24"/>
              </w:rPr>
            </w:pPr>
            <w:r>
              <w:rPr>
                <w:rFonts w:hint="eastAsia" w:ascii="宋体" w:hAnsi="宋体" w:cs="仿宋"/>
                <w:sz w:val="24"/>
              </w:rPr>
              <w:t>技术支持服务</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6D7F122C">
            <w:pPr>
              <w:ind w:left="80" w:leftChars="38"/>
              <w:rPr>
                <w:rFonts w:hint="eastAsia" w:ascii="宋体" w:hAnsi="宋体" w:cs="仿宋"/>
                <w:sz w:val="24"/>
              </w:rPr>
            </w:pPr>
            <w:r>
              <w:rPr>
                <w:rFonts w:hint="eastAsia" w:ascii="宋体" w:hAnsi="宋体" w:cs="仿宋"/>
                <w:sz w:val="24"/>
              </w:rPr>
              <w:t>甲方在系统使用过程中出现的例如查询表结构、查询某数据、调整系统内的一些数据、甲方需要的一些其他协助等非开发式的请求，可由乙方技术人员完成。</w:t>
            </w:r>
          </w:p>
        </w:tc>
      </w:tr>
      <w:tr w14:paraId="5C13B1CD">
        <w:tblPrEx>
          <w:tblCellMar>
            <w:top w:w="0" w:type="dxa"/>
            <w:left w:w="108" w:type="dxa"/>
            <w:bottom w:w="0" w:type="dxa"/>
            <w:right w:w="108" w:type="dxa"/>
          </w:tblCellMar>
        </w:tblPrEx>
        <w:trPr>
          <w:trHeight w:val="754"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3931B024">
            <w:pPr>
              <w:autoSpaceDE w:val="0"/>
              <w:autoSpaceDN w:val="0"/>
              <w:adjustRightInd w:val="0"/>
              <w:spacing w:line="360" w:lineRule="auto"/>
              <w:jc w:val="left"/>
              <w:rPr>
                <w:rFonts w:hint="eastAsia" w:ascii="宋体" w:hAnsi="宋体" w:cs="仿宋"/>
                <w:sz w:val="24"/>
              </w:rPr>
            </w:pPr>
            <w:r>
              <w:rPr>
                <w:rFonts w:hint="eastAsia" w:ascii="宋体" w:hAnsi="宋体" w:cs="仿宋"/>
                <w:sz w:val="24"/>
              </w:rPr>
              <w:t>应用巡检服务</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351D8FEC">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甲方定期进行应用系统巡检服务。</w:t>
            </w:r>
          </w:p>
        </w:tc>
      </w:tr>
    </w:tbl>
    <w:p w14:paraId="6D715FBD">
      <w:pPr>
        <w:ind w:firstLine="480" w:firstLineChars="200"/>
        <w:rPr>
          <w:rFonts w:hint="eastAsia" w:ascii="宋体" w:hAnsi="宋体"/>
          <w:sz w:val="24"/>
        </w:rPr>
      </w:pPr>
      <w:r>
        <w:rPr>
          <w:rFonts w:hint="eastAsia" w:ascii="宋体" w:hAnsi="宋体"/>
          <w:sz w:val="24"/>
        </w:rPr>
        <w:t>2.应急保障、备用恢复</w:t>
      </w:r>
    </w:p>
    <w:p w14:paraId="332EA6E6">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备有应急预案以应对攻击和病毒入侵、系统文件遭到破坏删除或数据库崩溃等情况。一旦服务器出现问题会启动灾难恢复机制，最大程度的恢复系统。</w:t>
      </w:r>
    </w:p>
    <w:p w14:paraId="1C97EB9C">
      <w:pPr>
        <w:ind w:firstLine="480" w:firstLineChars="200"/>
        <w:rPr>
          <w:rFonts w:hint="eastAsia" w:ascii="宋体" w:hAnsi="宋体"/>
          <w:sz w:val="24"/>
        </w:rPr>
      </w:pPr>
      <w:r>
        <w:rPr>
          <w:rFonts w:hint="eastAsia" w:ascii="宋体" w:hAnsi="宋体"/>
          <w:sz w:val="24"/>
        </w:rPr>
        <w:t>3.人员培训</w:t>
      </w:r>
    </w:p>
    <w:p w14:paraId="2362EE16">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对系统操作不太熟练或者新的用户负责提供免费的系统操作培训和技术应用培训,培训时间按不熟练或新增用户时间而定。</w:t>
      </w:r>
    </w:p>
    <w:p w14:paraId="7FFC12DB">
      <w:pPr>
        <w:ind w:firstLine="480" w:firstLineChars="200"/>
        <w:rPr>
          <w:rFonts w:hint="eastAsia" w:ascii="宋体" w:hAnsi="宋体"/>
          <w:sz w:val="24"/>
        </w:rPr>
      </w:pPr>
      <w:r>
        <w:rPr>
          <w:rFonts w:hint="eastAsia" w:ascii="宋体" w:hAnsi="宋体"/>
          <w:sz w:val="24"/>
        </w:rPr>
        <w:t>4.系统安全检测</w:t>
      </w:r>
    </w:p>
    <w:p w14:paraId="6FF24642">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运维合同期内至少做一次系统整体安全测评，并提供详细报告。查出漏洞后，及时检查、修复相关页面漏洞，出具详细修复报告。</w:t>
      </w:r>
    </w:p>
    <w:p w14:paraId="58B10F66">
      <w:pPr>
        <w:ind w:firstLine="480" w:firstLineChars="200"/>
        <w:rPr>
          <w:rFonts w:hint="eastAsia" w:ascii="宋体" w:hAnsi="宋体"/>
          <w:sz w:val="24"/>
        </w:rPr>
      </w:pPr>
      <w:r>
        <w:rPr>
          <w:rFonts w:hint="eastAsia" w:ascii="宋体" w:hAnsi="宋体"/>
          <w:sz w:val="24"/>
        </w:rPr>
        <w:t>5.服务要求：</w:t>
      </w:r>
    </w:p>
    <w:p w14:paraId="29D8D7AC">
      <w:pPr>
        <w:ind w:firstLine="480" w:firstLineChars="200"/>
        <w:rPr>
          <w:rFonts w:hint="eastAsia" w:ascii="宋体" w:hAnsi="宋体"/>
          <w:sz w:val="24"/>
        </w:rPr>
      </w:pPr>
      <w:r>
        <w:rPr>
          <w:rFonts w:hint="eastAsia" w:ascii="宋体" w:hAnsi="宋体"/>
          <w:sz w:val="24"/>
        </w:rPr>
        <w:t>（1）服务响应时间：响应时间为接到通知后</w:t>
      </w:r>
      <w:r>
        <w:rPr>
          <w:rFonts w:ascii="宋体" w:hAnsi="宋体"/>
          <w:sz w:val="24"/>
        </w:rPr>
        <w:t>30</w:t>
      </w:r>
      <w:r>
        <w:rPr>
          <w:rFonts w:hint="eastAsia" w:ascii="宋体" w:hAnsi="宋体"/>
          <w:sz w:val="24"/>
        </w:rPr>
        <w:t>分钟以内；</w:t>
      </w:r>
    </w:p>
    <w:p w14:paraId="539A853D">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（2）现场服务：遇到紧急问题可进行现场支持，工作时间为上午9:00至下午18:00</w:t>
      </w:r>
    </w:p>
    <w:p w14:paraId="3312F60E">
      <w:pPr>
        <w:ind w:firstLine="480" w:firstLineChars="200"/>
        <w:rPr>
          <w:rFonts w:hint="eastAsia" w:ascii="宋体" w:hAnsi="宋体"/>
          <w:sz w:val="24"/>
        </w:rPr>
      </w:pPr>
      <w:r>
        <w:rPr>
          <w:rFonts w:hint="eastAsia" w:ascii="宋体" w:hAnsi="宋体"/>
          <w:sz w:val="24"/>
        </w:rPr>
        <w:t>（3）服务电话：7*24小时值班电话畅通；</w:t>
      </w:r>
    </w:p>
    <w:p w14:paraId="2D2A622E">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（4）故障解决时间：发生故障后，在2小时内解决故障或恢复系统正常运行。</w:t>
      </w:r>
    </w:p>
    <w:p w14:paraId="190CD5A4">
      <w:pPr>
        <w:ind w:firstLine="480" w:firstLineChars="200"/>
        <w:rPr>
          <w:rFonts w:hint="eastAsia" w:ascii="宋体" w:hAnsi="宋体"/>
          <w:sz w:val="24"/>
        </w:rPr>
      </w:pPr>
      <w:r>
        <w:rPr>
          <w:rFonts w:hint="eastAsia" w:ascii="宋体" w:hAnsi="宋体"/>
          <w:sz w:val="24"/>
        </w:rPr>
        <w:t>6.服务响应标准</w:t>
      </w:r>
    </w:p>
    <w:p w14:paraId="66C68B43">
      <w:pPr>
        <w:autoSpaceDE w:val="0"/>
        <w:autoSpaceDN w:val="0"/>
        <w:adjustRightInd w:val="0"/>
        <w:spacing w:line="360" w:lineRule="auto"/>
        <w:ind w:firstLine="480" w:firstLineChars="200"/>
        <w:jc w:val="left"/>
        <w:rPr>
          <w:rFonts w:hint="eastAsia" w:ascii="宋体" w:hAnsi="宋体" w:cs="仿宋"/>
          <w:b/>
          <w:sz w:val="24"/>
        </w:rPr>
      </w:pPr>
      <w:r>
        <w:rPr>
          <w:rFonts w:hint="eastAsia" w:ascii="宋体" w:hAnsi="宋体" w:cs="仿宋"/>
          <w:sz w:val="24"/>
        </w:rPr>
        <w:t>参照ISO20000 IT服务管理标准，提供以下服务标准，问题响应与恢复时间如下表：</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2418"/>
        <w:gridCol w:w="1294"/>
        <w:gridCol w:w="1727"/>
        <w:gridCol w:w="1709"/>
      </w:tblGrid>
      <w:tr w14:paraId="7A2B2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06" w:type="pct"/>
            <w:noWrap w:val="0"/>
            <w:vAlign w:val="center"/>
          </w:tcPr>
          <w:p w14:paraId="2A2522F9">
            <w:pPr>
              <w:autoSpaceDE w:val="0"/>
              <w:autoSpaceDN w:val="0"/>
              <w:adjustRightInd w:val="0"/>
              <w:spacing w:line="360" w:lineRule="auto"/>
              <w:jc w:val="center"/>
              <w:rPr>
                <w:rFonts w:hint="eastAsia" w:ascii="宋体" w:hAnsi="宋体" w:cs="仿宋"/>
                <w:b/>
                <w:sz w:val="24"/>
              </w:rPr>
            </w:pPr>
            <w:r>
              <w:rPr>
                <w:rFonts w:hint="eastAsia" w:ascii="宋体" w:hAnsi="宋体" w:cs="仿宋"/>
                <w:b/>
                <w:sz w:val="24"/>
              </w:rPr>
              <w:t>故障等级</w:t>
            </w:r>
          </w:p>
        </w:tc>
        <w:tc>
          <w:tcPr>
            <w:tcW w:w="1418" w:type="pct"/>
            <w:noWrap w:val="0"/>
            <w:vAlign w:val="center"/>
          </w:tcPr>
          <w:p w14:paraId="57771FC9">
            <w:pPr>
              <w:autoSpaceDE w:val="0"/>
              <w:autoSpaceDN w:val="0"/>
              <w:adjustRightInd w:val="0"/>
              <w:spacing w:line="360" w:lineRule="auto"/>
              <w:ind w:firstLine="482" w:firstLineChars="200"/>
              <w:jc w:val="center"/>
              <w:rPr>
                <w:rFonts w:hint="eastAsia" w:ascii="宋体" w:hAnsi="宋体" w:cs="仿宋"/>
                <w:b/>
                <w:sz w:val="24"/>
              </w:rPr>
            </w:pPr>
            <w:r>
              <w:rPr>
                <w:rFonts w:hint="eastAsia" w:ascii="宋体" w:hAnsi="宋体" w:cs="仿宋"/>
                <w:b/>
                <w:sz w:val="24"/>
              </w:rPr>
              <w:t>故障说明</w:t>
            </w:r>
          </w:p>
        </w:tc>
        <w:tc>
          <w:tcPr>
            <w:tcW w:w="759" w:type="pct"/>
            <w:noWrap w:val="0"/>
            <w:vAlign w:val="center"/>
          </w:tcPr>
          <w:p w14:paraId="5A8D4C94">
            <w:pPr>
              <w:autoSpaceDE w:val="0"/>
              <w:autoSpaceDN w:val="0"/>
              <w:adjustRightInd w:val="0"/>
              <w:spacing w:line="360" w:lineRule="auto"/>
              <w:jc w:val="center"/>
              <w:rPr>
                <w:rFonts w:hint="eastAsia" w:ascii="宋体" w:hAnsi="宋体" w:cs="仿宋"/>
                <w:b/>
                <w:sz w:val="24"/>
              </w:rPr>
            </w:pPr>
            <w:r>
              <w:rPr>
                <w:rFonts w:hint="eastAsia" w:ascii="宋体" w:hAnsi="宋体" w:cs="仿宋"/>
                <w:b/>
                <w:sz w:val="24"/>
              </w:rPr>
              <w:t>响应时间</w:t>
            </w:r>
          </w:p>
        </w:tc>
        <w:tc>
          <w:tcPr>
            <w:tcW w:w="1013" w:type="pct"/>
            <w:noWrap w:val="0"/>
            <w:vAlign w:val="center"/>
          </w:tcPr>
          <w:p w14:paraId="314D34AD">
            <w:pPr>
              <w:autoSpaceDE w:val="0"/>
              <w:autoSpaceDN w:val="0"/>
              <w:adjustRightInd w:val="0"/>
              <w:spacing w:line="360" w:lineRule="auto"/>
              <w:jc w:val="center"/>
              <w:rPr>
                <w:rFonts w:hint="eastAsia" w:ascii="宋体" w:hAnsi="宋体" w:cs="仿宋"/>
                <w:b/>
                <w:sz w:val="24"/>
              </w:rPr>
            </w:pPr>
            <w:r>
              <w:rPr>
                <w:rFonts w:hint="eastAsia" w:ascii="宋体" w:hAnsi="宋体" w:cs="仿宋"/>
                <w:b/>
                <w:sz w:val="24"/>
              </w:rPr>
              <w:t>到达现场时间</w:t>
            </w:r>
          </w:p>
        </w:tc>
        <w:tc>
          <w:tcPr>
            <w:tcW w:w="1002" w:type="pct"/>
            <w:noWrap w:val="0"/>
            <w:vAlign w:val="center"/>
          </w:tcPr>
          <w:p w14:paraId="222FF37E">
            <w:pPr>
              <w:autoSpaceDE w:val="0"/>
              <w:autoSpaceDN w:val="0"/>
              <w:adjustRightInd w:val="0"/>
              <w:spacing w:line="360" w:lineRule="auto"/>
              <w:jc w:val="center"/>
              <w:rPr>
                <w:rFonts w:hint="eastAsia" w:ascii="宋体" w:hAnsi="宋体" w:cs="仿宋"/>
                <w:b/>
                <w:sz w:val="24"/>
              </w:rPr>
            </w:pPr>
            <w:r>
              <w:rPr>
                <w:rFonts w:hint="eastAsia" w:ascii="宋体" w:hAnsi="宋体" w:cs="仿宋"/>
                <w:b/>
                <w:sz w:val="24"/>
              </w:rPr>
              <w:t>服务恢复时间</w:t>
            </w:r>
          </w:p>
        </w:tc>
      </w:tr>
      <w:tr w14:paraId="4BEDB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06" w:type="pct"/>
            <w:noWrap w:val="0"/>
            <w:vAlign w:val="center"/>
          </w:tcPr>
          <w:p w14:paraId="37674668">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一级事件</w:t>
            </w:r>
          </w:p>
        </w:tc>
        <w:tc>
          <w:tcPr>
            <w:tcW w:w="1418" w:type="pct"/>
            <w:noWrap w:val="0"/>
            <w:vAlign w:val="center"/>
          </w:tcPr>
          <w:p w14:paraId="6E8227C9">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系统严重故障</w:t>
            </w:r>
          </w:p>
        </w:tc>
        <w:tc>
          <w:tcPr>
            <w:tcW w:w="759" w:type="pct"/>
            <w:noWrap w:val="0"/>
            <w:vAlign w:val="center"/>
          </w:tcPr>
          <w:p w14:paraId="22C2A9BC">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10分钟</w:t>
            </w:r>
          </w:p>
        </w:tc>
        <w:tc>
          <w:tcPr>
            <w:tcW w:w="1013" w:type="pct"/>
            <w:noWrap w:val="0"/>
            <w:vAlign w:val="center"/>
          </w:tcPr>
          <w:p w14:paraId="20BE2AD3">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20分钟</w:t>
            </w:r>
          </w:p>
        </w:tc>
        <w:tc>
          <w:tcPr>
            <w:tcW w:w="1002" w:type="pct"/>
            <w:noWrap w:val="0"/>
            <w:vAlign w:val="center"/>
          </w:tcPr>
          <w:p w14:paraId="7DEDDF9E">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1小时</w:t>
            </w:r>
          </w:p>
        </w:tc>
      </w:tr>
      <w:tr w14:paraId="01AC6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pct"/>
            <w:noWrap w:val="0"/>
            <w:vAlign w:val="center"/>
          </w:tcPr>
          <w:p w14:paraId="32EE77B8">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二级事件</w:t>
            </w:r>
          </w:p>
        </w:tc>
        <w:tc>
          <w:tcPr>
            <w:tcW w:w="1418" w:type="pct"/>
            <w:noWrap w:val="0"/>
            <w:vAlign w:val="center"/>
          </w:tcPr>
          <w:p w14:paraId="60DA1019">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重要功能无法使用</w:t>
            </w:r>
          </w:p>
        </w:tc>
        <w:tc>
          <w:tcPr>
            <w:tcW w:w="759" w:type="pct"/>
            <w:noWrap w:val="0"/>
            <w:vAlign w:val="center"/>
          </w:tcPr>
          <w:p w14:paraId="6A7852F0">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10分钟</w:t>
            </w:r>
          </w:p>
        </w:tc>
        <w:tc>
          <w:tcPr>
            <w:tcW w:w="1013" w:type="pct"/>
            <w:noWrap w:val="0"/>
            <w:vAlign w:val="center"/>
          </w:tcPr>
          <w:p w14:paraId="756A8181">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20分钟</w:t>
            </w:r>
          </w:p>
        </w:tc>
        <w:tc>
          <w:tcPr>
            <w:tcW w:w="1002" w:type="pct"/>
            <w:noWrap w:val="0"/>
            <w:vAlign w:val="center"/>
          </w:tcPr>
          <w:p w14:paraId="279B1378">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1小时</w:t>
            </w:r>
          </w:p>
        </w:tc>
      </w:tr>
      <w:tr w14:paraId="5C62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pct"/>
            <w:noWrap w:val="0"/>
            <w:vAlign w:val="center"/>
          </w:tcPr>
          <w:p w14:paraId="168A6CAD">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三级事件</w:t>
            </w:r>
          </w:p>
        </w:tc>
        <w:tc>
          <w:tcPr>
            <w:tcW w:w="1418" w:type="pct"/>
            <w:noWrap w:val="0"/>
            <w:vAlign w:val="center"/>
          </w:tcPr>
          <w:p w14:paraId="0F9275BB">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非重要功能无法使用</w:t>
            </w:r>
          </w:p>
        </w:tc>
        <w:tc>
          <w:tcPr>
            <w:tcW w:w="759" w:type="pct"/>
            <w:noWrap w:val="0"/>
            <w:vAlign w:val="center"/>
          </w:tcPr>
          <w:p w14:paraId="34E9520C">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10分钟</w:t>
            </w:r>
          </w:p>
        </w:tc>
        <w:tc>
          <w:tcPr>
            <w:tcW w:w="1013" w:type="pct"/>
            <w:noWrap w:val="0"/>
            <w:vAlign w:val="center"/>
          </w:tcPr>
          <w:p w14:paraId="4DC5851A">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20分钟</w:t>
            </w:r>
          </w:p>
        </w:tc>
        <w:tc>
          <w:tcPr>
            <w:tcW w:w="1002" w:type="pct"/>
            <w:noWrap w:val="0"/>
            <w:vAlign w:val="center"/>
          </w:tcPr>
          <w:p w14:paraId="0FE4CCB7">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2小时</w:t>
            </w:r>
          </w:p>
        </w:tc>
      </w:tr>
      <w:tr w14:paraId="0C79E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pct"/>
            <w:noWrap w:val="0"/>
            <w:vAlign w:val="center"/>
          </w:tcPr>
          <w:p w14:paraId="1B3B3818">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四级事件</w:t>
            </w:r>
          </w:p>
        </w:tc>
        <w:tc>
          <w:tcPr>
            <w:tcW w:w="1418" w:type="pct"/>
            <w:noWrap w:val="0"/>
            <w:vAlign w:val="center"/>
          </w:tcPr>
          <w:p w14:paraId="59ED6099">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客户端操作故障</w:t>
            </w:r>
          </w:p>
        </w:tc>
        <w:tc>
          <w:tcPr>
            <w:tcW w:w="759" w:type="pct"/>
            <w:noWrap w:val="0"/>
            <w:vAlign w:val="center"/>
          </w:tcPr>
          <w:p w14:paraId="0D5A96AD">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30分钟</w:t>
            </w:r>
          </w:p>
        </w:tc>
        <w:tc>
          <w:tcPr>
            <w:tcW w:w="1013" w:type="pct"/>
            <w:noWrap w:val="0"/>
            <w:vAlign w:val="center"/>
          </w:tcPr>
          <w:p w14:paraId="3925DC4C">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30分钟</w:t>
            </w:r>
          </w:p>
        </w:tc>
        <w:tc>
          <w:tcPr>
            <w:tcW w:w="1002" w:type="pct"/>
            <w:noWrap w:val="0"/>
            <w:vAlign w:val="center"/>
          </w:tcPr>
          <w:p w14:paraId="2EFBA511">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2小时</w:t>
            </w:r>
          </w:p>
        </w:tc>
      </w:tr>
      <w:tr w14:paraId="0149E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pct"/>
            <w:noWrap w:val="0"/>
            <w:vAlign w:val="center"/>
          </w:tcPr>
          <w:p w14:paraId="60E09C74">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五级事件</w:t>
            </w:r>
          </w:p>
        </w:tc>
        <w:tc>
          <w:tcPr>
            <w:tcW w:w="1418" w:type="pct"/>
            <w:noWrap w:val="0"/>
            <w:vAlign w:val="center"/>
          </w:tcPr>
          <w:p w14:paraId="48BD13C7">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新需求系统功能调整</w:t>
            </w:r>
          </w:p>
        </w:tc>
        <w:tc>
          <w:tcPr>
            <w:tcW w:w="759" w:type="pct"/>
            <w:noWrap w:val="0"/>
            <w:vAlign w:val="center"/>
          </w:tcPr>
          <w:p w14:paraId="41AD2811">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60分钟</w:t>
            </w:r>
          </w:p>
        </w:tc>
        <w:tc>
          <w:tcPr>
            <w:tcW w:w="1013" w:type="pct"/>
            <w:noWrap w:val="0"/>
            <w:vAlign w:val="center"/>
          </w:tcPr>
          <w:p w14:paraId="42B60569">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1小时</w:t>
            </w:r>
          </w:p>
        </w:tc>
        <w:tc>
          <w:tcPr>
            <w:tcW w:w="1002" w:type="pct"/>
            <w:noWrap w:val="0"/>
            <w:vAlign w:val="center"/>
          </w:tcPr>
          <w:p w14:paraId="3905C202">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视需求定</w:t>
            </w:r>
          </w:p>
        </w:tc>
      </w:tr>
    </w:tbl>
    <w:p w14:paraId="4F2B529F">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故障等级说明：</w:t>
      </w:r>
    </w:p>
    <w:p w14:paraId="4C4B7142">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一级事件：系统严重故障，指应用服务或数据库故障，导致系统无法打开，日常办公无法开展；</w:t>
      </w:r>
    </w:p>
    <w:p w14:paraId="120E8686">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二级事件：重要功能无法使用，指信息门户、公文流转、信息查阅等核心功能出现故障，导致日常办公无法开展；</w:t>
      </w:r>
    </w:p>
    <w:p w14:paraId="0833AF3B">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三级事件：非重要功能无法使用，指个人办公应用，个人日程、邮件收取、短信收发等功能出现故障，导致个人办公无法开展；</w:t>
      </w:r>
    </w:p>
    <w:p w14:paraId="1DCC0C12">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四级事件：客户端操作故障，指用户在操作过程中操作失误或客户端应用环境问题出现故障，导致个人办公无法开展；</w:t>
      </w:r>
    </w:p>
    <w:p w14:paraId="713B92BA">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五级事件：系统功能调整，指在原有功能的基础上提出新的应用要求，包含但不限于：信息门户调整、工作流程调整及新增等。</w:t>
      </w:r>
    </w:p>
    <w:p w14:paraId="68E6E24C">
      <w:pPr>
        <w:rPr>
          <w:rFonts w:hint="eastAsia" w:ascii="宋体" w:hAnsi="宋体"/>
          <w:sz w:val="24"/>
        </w:rPr>
      </w:pPr>
      <w:r>
        <w:rPr>
          <w:rFonts w:hint="eastAsia" w:ascii="宋体" w:hAnsi="宋体"/>
          <w:sz w:val="24"/>
        </w:rPr>
        <w:t>7.维护与技术要求</w:t>
      </w:r>
    </w:p>
    <w:p w14:paraId="4E1C0EAA">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1. 供应商应根据甲方的需求，对系统提供全面、有效、及时的技术支持和售后服务方案，详细说明技术服务的范围和程序。供应商在西安必须有固定办公场所。</w:t>
      </w:r>
    </w:p>
    <w:p w14:paraId="7D281A27">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2. 供应商应的服务方案中在运行期间，应指定有经验的技术人员在现场负责系统的运行和维护，若系统出现问题或故障，应积极进行故障和问题处理。</w:t>
      </w:r>
    </w:p>
    <w:p w14:paraId="5D93369D">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3. 在维护期期内，所有报修服务方式均为供应商上门保修即由供应商派员到甲方使用现场维修。由此产生的一切费用均由供应商承担。</w:t>
      </w:r>
    </w:p>
    <w:p w14:paraId="1F35665E">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4. 在质量保证期内，供应商应提供全天候24小时服务响应并针对本系统提出详尽的可执行的应急预案。系统发生故障时，供应商必须在两小时内做出响应；如果故障在三小时内无法排除，供应商应立即提出第二解决方案，在一个工作日内保证系统恢复正常运行。由此产生的一切费用均由供应商承担。</w:t>
      </w:r>
    </w:p>
    <w:p w14:paraId="70728FCF">
      <w:pPr>
        <w:rPr>
          <w:rFonts w:hint="eastAsia" w:ascii="宋体" w:hAnsi="宋体"/>
          <w:sz w:val="24"/>
        </w:rPr>
      </w:pPr>
      <w:r>
        <w:rPr>
          <w:rFonts w:hint="eastAsia" w:ascii="宋体" w:hAnsi="宋体"/>
          <w:sz w:val="24"/>
        </w:rPr>
        <w:t>5. 供应商应提供应急人员和技术支持人员的名单和联系方式。</w:t>
      </w:r>
    </w:p>
    <w:p w14:paraId="2BE4EB7B">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6. 在整个系统安装和调测期间，甲方有权利派出技术人员参与整个过程，供应商有义务对其进行指导，并充分进行知识转移。</w:t>
      </w:r>
    </w:p>
    <w:p w14:paraId="433EB50E">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7. 若关于系统的要求和需求发生非实质性需求变更时，在维护期结束之前供应商应对系统进行相应的修改</w:t>
      </w:r>
    </w:p>
    <w:p w14:paraId="28E79329">
      <w:r>
        <w:rPr>
          <w:rFonts w:hint="eastAsia" w:ascii="宋体" w:hAnsi="宋体"/>
          <w:sz w:val="24"/>
        </w:rPr>
        <w:t>8. 供应商必须提出维护期内的维修、维护内容和范围</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B66E81"/>
    <w:multiLevelType w:val="singleLevel"/>
    <w:tmpl w:val="67B66E8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4B07F6"/>
    <w:rsid w:val="3C4B0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uiPriority w:val="0"/>
    <w:rPr>
      <w:color w:val="993300"/>
      <w:sz w:val="24"/>
    </w:rPr>
  </w:style>
  <w:style w:type="paragraph" w:styleId="6">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2026-09-18T06:36:00Z</dcterms:created>
  <dc:creator>833</dc:creator>
  <cp:lastModifiedBy>833</cp:lastModifiedBy>
  <dcterms:modified xsi:type="dcterms:W3CDTF">2026-09-18T06:37:33Z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4CEA6F395A3240F4971702CFD2649E58_11</vt:lpwstr>
  </property>
  <property fmtid="{D5CDD505-2E9C-101B-9397-08002B2CF9AE}" pid="4" name="KSOTemplateDocerSaveRecord">
    <vt:lpwstr>eyJoZGlkIjoiNTI1OGU5NzEwNjlmOTA0NzYwMTIyZGJlNThjMzMxOGYiLCJ1c2VySWQiOiI0NTE5NDQwNTQifQ==</vt:lpwstr>
  </property>
</Properties>
</file>