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80FDC">
      <w:pPr>
        <w:jc w:val="center"/>
        <w:outlineLvl w:val="1"/>
        <w:rPr>
          <w:rFonts w:hint="eastAsia" w:ascii="仿宋" w:hAnsi="仿宋" w:eastAsia="仿宋" w:cs="仿宋"/>
          <w:color w:val="000000"/>
          <w:highlight w:val="none"/>
          <w:lang w:val="en-US" w:eastAsia="zh-Hans" w:bidi="ar-SA"/>
        </w:rPr>
      </w:pPr>
      <w:bookmarkStart w:id="31" w:name="_GoBack"/>
      <w:bookmarkEnd w:id="31"/>
      <w:r>
        <w:rPr>
          <w:rFonts w:hint="eastAsia" w:ascii="仿宋" w:hAnsi="仿宋" w:eastAsia="仿宋" w:cs="仿宋"/>
          <w:b/>
          <w:color w:val="000000"/>
          <w:sz w:val="36"/>
          <w:highlight w:val="none"/>
          <w:lang w:val="en-US" w:eastAsia="zh-Hans" w:bidi="ar-SA"/>
        </w:rPr>
        <w:t>拟签订采购合同文本</w:t>
      </w:r>
    </w:p>
    <w:p w14:paraId="29298746">
      <w:pPr>
        <w:rPr>
          <w:rFonts w:hint="eastAsia" w:ascii="仿宋" w:hAnsi="仿宋" w:eastAsia="仿宋" w:cs="仿宋"/>
          <w:color w:val="000000"/>
          <w:highlight w:val="none"/>
          <w:lang w:val="en-US" w:eastAsia="zh-Hans" w:bidi="ar-SA"/>
        </w:rPr>
      </w:pPr>
    </w:p>
    <w:p w14:paraId="23C8F325">
      <w:pPr>
        <w:rPr>
          <w:rFonts w:hint="eastAsia" w:ascii="仿宋" w:hAnsi="仿宋" w:eastAsia="仿宋" w:cs="仿宋"/>
          <w:color w:val="000000"/>
          <w:highlight w:val="none"/>
          <w:lang w:val="en-US" w:eastAsia="zh-Hans" w:bidi="ar-SA"/>
        </w:rPr>
      </w:pPr>
    </w:p>
    <w:p w14:paraId="752A4CCA">
      <w:pPr>
        <w:jc w:val="center"/>
        <w:rPr>
          <w:rFonts w:hint="eastAsia" w:ascii="仿宋" w:hAnsi="仿宋" w:eastAsia="仿宋" w:cs="仿宋"/>
          <w:color w:val="000000"/>
          <w:highlight w:val="none"/>
          <w:lang w:eastAsia="zh-CN"/>
        </w:rPr>
      </w:pPr>
    </w:p>
    <w:p w14:paraId="4811BF27">
      <w:pPr>
        <w:kinsoku w:val="0"/>
        <w:autoSpaceDE w:val="0"/>
        <w:autoSpaceDN w:val="0"/>
        <w:adjustRightInd w:val="0"/>
        <w:snapToGrid w:val="0"/>
        <w:textAlignment w:val="baseline"/>
        <w:rPr>
          <w:rFonts w:hint="eastAsia" w:ascii="仿宋" w:hAnsi="仿宋" w:eastAsia="仿宋" w:cs="仿宋"/>
          <w:snapToGrid w:val="0"/>
          <w:color w:val="000000"/>
          <w:sz w:val="30"/>
          <w:szCs w:val="30"/>
          <w:highlight w:val="none"/>
          <w:lang w:val="en-US" w:eastAsia="zh-CN" w:bidi="ar-SA"/>
        </w:rPr>
      </w:pPr>
    </w:p>
    <w:p w14:paraId="509AA20E">
      <w:pPr>
        <w:jc w:val="center"/>
        <w:rPr>
          <w:rFonts w:hint="eastAsia" w:ascii="仿宋" w:hAnsi="仿宋" w:eastAsia="仿宋" w:cs="仿宋"/>
          <w:color w:val="000000"/>
          <w:highlight w:val="none"/>
          <w:lang w:eastAsia="zh-CN"/>
        </w:rPr>
      </w:pPr>
    </w:p>
    <w:p w14:paraId="5E590321">
      <w:pPr>
        <w:jc w:val="center"/>
        <w:rPr>
          <w:rFonts w:hint="eastAsia" w:ascii="仿宋" w:hAnsi="仿宋" w:eastAsia="仿宋" w:cs="仿宋"/>
          <w:color w:val="000000"/>
          <w:highlight w:val="none"/>
          <w:lang w:eastAsia="zh-CN"/>
        </w:rPr>
      </w:pPr>
    </w:p>
    <w:p w14:paraId="15D30067">
      <w:pPr>
        <w:jc w:val="center"/>
        <w:rPr>
          <w:rFonts w:hint="eastAsia" w:ascii="仿宋" w:hAnsi="仿宋" w:eastAsia="仿宋" w:cs="仿宋"/>
          <w:color w:val="000000"/>
          <w:highlight w:val="none"/>
          <w:lang w:eastAsia="zh-CN"/>
        </w:rPr>
      </w:pPr>
    </w:p>
    <w:p w14:paraId="048667FB">
      <w:pPr>
        <w:jc w:val="center"/>
        <w:rPr>
          <w:rFonts w:hint="eastAsia" w:ascii="仿宋" w:hAnsi="仿宋" w:eastAsia="仿宋" w:cs="仿宋"/>
          <w:b/>
          <w:bCs/>
          <w:color w:val="000000"/>
          <w:sz w:val="44"/>
          <w:szCs w:val="44"/>
          <w:highlight w:val="none"/>
          <w:lang w:eastAsia="zh-CN"/>
        </w:rPr>
      </w:pPr>
      <w:r>
        <w:rPr>
          <w:rFonts w:hint="eastAsia" w:ascii="仿宋" w:hAnsi="仿宋" w:eastAsia="仿宋" w:cs="仿宋"/>
          <w:b/>
          <w:bCs/>
          <w:color w:val="000000"/>
          <w:sz w:val="44"/>
          <w:szCs w:val="44"/>
          <w:highlight w:val="none"/>
          <w:lang w:eastAsia="zh-CN"/>
        </w:rPr>
        <w:t>西安市莲湖区第十一幼儿园</w:t>
      </w:r>
    </w:p>
    <w:p w14:paraId="582B5479">
      <w:pPr>
        <w:jc w:val="center"/>
        <w:rPr>
          <w:rFonts w:hint="eastAsia" w:ascii="仿宋" w:hAnsi="仿宋" w:eastAsia="仿宋" w:cs="仿宋"/>
          <w:b/>
          <w:bCs/>
          <w:color w:val="000000"/>
          <w:sz w:val="44"/>
          <w:szCs w:val="44"/>
          <w:highlight w:val="none"/>
          <w:lang w:eastAsia="zh-CN"/>
        </w:rPr>
      </w:pPr>
      <w:r>
        <w:rPr>
          <w:rFonts w:hint="eastAsia" w:ascii="仿宋" w:hAnsi="仿宋" w:eastAsia="仿宋" w:cs="仿宋"/>
          <w:b/>
          <w:bCs/>
          <w:color w:val="000000"/>
          <w:sz w:val="44"/>
          <w:szCs w:val="44"/>
          <w:highlight w:val="none"/>
          <w:lang w:eastAsia="zh-CN"/>
        </w:rPr>
        <w:t>信息化设备采购项目合同</w:t>
      </w:r>
    </w:p>
    <w:p w14:paraId="37C96A08">
      <w:pPr>
        <w:kinsoku w:val="0"/>
        <w:autoSpaceDE w:val="0"/>
        <w:autoSpaceDN w:val="0"/>
        <w:adjustRightInd w:val="0"/>
        <w:snapToGrid w:val="0"/>
        <w:textAlignment w:val="baseline"/>
        <w:rPr>
          <w:rFonts w:hint="eastAsia" w:ascii="仿宋" w:hAnsi="仿宋" w:eastAsia="仿宋" w:cs="仿宋"/>
          <w:snapToGrid w:val="0"/>
          <w:color w:val="000000"/>
          <w:sz w:val="30"/>
          <w:szCs w:val="30"/>
          <w:highlight w:val="none"/>
          <w:lang w:val="en-US" w:eastAsia="zh-CN" w:bidi="ar-SA"/>
        </w:rPr>
      </w:pPr>
    </w:p>
    <w:p w14:paraId="4E965F52">
      <w:pPr>
        <w:rPr>
          <w:rFonts w:hint="eastAsia" w:ascii="仿宋" w:hAnsi="仿宋" w:eastAsia="仿宋" w:cs="仿宋"/>
          <w:color w:val="000000"/>
          <w:highlight w:val="none"/>
          <w:lang w:eastAsia="zh-CN"/>
        </w:rPr>
      </w:pPr>
    </w:p>
    <w:p w14:paraId="57621F2A">
      <w:pPr>
        <w:rPr>
          <w:rFonts w:hint="eastAsia" w:ascii="仿宋" w:hAnsi="仿宋" w:eastAsia="仿宋" w:cs="仿宋"/>
          <w:color w:val="000000"/>
          <w:highlight w:val="none"/>
          <w:lang w:eastAsia="zh-CN"/>
        </w:rPr>
      </w:pPr>
    </w:p>
    <w:p w14:paraId="64DECCAF">
      <w:pPr>
        <w:kinsoku w:val="0"/>
        <w:autoSpaceDE w:val="0"/>
        <w:autoSpaceDN w:val="0"/>
        <w:adjustRightInd w:val="0"/>
        <w:snapToGrid w:val="0"/>
        <w:ind w:firstLine="300" w:firstLineChars="100"/>
        <w:textAlignment w:val="baseline"/>
        <w:rPr>
          <w:rFonts w:hint="eastAsia" w:ascii="仿宋" w:hAnsi="仿宋" w:eastAsia="仿宋" w:cs="仿宋"/>
          <w:snapToGrid w:val="0"/>
          <w:color w:val="000000"/>
          <w:sz w:val="30"/>
          <w:szCs w:val="30"/>
          <w:highlight w:val="none"/>
          <w:lang w:val="en-US" w:eastAsia="zh-CN" w:bidi="ar-SA"/>
        </w:rPr>
      </w:pPr>
    </w:p>
    <w:p w14:paraId="6FB91D4C">
      <w:pPr>
        <w:kinsoku w:val="0"/>
        <w:autoSpaceDE w:val="0"/>
        <w:autoSpaceDN w:val="0"/>
        <w:adjustRightInd w:val="0"/>
        <w:snapToGrid w:val="0"/>
        <w:ind w:firstLine="300" w:firstLineChars="100"/>
        <w:textAlignment w:val="baseline"/>
        <w:rPr>
          <w:rFonts w:hint="eastAsia" w:ascii="仿宋" w:hAnsi="仿宋" w:eastAsia="仿宋" w:cs="仿宋"/>
          <w:snapToGrid w:val="0"/>
          <w:color w:val="000000"/>
          <w:sz w:val="30"/>
          <w:szCs w:val="30"/>
          <w:highlight w:val="none"/>
          <w:lang w:val="en-US" w:eastAsia="zh-CN" w:bidi="ar-SA"/>
        </w:rPr>
      </w:pPr>
    </w:p>
    <w:p w14:paraId="28D3D4B2">
      <w:pPr>
        <w:rPr>
          <w:rFonts w:hint="eastAsia" w:ascii="仿宋" w:hAnsi="仿宋" w:eastAsia="仿宋" w:cs="仿宋"/>
          <w:color w:val="000000"/>
          <w:highlight w:val="none"/>
          <w:lang w:eastAsia="zh-CN"/>
        </w:rPr>
      </w:pPr>
    </w:p>
    <w:p w14:paraId="10C970AB">
      <w:pPr>
        <w:jc w:val="center"/>
        <w:rPr>
          <w:rFonts w:hint="eastAsia" w:ascii="仿宋" w:hAnsi="仿宋" w:eastAsia="仿宋" w:cs="仿宋"/>
          <w:b/>
          <w:color w:val="000000"/>
          <w:sz w:val="36"/>
          <w:szCs w:val="36"/>
          <w:highlight w:val="none"/>
          <w:lang w:val="en-US" w:eastAsia="zh-Hans" w:bidi="ar-SA"/>
        </w:rPr>
      </w:pPr>
      <w:r>
        <w:rPr>
          <w:rFonts w:hint="eastAsia" w:ascii="仿宋" w:hAnsi="仿宋" w:eastAsia="仿宋" w:cs="仿宋"/>
          <w:b/>
          <w:color w:val="000000"/>
          <w:sz w:val="36"/>
          <w:szCs w:val="36"/>
          <w:highlight w:val="none"/>
          <w:lang w:val="en-US" w:eastAsia="zh-Hans" w:bidi="ar-SA"/>
        </w:rPr>
        <w:t>（示范文本）</w:t>
      </w:r>
    </w:p>
    <w:p w14:paraId="15A55A73">
      <w:pPr>
        <w:rPr>
          <w:rFonts w:hint="eastAsia" w:ascii="仿宋" w:hAnsi="仿宋" w:eastAsia="仿宋" w:cs="仿宋"/>
          <w:b/>
          <w:color w:val="000000"/>
          <w:sz w:val="36"/>
          <w:szCs w:val="36"/>
          <w:highlight w:val="none"/>
          <w:lang w:eastAsia="zh-CN"/>
        </w:rPr>
      </w:pPr>
      <w:r>
        <w:rPr>
          <w:rFonts w:hint="eastAsia" w:ascii="仿宋" w:hAnsi="仿宋" w:eastAsia="仿宋" w:cs="仿宋"/>
          <w:b/>
          <w:color w:val="000000"/>
          <w:sz w:val="36"/>
          <w:szCs w:val="36"/>
          <w:highlight w:val="none"/>
          <w:lang w:eastAsia="zh-CN"/>
        </w:rPr>
        <w:br w:type="page"/>
      </w:r>
    </w:p>
    <w:p w14:paraId="66621BCB">
      <w:pPr>
        <w:spacing w:line="360" w:lineRule="auto"/>
        <w:ind w:firstLine="422" w:firstLineChars="200"/>
        <w:rPr>
          <w:rFonts w:hint="eastAsia" w:ascii="仿宋" w:hAnsi="仿宋" w:eastAsia="仿宋" w:cs="仿宋"/>
          <w:b/>
          <w:color w:val="000000"/>
          <w:highlight w:val="none"/>
          <w:lang w:eastAsia="zh-CN"/>
        </w:rPr>
      </w:pPr>
    </w:p>
    <w:p w14:paraId="265129CD">
      <w:pPr>
        <w:spacing w:line="360" w:lineRule="auto"/>
        <w:ind w:firstLine="422" w:firstLineChars="200"/>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采购人（全称）：</w:t>
      </w:r>
    </w:p>
    <w:p w14:paraId="7D97C388">
      <w:pPr>
        <w:spacing w:line="360" w:lineRule="auto"/>
        <w:ind w:firstLine="422" w:firstLineChars="200"/>
        <w:rPr>
          <w:rFonts w:hint="eastAsia" w:ascii="仿宋" w:hAnsi="仿宋" w:eastAsia="仿宋" w:cs="仿宋"/>
          <w:color w:val="000000"/>
          <w:highlight w:val="none"/>
          <w:lang w:eastAsia="zh-CN"/>
        </w:rPr>
      </w:pPr>
      <w:r>
        <w:rPr>
          <w:rFonts w:hint="eastAsia" w:ascii="仿宋" w:hAnsi="仿宋" w:eastAsia="仿宋" w:cs="仿宋"/>
          <w:b/>
          <w:color w:val="000000"/>
          <w:highlight w:val="none"/>
          <w:lang w:eastAsia="zh-CN"/>
        </w:rPr>
        <w:t>供应商（全称）：</w:t>
      </w:r>
    </w:p>
    <w:p w14:paraId="60A6E2A4">
      <w:pPr>
        <w:spacing w:line="360" w:lineRule="auto"/>
        <w:ind w:firstLine="420" w:firstLineChars="200"/>
        <w:rPr>
          <w:rFonts w:hint="eastAsia" w:ascii="仿宋" w:hAnsi="仿宋" w:eastAsia="仿宋" w:cs="仿宋"/>
          <w:color w:val="000000"/>
          <w:highlight w:val="none"/>
          <w:u w:val="single"/>
          <w:lang w:eastAsia="zh-CN"/>
        </w:rPr>
      </w:pPr>
      <w:r>
        <w:rPr>
          <w:rFonts w:hint="eastAsia" w:ascii="仿宋" w:hAnsi="仿宋" w:eastAsia="仿宋" w:cs="仿宋"/>
          <w:color w:val="000000"/>
          <w:highlight w:val="none"/>
          <w:lang w:eastAsia="zh-CN"/>
        </w:rPr>
        <w:t>根据《中华人民共和国民法典》及其他有关法律、法规，遵循平等、自愿、公平和诚信的原则，双方就下述项目范围与相关服务事项协商一致，订立本合同。</w:t>
      </w:r>
    </w:p>
    <w:p w14:paraId="0CEF82BA">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一、项目概况</w:t>
      </w:r>
    </w:p>
    <w:p w14:paraId="19861F9B">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1.项目名称：；</w:t>
      </w:r>
    </w:p>
    <w:p w14:paraId="104ECE20">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2.项目地点：；</w:t>
      </w:r>
    </w:p>
    <w:p w14:paraId="39DC7834">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二、组成本合同的文件</w:t>
      </w:r>
    </w:p>
    <w:p w14:paraId="6F6BE0C4">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1.协议书；</w:t>
      </w:r>
    </w:p>
    <w:p w14:paraId="13A15CCA">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2.成交通知书、竞争性谈判响应文件、竞争性谈判文件、澄清、采购补充文件；</w:t>
      </w:r>
    </w:p>
    <w:p w14:paraId="6B4F49F1">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3.相关服务建议书；</w:t>
      </w:r>
    </w:p>
    <w:p w14:paraId="7C5C3101">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4.附录，即：附表内相关服务的范围和内容；</w:t>
      </w:r>
    </w:p>
    <w:p w14:paraId="4D725B0F">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本合同签订后，双方依法签订的补充协议也是本合同文件的组成部分。</w:t>
      </w:r>
    </w:p>
    <w:p w14:paraId="38FEBCD8">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三、合同金额</w:t>
      </w:r>
    </w:p>
    <w:p w14:paraId="2FA16381">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1.本合同为总价合同。</w:t>
      </w:r>
    </w:p>
    <w:p w14:paraId="6D58B6B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合同总价（大写）：（¥）</w:t>
      </w:r>
    </w:p>
    <w:p w14:paraId="76B9C00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合同总价即成交价，合同总价包干，不受市场价变化或实际工作量变化的影响，合同价格为含税价，供应商（成交人）提供产品所发生的一切税（包括增值税）费等都已包含于合同价款中。</w:t>
      </w:r>
    </w:p>
    <w:p w14:paraId="76AD816E">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2.合同单价详见附件清单。</w:t>
      </w:r>
    </w:p>
    <w:p w14:paraId="15FA3F27">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四、结算方式</w:t>
      </w:r>
    </w:p>
    <w:p w14:paraId="701CF891">
      <w:pPr>
        <w:spacing w:line="360" w:lineRule="auto"/>
        <w:ind w:firstLine="420" w:firstLineChars="200"/>
        <w:rPr>
          <w:rFonts w:hint="eastAsia" w:ascii="仿宋" w:hAnsi="仿宋" w:eastAsia="仿宋" w:cs="仿宋"/>
          <w:b/>
          <w:color w:val="000000"/>
          <w:highlight w:val="none"/>
          <w:lang w:eastAsia="zh-CN"/>
        </w:rPr>
      </w:pPr>
      <w:r>
        <w:rPr>
          <w:rFonts w:hint="eastAsia" w:ascii="仿宋" w:hAnsi="仿宋" w:eastAsia="仿宋" w:cs="仿宋"/>
          <w:color w:val="000000"/>
          <w:highlight w:val="none"/>
          <w:lang w:eastAsia="zh-CN"/>
        </w:rPr>
        <w:t>1.结算单位：银行转账，由采购人负责结算。在付款前，供应商必须开具与合同金额相应的发票给采购人，附详细清单。</w:t>
      </w:r>
    </w:p>
    <w:p w14:paraId="622A36C8">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 xml:space="preserve">    2.付款方式：</w:t>
      </w:r>
    </w:p>
    <w:p w14:paraId="516840C0">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 xml:space="preserve">    货物运送至采购人指定地点，完成卸货、安装、调试；经采购人组织终验合格后，卖方凭全额增值税发票、《到货验收单》《终验合格报告书》原件，采购人按财务流程上报申请，待上级财政专项资金拨付到位后，据实支付货款 ，达到付款条件起 30 日内，支付合同总金额的 100.00%。</w:t>
      </w:r>
    </w:p>
    <w:p w14:paraId="50D99080">
      <w:pPr>
        <w:spacing w:line="360" w:lineRule="auto"/>
        <w:rPr>
          <w:rFonts w:hint="eastAsia" w:ascii="仿宋" w:hAnsi="仿宋" w:eastAsia="仿宋" w:cs="仿宋"/>
          <w:color w:val="000000"/>
          <w:kern w:val="2"/>
          <w:sz w:val="21"/>
          <w:szCs w:val="22"/>
          <w:highlight w:val="none"/>
          <w:lang w:val="en-US" w:eastAsia="zh-CN" w:bidi="ar-SA"/>
        </w:rPr>
      </w:pPr>
      <w:r>
        <w:rPr>
          <w:rFonts w:hint="eastAsia" w:ascii="仿宋" w:hAnsi="仿宋" w:eastAsia="仿宋" w:cs="仿宋"/>
          <w:b/>
          <w:color w:val="000000"/>
          <w:highlight w:val="none"/>
          <w:lang w:val="en-US" w:eastAsia="zh-Hans" w:bidi="ar-SA"/>
        </w:rPr>
        <w:t>五、交货期：</w:t>
      </w:r>
      <w:r>
        <w:rPr>
          <w:rFonts w:hint="eastAsia" w:ascii="仿宋" w:hAnsi="仿宋" w:eastAsia="仿宋" w:cs="仿宋"/>
          <w:color w:val="000000"/>
          <w:kern w:val="2"/>
          <w:sz w:val="21"/>
          <w:szCs w:val="22"/>
          <w:highlight w:val="none"/>
          <w:lang w:val="en-US" w:eastAsia="zh-CN" w:bidi="ar-SA"/>
        </w:rPr>
        <w:t>自合同签订之日起30个日历日完成全部项目内容，并交付采购人验收合格。</w:t>
      </w:r>
    </w:p>
    <w:p w14:paraId="45811A25">
      <w:pPr>
        <w:tabs>
          <w:tab w:val="left" w:pos="840"/>
        </w:tabs>
        <w:spacing w:line="360" w:lineRule="auto"/>
        <w:rPr>
          <w:rFonts w:hint="eastAsia" w:ascii="仿宋" w:hAnsi="仿宋" w:eastAsia="仿宋" w:cs="仿宋"/>
          <w:color w:val="000000"/>
          <w:highlight w:val="none"/>
          <w:lang w:eastAsia="zh-CN"/>
        </w:rPr>
      </w:pPr>
      <w:r>
        <w:rPr>
          <w:rFonts w:hint="eastAsia" w:ascii="仿宋" w:hAnsi="仿宋" w:eastAsia="仿宋" w:cs="仿宋"/>
          <w:b/>
          <w:color w:val="000000"/>
          <w:highlight w:val="none"/>
          <w:lang w:eastAsia="zh-CN"/>
        </w:rPr>
        <w:t>六、质保期：</w:t>
      </w:r>
      <w:r>
        <w:rPr>
          <w:rFonts w:hint="eastAsia" w:ascii="仿宋" w:hAnsi="仿宋" w:eastAsia="仿宋" w:cs="仿宋"/>
          <w:color w:val="000000"/>
          <w:szCs w:val="20"/>
          <w:highlight w:val="none"/>
          <w:lang w:eastAsia="zh-CN"/>
        </w:rPr>
        <w:t>质量保证期自设备验收合格、完成移交手续当日起计算，整体质保期限不少于 1 年。</w:t>
      </w:r>
    </w:p>
    <w:p w14:paraId="1878AC23">
      <w:pPr>
        <w:tabs>
          <w:tab w:val="left" w:pos="840"/>
        </w:tabs>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七、内容及要求</w:t>
      </w:r>
    </w:p>
    <w:p w14:paraId="680BDC0A">
      <w:pPr>
        <w:tabs>
          <w:tab w:val="left" w:pos="840"/>
        </w:tabs>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即交付的产品、服务内容、数量与竞争性谈判响应文件、竞争性谈判文件等所指明的，或者与本合同所指明的产品、服务内容相一致。（附清单）</w:t>
      </w:r>
    </w:p>
    <w:p w14:paraId="21CE09CA">
      <w:pPr>
        <w:spacing w:after="120"/>
        <w:jc w:val="center"/>
        <w:rPr>
          <w:rFonts w:hint="eastAsia" w:ascii="仿宋" w:hAnsi="仿宋" w:eastAsia="仿宋" w:cs="仿宋"/>
          <w:b/>
          <w:color w:val="000000"/>
          <w:highlight w:val="none"/>
          <w:lang w:eastAsia="zh-CN"/>
        </w:rPr>
      </w:pPr>
      <w:bookmarkStart w:id="0" w:name="_Toc13024"/>
      <w:bookmarkStart w:id="1" w:name="_Toc6161"/>
      <w:bookmarkStart w:id="2" w:name="_Toc18856"/>
      <w:r>
        <w:rPr>
          <w:rFonts w:hint="eastAsia" w:ascii="仿宋" w:hAnsi="仿宋" w:eastAsia="仿宋" w:cs="仿宋"/>
          <w:b/>
          <w:color w:val="000000"/>
          <w:highlight w:val="none"/>
          <w:lang w:eastAsia="zh-CN"/>
        </w:rPr>
        <w:t>供货内容一览表</w:t>
      </w:r>
      <w:bookmarkEnd w:id="0"/>
      <w:bookmarkEnd w:id="1"/>
      <w:bookmarkEnd w:id="2"/>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637B5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69D76092">
            <w:pPr>
              <w:spacing w:after="120"/>
              <w:jc w:val="center"/>
              <w:rPr>
                <w:rFonts w:hint="eastAsia" w:ascii="仿宋" w:hAnsi="仿宋" w:eastAsia="仿宋" w:cs="仿宋"/>
                <w:b/>
                <w:color w:val="000000"/>
                <w:highlight w:val="none"/>
              </w:rPr>
            </w:pPr>
            <w:r>
              <w:rPr>
                <w:rFonts w:hint="eastAsia" w:ascii="仿宋" w:hAnsi="仿宋" w:eastAsia="仿宋" w:cs="仿宋"/>
                <w:b/>
                <w:color w:val="000000"/>
                <w:highlight w:val="none"/>
              </w:rPr>
              <w:t>序号</w:t>
            </w:r>
          </w:p>
        </w:tc>
        <w:tc>
          <w:tcPr>
            <w:tcW w:w="960" w:type="dxa"/>
            <w:vAlign w:val="center"/>
          </w:tcPr>
          <w:p w14:paraId="3E838400">
            <w:pPr>
              <w:spacing w:after="120"/>
              <w:jc w:val="center"/>
              <w:rPr>
                <w:rFonts w:hint="eastAsia" w:ascii="仿宋" w:hAnsi="仿宋" w:eastAsia="仿宋" w:cs="仿宋"/>
                <w:b/>
                <w:color w:val="000000"/>
                <w:highlight w:val="none"/>
              </w:rPr>
            </w:pPr>
            <w:r>
              <w:rPr>
                <w:rFonts w:hint="eastAsia" w:ascii="仿宋" w:hAnsi="仿宋" w:eastAsia="仿宋" w:cs="仿宋"/>
                <w:b/>
                <w:color w:val="000000"/>
                <w:highlight w:val="none"/>
              </w:rPr>
              <w:t>名称</w:t>
            </w:r>
          </w:p>
        </w:tc>
        <w:tc>
          <w:tcPr>
            <w:tcW w:w="1485" w:type="dxa"/>
            <w:tcBorders>
              <w:right w:val="single" w:color="auto" w:sz="4" w:space="0"/>
            </w:tcBorders>
            <w:vAlign w:val="center"/>
          </w:tcPr>
          <w:p w14:paraId="2B8EBC52">
            <w:pPr>
              <w:spacing w:after="120"/>
              <w:jc w:val="center"/>
              <w:rPr>
                <w:rFonts w:hint="eastAsia" w:ascii="仿宋" w:hAnsi="仿宋" w:eastAsia="仿宋" w:cs="仿宋"/>
                <w:b/>
                <w:color w:val="000000"/>
                <w:highlight w:val="none"/>
              </w:rPr>
            </w:pPr>
            <w:bookmarkStart w:id="3" w:name="_Toc16506"/>
            <w:bookmarkStart w:id="4" w:name="_Toc30417"/>
            <w:bookmarkStart w:id="5" w:name="_Toc27392"/>
            <w:bookmarkStart w:id="6" w:name="_Toc21512"/>
            <w:r>
              <w:rPr>
                <w:rFonts w:hint="eastAsia" w:ascii="仿宋" w:hAnsi="仿宋" w:eastAsia="仿宋" w:cs="仿宋"/>
                <w:b/>
                <w:color w:val="000000"/>
                <w:highlight w:val="none"/>
              </w:rPr>
              <w:t>品牌、规格及型号</w:t>
            </w:r>
            <w:bookmarkEnd w:id="3"/>
            <w:bookmarkEnd w:id="4"/>
            <w:bookmarkEnd w:id="5"/>
            <w:bookmarkEnd w:id="6"/>
          </w:p>
        </w:tc>
        <w:tc>
          <w:tcPr>
            <w:tcW w:w="1695" w:type="dxa"/>
            <w:tcBorders>
              <w:left w:val="single" w:color="auto" w:sz="4" w:space="0"/>
            </w:tcBorders>
            <w:vAlign w:val="center"/>
          </w:tcPr>
          <w:p w14:paraId="20C27E42">
            <w:pPr>
              <w:spacing w:after="120"/>
              <w:jc w:val="center"/>
              <w:rPr>
                <w:rFonts w:hint="eastAsia" w:ascii="仿宋" w:hAnsi="仿宋" w:eastAsia="仿宋" w:cs="仿宋"/>
                <w:b/>
                <w:color w:val="000000"/>
                <w:highlight w:val="none"/>
              </w:rPr>
            </w:pPr>
            <w:bookmarkStart w:id="7" w:name="_Toc27421"/>
            <w:bookmarkStart w:id="8" w:name="_Toc15345"/>
            <w:bookmarkStart w:id="9" w:name="_Toc109"/>
            <w:bookmarkStart w:id="10" w:name="_Toc8981"/>
            <w:r>
              <w:rPr>
                <w:rFonts w:hint="eastAsia" w:ascii="仿宋" w:hAnsi="仿宋" w:eastAsia="仿宋" w:cs="仿宋"/>
                <w:b/>
                <w:color w:val="000000"/>
                <w:highlight w:val="none"/>
              </w:rPr>
              <w:t>原产地及 制造厂名</w:t>
            </w:r>
            <w:bookmarkEnd w:id="7"/>
            <w:bookmarkEnd w:id="8"/>
            <w:bookmarkEnd w:id="9"/>
            <w:bookmarkEnd w:id="10"/>
          </w:p>
        </w:tc>
        <w:tc>
          <w:tcPr>
            <w:tcW w:w="825" w:type="dxa"/>
            <w:tcBorders>
              <w:right w:val="single" w:color="auto" w:sz="4" w:space="0"/>
            </w:tcBorders>
            <w:vAlign w:val="center"/>
          </w:tcPr>
          <w:p w14:paraId="0C429431">
            <w:pPr>
              <w:spacing w:after="120"/>
              <w:jc w:val="center"/>
              <w:rPr>
                <w:rFonts w:hint="eastAsia" w:ascii="仿宋" w:hAnsi="仿宋" w:eastAsia="仿宋" w:cs="仿宋"/>
                <w:b/>
                <w:color w:val="000000"/>
                <w:highlight w:val="none"/>
              </w:rPr>
            </w:pPr>
            <w:bookmarkStart w:id="11" w:name="_Toc14339"/>
            <w:bookmarkStart w:id="12" w:name="_Toc14127"/>
            <w:bookmarkStart w:id="13" w:name="_Toc20611"/>
            <w:bookmarkStart w:id="14" w:name="_Toc10570"/>
            <w:r>
              <w:rPr>
                <w:rFonts w:hint="eastAsia" w:ascii="仿宋" w:hAnsi="仿宋" w:eastAsia="仿宋" w:cs="仿宋"/>
                <w:b/>
                <w:color w:val="000000"/>
                <w:highlight w:val="none"/>
              </w:rPr>
              <w:t>单价</w:t>
            </w:r>
            <w:bookmarkEnd w:id="11"/>
            <w:bookmarkEnd w:id="12"/>
            <w:bookmarkEnd w:id="13"/>
            <w:bookmarkEnd w:id="14"/>
          </w:p>
        </w:tc>
        <w:tc>
          <w:tcPr>
            <w:tcW w:w="735" w:type="dxa"/>
            <w:tcBorders>
              <w:left w:val="single" w:color="auto" w:sz="4" w:space="0"/>
              <w:right w:val="single" w:color="auto" w:sz="4" w:space="0"/>
            </w:tcBorders>
            <w:vAlign w:val="center"/>
          </w:tcPr>
          <w:p w14:paraId="1423B2F4">
            <w:pPr>
              <w:spacing w:after="120"/>
              <w:jc w:val="center"/>
              <w:rPr>
                <w:rFonts w:hint="eastAsia" w:ascii="仿宋" w:hAnsi="仿宋" w:eastAsia="仿宋" w:cs="仿宋"/>
                <w:b/>
                <w:color w:val="000000"/>
                <w:highlight w:val="none"/>
              </w:rPr>
            </w:pPr>
            <w:bookmarkStart w:id="15" w:name="_Toc21991"/>
            <w:bookmarkStart w:id="16" w:name="_Toc15777"/>
            <w:bookmarkStart w:id="17" w:name="_Toc879"/>
            <w:bookmarkStart w:id="18" w:name="_Toc31109"/>
            <w:r>
              <w:rPr>
                <w:rFonts w:hint="eastAsia" w:ascii="仿宋" w:hAnsi="仿宋" w:eastAsia="仿宋" w:cs="仿宋"/>
                <w:b/>
                <w:color w:val="000000"/>
                <w:highlight w:val="none"/>
              </w:rPr>
              <w:t>数量</w:t>
            </w:r>
            <w:bookmarkEnd w:id="15"/>
            <w:bookmarkEnd w:id="16"/>
            <w:bookmarkEnd w:id="17"/>
            <w:bookmarkEnd w:id="18"/>
          </w:p>
        </w:tc>
        <w:tc>
          <w:tcPr>
            <w:tcW w:w="1050" w:type="dxa"/>
            <w:tcBorders>
              <w:left w:val="single" w:color="auto" w:sz="4" w:space="0"/>
            </w:tcBorders>
            <w:vAlign w:val="center"/>
          </w:tcPr>
          <w:p w14:paraId="533AFE27">
            <w:pPr>
              <w:spacing w:after="120"/>
              <w:jc w:val="center"/>
              <w:rPr>
                <w:rFonts w:hint="eastAsia" w:ascii="仿宋" w:hAnsi="仿宋" w:eastAsia="仿宋" w:cs="仿宋"/>
                <w:b/>
                <w:color w:val="000000"/>
                <w:highlight w:val="none"/>
              </w:rPr>
            </w:pPr>
            <w:bookmarkStart w:id="19" w:name="_Toc28024"/>
            <w:bookmarkStart w:id="20" w:name="_Toc12748"/>
            <w:bookmarkStart w:id="21" w:name="_Toc23428"/>
            <w:bookmarkStart w:id="22" w:name="_Toc6689"/>
            <w:r>
              <w:rPr>
                <w:rFonts w:hint="eastAsia" w:ascii="仿宋" w:hAnsi="仿宋" w:eastAsia="仿宋" w:cs="仿宋"/>
                <w:b/>
                <w:color w:val="000000"/>
                <w:highlight w:val="none"/>
              </w:rPr>
              <w:t>交付地点</w:t>
            </w:r>
            <w:bookmarkEnd w:id="19"/>
            <w:bookmarkEnd w:id="20"/>
            <w:bookmarkEnd w:id="21"/>
            <w:bookmarkEnd w:id="22"/>
          </w:p>
        </w:tc>
        <w:tc>
          <w:tcPr>
            <w:tcW w:w="1215" w:type="dxa"/>
            <w:tcBorders>
              <w:right w:val="single" w:color="auto" w:sz="4" w:space="0"/>
            </w:tcBorders>
            <w:vAlign w:val="center"/>
          </w:tcPr>
          <w:p w14:paraId="2F5989CB">
            <w:pPr>
              <w:spacing w:after="120"/>
              <w:jc w:val="center"/>
              <w:rPr>
                <w:rFonts w:hint="eastAsia" w:ascii="仿宋" w:hAnsi="仿宋" w:eastAsia="仿宋" w:cs="仿宋"/>
                <w:b/>
                <w:color w:val="000000"/>
                <w:highlight w:val="none"/>
              </w:rPr>
            </w:pPr>
            <w:bookmarkStart w:id="23" w:name="_Toc2991"/>
            <w:bookmarkStart w:id="24" w:name="_Toc10344"/>
            <w:bookmarkStart w:id="25" w:name="_Toc21882"/>
            <w:bookmarkStart w:id="26" w:name="_Toc916"/>
            <w:r>
              <w:rPr>
                <w:rFonts w:hint="eastAsia" w:ascii="仿宋" w:hAnsi="仿宋" w:eastAsia="仿宋" w:cs="仿宋"/>
                <w:b/>
                <w:color w:val="000000"/>
                <w:highlight w:val="none"/>
              </w:rPr>
              <w:t>交付时间</w:t>
            </w:r>
            <w:bookmarkEnd w:id="23"/>
            <w:bookmarkEnd w:id="24"/>
            <w:bookmarkEnd w:id="25"/>
            <w:bookmarkEnd w:id="26"/>
          </w:p>
        </w:tc>
        <w:tc>
          <w:tcPr>
            <w:tcW w:w="903" w:type="dxa"/>
            <w:tcBorders>
              <w:right w:val="single" w:color="auto" w:sz="4" w:space="0"/>
            </w:tcBorders>
            <w:vAlign w:val="center"/>
          </w:tcPr>
          <w:p w14:paraId="206263D1">
            <w:pPr>
              <w:spacing w:after="120"/>
              <w:jc w:val="center"/>
              <w:rPr>
                <w:rFonts w:hint="eastAsia" w:ascii="仿宋" w:hAnsi="仿宋" w:eastAsia="仿宋" w:cs="仿宋"/>
                <w:b/>
                <w:color w:val="000000"/>
                <w:highlight w:val="none"/>
              </w:rPr>
            </w:pPr>
            <w:bookmarkStart w:id="27" w:name="_Toc10193"/>
            <w:bookmarkStart w:id="28" w:name="_Toc31273"/>
            <w:bookmarkStart w:id="29" w:name="_Toc18945"/>
            <w:bookmarkStart w:id="30" w:name="_Toc17703"/>
            <w:r>
              <w:rPr>
                <w:rFonts w:hint="eastAsia" w:ascii="仿宋" w:hAnsi="仿宋" w:eastAsia="仿宋" w:cs="仿宋"/>
                <w:b/>
                <w:color w:val="000000"/>
                <w:highlight w:val="none"/>
              </w:rPr>
              <w:t>备注</w:t>
            </w:r>
            <w:bookmarkEnd w:id="27"/>
            <w:bookmarkEnd w:id="28"/>
            <w:bookmarkEnd w:id="29"/>
            <w:bookmarkEnd w:id="30"/>
          </w:p>
        </w:tc>
      </w:tr>
      <w:tr w14:paraId="284EB0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65062544">
            <w:pPr>
              <w:spacing w:before="156" w:beforeLines="50" w:line="360" w:lineRule="auto"/>
              <w:jc w:val="center"/>
              <w:rPr>
                <w:rFonts w:hint="eastAsia" w:ascii="仿宋" w:hAnsi="仿宋" w:eastAsia="仿宋" w:cs="仿宋"/>
                <w:color w:val="000000"/>
                <w:highlight w:val="none"/>
              </w:rPr>
            </w:pPr>
          </w:p>
        </w:tc>
        <w:tc>
          <w:tcPr>
            <w:tcW w:w="960" w:type="dxa"/>
          </w:tcPr>
          <w:p w14:paraId="5BA0F6F0">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42491F78">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7C29585B">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3FBCF85A">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0320918F">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15A64CC4">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4413941A">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6A6F26C9">
            <w:pPr>
              <w:spacing w:before="156" w:beforeLines="50" w:line="360" w:lineRule="auto"/>
              <w:jc w:val="center"/>
              <w:rPr>
                <w:rFonts w:hint="eastAsia" w:ascii="仿宋" w:hAnsi="仿宋" w:eastAsia="仿宋" w:cs="仿宋"/>
                <w:color w:val="000000"/>
                <w:highlight w:val="none"/>
              </w:rPr>
            </w:pPr>
          </w:p>
        </w:tc>
      </w:tr>
      <w:tr w14:paraId="2B4433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906E5FD">
            <w:pPr>
              <w:spacing w:before="156" w:beforeLines="50" w:line="360" w:lineRule="auto"/>
              <w:jc w:val="center"/>
              <w:rPr>
                <w:rFonts w:hint="eastAsia" w:ascii="仿宋" w:hAnsi="仿宋" w:eastAsia="仿宋" w:cs="仿宋"/>
                <w:color w:val="000000"/>
                <w:highlight w:val="none"/>
              </w:rPr>
            </w:pPr>
          </w:p>
        </w:tc>
        <w:tc>
          <w:tcPr>
            <w:tcW w:w="960" w:type="dxa"/>
          </w:tcPr>
          <w:p w14:paraId="48CFC5D8">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1A9E28C6">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6C7128EB">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2E4EEC60">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464F8A1A">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692A723F">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505398D7">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7B6DF63B">
            <w:pPr>
              <w:spacing w:before="156" w:beforeLines="50" w:line="360" w:lineRule="auto"/>
              <w:jc w:val="center"/>
              <w:rPr>
                <w:rFonts w:hint="eastAsia" w:ascii="仿宋" w:hAnsi="仿宋" w:eastAsia="仿宋" w:cs="仿宋"/>
                <w:color w:val="000000"/>
                <w:highlight w:val="none"/>
              </w:rPr>
            </w:pPr>
          </w:p>
        </w:tc>
      </w:tr>
      <w:tr w14:paraId="6A919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2073FBD">
            <w:pPr>
              <w:spacing w:before="156" w:beforeLines="50" w:line="360" w:lineRule="auto"/>
              <w:jc w:val="center"/>
              <w:rPr>
                <w:rFonts w:hint="eastAsia" w:ascii="仿宋" w:hAnsi="仿宋" w:eastAsia="仿宋" w:cs="仿宋"/>
                <w:color w:val="000000"/>
                <w:highlight w:val="none"/>
              </w:rPr>
            </w:pPr>
          </w:p>
        </w:tc>
        <w:tc>
          <w:tcPr>
            <w:tcW w:w="960" w:type="dxa"/>
          </w:tcPr>
          <w:p w14:paraId="6DB86FB9">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696CF589">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70300679">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5293CDC0">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4C7970F2">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223261C7">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2393172F">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6054E1CA">
            <w:pPr>
              <w:spacing w:before="156" w:beforeLines="50" w:line="360" w:lineRule="auto"/>
              <w:jc w:val="center"/>
              <w:rPr>
                <w:rFonts w:hint="eastAsia" w:ascii="仿宋" w:hAnsi="仿宋" w:eastAsia="仿宋" w:cs="仿宋"/>
                <w:color w:val="000000"/>
                <w:highlight w:val="none"/>
              </w:rPr>
            </w:pPr>
          </w:p>
        </w:tc>
      </w:tr>
      <w:tr w14:paraId="29D5D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933AEA7">
            <w:pPr>
              <w:spacing w:before="156" w:beforeLines="50" w:line="360" w:lineRule="auto"/>
              <w:jc w:val="center"/>
              <w:rPr>
                <w:rFonts w:hint="eastAsia" w:ascii="仿宋" w:hAnsi="仿宋" w:eastAsia="仿宋" w:cs="仿宋"/>
                <w:color w:val="000000"/>
                <w:highlight w:val="none"/>
              </w:rPr>
            </w:pPr>
          </w:p>
        </w:tc>
        <w:tc>
          <w:tcPr>
            <w:tcW w:w="960" w:type="dxa"/>
          </w:tcPr>
          <w:p w14:paraId="10B26AF6">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575D96C2">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7D974CB9">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246F77BE">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4F612A1F">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7E9345EE">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3E73ED9F">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2FD31AD1">
            <w:pPr>
              <w:spacing w:before="156" w:beforeLines="50" w:line="360" w:lineRule="auto"/>
              <w:jc w:val="center"/>
              <w:rPr>
                <w:rFonts w:hint="eastAsia" w:ascii="仿宋" w:hAnsi="仿宋" w:eastAsia="仿宋" w:cs="仿宋"/>
                <w:color w:val="000000"/>
                <w:highlight w:val="none"/>
              </w:rPr>
            </w:pPr>
          </w:p>
        </w:tc>
      </w:tr>
    </w:tbl>
    <w:p w14:paraId="2E4A0839">
      <w:pPr>
        <w:spacing w:line="360" w:lineRule="auto"/>
        <w:rPr>
          <w:rFonts w:hint="eastAsia" w:ascii="仿宋" w:hAnsi="仿宋" w:eastAsia="仿宋" w:cs="仿宋"/>
          <w:color w:val="000000"/>
          <w:highlight w:val="none"/>
          <w:lang w:eastAsia="zh-CN"/>
        </w:rPr>
      </w:pPr>
      <w:r>
        <w:rPr>
          <w:rFonts w:hint="eastAsia" w:ascii="仿宋" w:hAnsi="仿宋" w:eastAsia="仿宋" w:cs="仿宋"/>
          <w:b/>
          <w:color w:val="000000"/>
          <w:highlight w:val="none"/>
          <w:lang w:eastAsia="zh-CN"/>
        </w:rPr>
        <w:t xml:space="preserve">八、运输、安装、调试要求 </w:t>
      </w:r>
    </w:p>
    <w:p w14:paraId="1925AC23">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1.供应商根据产品特性，自行选择运输及包装方式，承担一切运输费用，包括从生产厂到采购人指定交货地点所需的装卸、运输（含保险费）及其他一切费用。</w:t>
      </w:r>
    </w:p>
    <w:p w14:paraId="2D5EF633">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2.由供应商安装、调试及试运行的进度计划表。</w:t>
      </w:r>
    </w:p>
    <w:p w14:paraId="1D70F2BA">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00A4876D">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4.安装和调试期间所发生的费用均由供应商负责。</w:t>
      </w:r>
    </w:p>
    <w:p w14:paraId="6310BB77">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5.供应商应对安装调试、整改等实施过程的安全负责，如发生人身伤亡、财产损失的由供应商负责解决并承担全部责任。</w:t>
      </w:r>
    </w:p>
    <w:p w14:paraId="52FB95F7">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九、技术支持</w:t>
      </w:r>
    </w:p>
    <w:p w14:paraId="4FB2B09A">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5FCAB7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2.供应商在项目实施过程中，质量保障人员、资源不足或者执行不力，给项目质量带来的风险超出采购人认定的允许范围时，采购人可终止本项目的合作并进行索赔。</w:t>
      </w:r>
    </w:p>
    <w:p w14:paraId="0E6E15D1">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十、技术培训</w:t>
      </w:r>
    </w:p>
    <w:p w14:paraId="77B1B7BC">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417AF5DE">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十一、技术资料要求</w:t>
      </w:r>
    </w:p>
    <w:p w14:paraId="684F84B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供应商应向采购人提供全套中文技术资料一套，其费用包括在谈判价格中：</w:t>
      </w:r>
    </w:p>
    <w:p w14:paraId="0154E53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1.完整的产品操作使用手册、说明书和维护、修理技术文件，图纸（线路图、原理图等）、保修卡等；</w:t>
      </w:r>
    </w:p>
    <w:p w14:paraId="0D4AE80E">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2.制造厂的检验、测试报告、产品检验合格证书，质量保证书等文件验收时须一并提供；</w:t>
      </w:r>
    </w:p>
    <w:p w14:paraId="62F0FB63">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3.产品验收标准；</w:t>
      </w:r>
    </w:p>
    <w:p w14:paraId="1D8F62F4">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4.技术说明书及必需的其它技术资料；</w:t>
      </w:r>
    </w:p>
    <w:p w14:paraId="7B0542B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5.产品安装，调试、维修线路图及原理图；</w:t>
      </w:r>
    </w:p>
    <w:p w14:paraId="41D9450D">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6.零部件目录；</w:t>
      </w:r>
    </w:p>
    <w:p w14:paraId="239C569E">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7.备品备件、易损件清单；</w:t>
      </w:r>
    </w:p>
    <w:p w14:paraId="41E4D0F0">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8.整体验收后提供验收报告；</w:t>
      </w:r>
    </w:p>
    <w:p w14:paraId="1E71B6A1">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9.合同中要求的其他文件资料；</w:t>
      </w:r>
    </w:p>
    <w:p w14:paraId="2875DDB7">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10.检定/校准报告。</w:t>
      </w:r>
    </w:p>
    <w:p w14:paraId="72B5FCF3">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十二、质量保证</w:t>
      </w:r>
    </w:p>
    <w:p w14:paraId="2E0CE128">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240E6A2D">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2.供应商应保证所有产品的完好无损包括配套包装，如有缺漏、损坏，由供应商负责调换、补齐或赔偿。</w:t>
      </w:r>
    </w:p>
    <w:p w14:paraId="64952E4F">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3.采购人使用产品过程中因产品质量、产品缺陷及安装质量等造成人身伤亡、财产损失的，由供应商负责解决并承担全部责任。</w:t>
      </w:r>
    </w:p>
    <w:p w14:paraId="6DCB1F58">
      <w:pPr>
        <w:tabs>
          <w:tab w:val="left" w:pos="1080"/>
        </w:tabs>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4.供应商应提供可承担维修职能的公司、全资分公司或办事处，并驻守多名维护技术人员，并提供地点、联系人（常驻工程师）及联系电话（服务热线），随时解答各种疑问（需提供相关证明材料）。</w:t>
      </w:r>
    </w:p>
    <w:p w14:paraId="5D124C45">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服务方式：现场服务，质保期内维修费用含在合同总价中（成交价格），提供终身维修（护）。在质量保证期内发生重大故障，维修工程师抵达现场时间≤48小时。产品实行“三包”，并承担由此产生的包装、运输等的一切费用。</w:t>
      </w:r>
    </w:p>
    <w:p w14:paraId="47542404">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6.质保期内每月至少一次免费上门维护，回访。</w:t>
      </w:r>
    </w:p>
    <w:p w14:paraId="35E011E5">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7.对于存在质量问题或者短少的产品，供应商应在接到采购人的通知2个日历日内负责修复，调换、重新制作或补齐。</w:t>
      </w:r>
    </w:p>
    <w:p w14:paraId="4A5FD47E">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8.在最终验收后的质量保证期内，供应商应对设计、工艺或材料等的缺陷而产生的故障负责（负责解决并承担全部费用）。质保期满后如出现此类问题亦应负责。</w:t>
      </w:r>
    </w:p>
    <w:p w14:paraId="68585F25">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259DD8E3">
      <w:pPr>
        <w:spacing w:line="360" w:lineRule="auto"/>
        <w:ind w:firstLine="420" w:firstLineChars="200"/>
        <w:rPr>
          <w:rFonts w:hint="eastAsia" w:ascii="仿宋" w:hAnsi="仿宋" w:eastAsia="仿宋" w:cs="仿宋"/>
          <w:b/>
          <w:color w:val="000000"/>
          <w:highlight w:val="none"/>
          <w:lang w:eastAsia="zh-CN"/>
        </w:rPr>
      </w:pPr>
      <w:r>
        <w:rPr>
          <w:rFonts w:hint="eastAsia" w:ascii="仿宋" w:hAnsi="仿宋" w:eastAsia="仿宋" w:cs="仿宋"/>
          <w:color w:val="000000"/>
          <w:highlight w:val="none"/>
          <w:lang w:eastAsia="zh-CN"/>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504760BB">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04F569EF">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十三、验收</w:t>
      </w:r>
    </w:p>
    <w:p w14:paraId="43A83080">
      <w:pPr>
        <w:spacing w:line="360" w:lineRule="auto"/>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1.初验：货物到达交货地点后，由使用单位根据合同对货物（设备）的名称、品牌、规格、型号、产地、数量进行检查。初验合格填写项目移交单，双方签字盖章。</w:t>
      </w:r>
    </w:p>
    <w:p w14:paraId="13BAE613">
      <w:pPr>
        <w:spacing w:line="360" w:lineRule="auto"/>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5CBD210A">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十四、保密</w:t>
      </w:r>
    </w:p>
    <w:p w14:paraId="22FDA0D6">
      <w:pPr>
        <w:tabs>
          <w:tab w:val="left" w:pos="1080"/>
        </w:tabs>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对工作中了解到的采购人的技术、机密等进行严格保密，不得向他人泄漏。本合同的解除或终止不免除供应商应承担的保密义务。</w:t>
      </w:r>
    </w:p>
    <w:p w14:paraId="4166D01D">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十五、知识产权</w:t>
      </w:r>
    </w:p>
    <w:p w14:paraId="2443612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E262844">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十六、合同争议的解决</w:t>
      </w:r>
    </w:p>
    <w:p w14:paraId="748E412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合同执行中发生争议的，当事人双方应协商解决。协商达不成一致时，向西安仲裁委员会申请仲裁。</w:t>
      </w:r>
    </w:p>
    <w:p w14:paraId="5071DEAE">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十七、不可抗力情况下的免责约定</w:t>
      </w:r>
    </w:p>
    <w:p w14:paraId="13C276AC">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双方约定不可抗力情况指：双方不可预见、不可避免、不可克服的客观情况，但不包括双方的违约或疏忽。这些事件包括但不限于：战争、严重火灾、洪水、台风、地震、疫情等。</w:t>
      </w:r>
    </w:p>
    <w:p w14:paraId="05A5D166">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十八、违约责任</w:t>
      </w:r>
    </w:p>
    <w:p w14:paraId="65373CCB">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585E0641">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3D70E5D4">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3D36064B">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2BEABD7A">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8CA0FB1">
      <w:pPr>
        <w:spacing w:line="400" w:lineRule="exact"/>
        <w:ind w:firstLine="420" w:firstLineChars="200"/>
        <w:rPr>
          <w:rFonts w:hint="eastAsia" w:ascii="仿宋" w:hAnsi="仿宋" w:eastAsia="仿宋" w:cs="仿宋"/>
          <w:color w:val="000000"/>
          <w:sz w:val="28"/>
          <w:szCs w:val="28"/>
          <w:highlight w:val="none"/>
          <w:lang w:eastAsia="zh-CN"/>
        </w:rPr>
      </w:pPr>
      <w:r>
        <w:rPr>
          <w:rFonts w:hint="eastAsia" w:ascii="仿宋" w:hAnsi="仿宋" w:eastAsia="仿宋" w:cs="仿宋"/>
          <w:color w:val="000000"/>
          <w:highlight w:val="none"/>
          <w:lang w:eastAsia="zh-CN"/>
        </w:rPr>
        <w:t>6 如果出现政府采购监督管理部门在处理投诉事项期间，书面通知甲方暂停采购活动的情形，或者询问或质疑事项可能影响成交结果的，导致甲方终止履行合同的情形，均不视为甲方违约。</w:t>
      </w:r>
    </w:p>
    <w:p w14:paraId="04D26BB3">
      <w:pPr>
        <w:spacing w:line="360" w:lineRule="auto"/>
        <w:rPr>
          <w:rFonts w:hint="eastAsia" w:ascii="仿宋" w:hAnsi="仿宋" w:eastAsia="仿宋" w:cs="仿宋"/>
          <w:color w:val="000000"/>
          <w:highlight w:val="none"/>
        </w:rPr>
      </w:pPr>
      <w:r>
        <w:rPr>
          <w:rFonts w:hint="eastAsia" w:ascii="仿宋" w:hAnsi="仿宋" w:eastAsia="仿宋" w:cs="仿宋"/>
          <w:b/>
          <w:color w:val="000000"/>
          <w:highlight w:val="none"/>
        </w:rPr>
        <w:t>十九、其他（</w:t>
      </w:r>
      <w:r>
        <w:rPr>
          <w:rFonts w:hint="eastAsia" w:ascii="仿宋" w:hAnsi="仿宋" w:eastAsia="仿宋" w:cs="仿宋"/>
          <w:color w:val="000000"/>
          <w:highlight w:val="none"/>
        </w:rPr>
        <w:t>在合同中具体明确）</w:t>
      </w:r>
    </w:p>
    <w:p w14:paraId="3F36A8D7">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二十、监督和管理</w:t>
      </w:r>
    </w:p>
    <w:p w14:paraId="5F8E9240">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87F9273">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2、</w:t>
      </w:r>
      <w:r>
        <w:rPr>
          <w:rFonts w:hint="eastAsia" w:ascii="仿宋" w:hAnsi="仿宋" w:eastAsia="仿宋" w:cs="仿宋"/>
          <w:color w:val="000000"/>
          <w:highlight w:val="none"/>
          <w:lang w:eastAsia="zh-CN"/>
        </w:rPr>
        <w:t>采购人供应商</w:t>
      </w:r>
      <w:r>
        <w:rPr>
          <w:rFonts w:hint="eastAsia" w:ascii="仿宋" w:hAnsi="仿宋" w:eastAsia="仿宋" w:cs="仿宋"/>
          <w:bCs/>
          <w:color w:val="000000"/>
          <w:highlight w:val="none"/>
          <w:lang w:eastAsia="zh-CN"/>
        </w:rPr>
        <w:t>双方均应自觉配合有关监督管理部门对合同履行情况的监督检查，如实反映情况，提供有关资料：否则，将对有关单位、当事人按照有关规定予以处罚。</w:t>
      </w:r>
    </w:p>
    <w:p w14:paraId="5748CD53">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二十一、合同订立</w:t>
      </w:r>
    </w:p>
    <w:p w14:paraId="1012F083">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1.订立时间：    年    月    日。</w:t>
      </w:r>
    </w:p>
    <w:p w14:paraId="40D5FE89">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2.订立地点：               。</w:t>
      </w:r>
    </w:p>
    <w:p w14:paraId="714D4707">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bCs/>
          <w:color w:val="000000"/>
          <w:highlight w:val="none"/>
          <w:lang w:eastAsia="zh-CN"/>
        </w:rPr>
        <w:t>3.本合同一式份，具有同等法律效力，双方各执份。各方签字盖章后生效，合同执行完</w:t>
      </w:r>
      <w:r>
        <w:rPr>
          <w:rFonts w:hint="eastAsia" w:ascii="仿宋" w:hAnsi="仿宋" w:eastAsia="仿宋" w:cs="仿宋"/>
          <w:color w:val="000000"/>
          <w:highlight w:val="none"/>
          <w:lang w:eastAsia="zh-CN"/>
        </w:rPr>
        <w:t>毕自动失效。（合同的服务承诺则长期有效）</w:t>
      </w:r>
    </w:p>
    <w:p w14:paraId="58BBA884">
      <w:pPr>
        <w:tabs>
          <w:tab w:val="left" w:pos="980"/>
        </w:tabs>
        <w:spacing w:line="360" w:lineRule="auto"/>
        <w:ind w:firstLine="420" w:firstLineChars="200"/>
        <w:rPr>
          <w:rFonts w:hint="eastAsia" w:ascii="仿宋" w:hAnsi="仿宋" w:eastAsia="仿宋" w:cs="仿宋"/>
          <w:color w:val="000000"/>
          <w:highlight w:val="none"/>
          <w:lang w:eastAsia="zh-CN"/>
        </w:rPr>
      </w:pPr>
    </w:p>
    <w:p w14:paraId="37C19E57">
      <w:pPr>
        <w:tabs>
          <w:tab w:val="left" w:pos="980"/>
        </w:tabs>
        <w:spacing w:line="360" w:lineRule="auto"/>
        <w:ind w:firstLine="420" w:firstLineChars="200"/>
        <w:rPr>
          <w:rFonts w:hint="eastAsia" w:ascii="仿宋" w:hAnsi="仿宋" w:eastAsia="仿宋" w:cs="仿宋"/>
          <w:color w:val="000000"/>
          <w:highlight w:val="none"/>
          <w:lang w:eastAsia="zh-CN"/>
        </w:rPr>
      </w:pPr>
    </w:p>
    <w:p w14:paraId="0083C59D">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采购人：</w:t>
      </w:r>
      <w:r>
        <w:rPr>
          <w:rFonts w:hint="eastAsia" w:ascii="仿宋" w:hAnsi="仿宋" w:eastAsia="仿宋" w:cs="仿宋"/>
          <w:color w:val="000000"/>
          <w:highlight w:val="none"/>
          <w:u w:val="single"/>
          <w:lang w:eastAsia="zh-CN"/>
        </w:rPr>
        <w:t xml:space="preserve">   （盖章）      </w:t>
      </w:r>
      <w:r>
        <w:rPr>
          <w:rFonts w:hint="eastAsia" w:ascii="仿宋" w:hAnsi="仿宋" w:eastAsia="仿宋" w:cs="仿宋"/>
          <w:color w:val="000000"/>
          <w:highlight w:val="none"/>
          <w:lang w:eastAsia="zh-CN"/>
        </w:rPr>
        <w:t xml:space="preserve">                  供应商：</w:t>
      </w:r>
      <w:r>
        <w:rPr>
          <w:rFonts w:hint="eastAsia" w:ascii="仿宋" w:hAnsi="仿宋" w:eastAsia="仿宋" w:cs="仿宋"/>
          <w:color w:val="000000"/>
          <w:highlight w:val="none"/>
          <w:u w:val="single"/>
          <w:lang w:eastAsia="zh-CN"/>
        </w:rPr>
        <w:t xml:space="preserve">   （盖章）         </w:t>
      </w:r>
    </w:p>
    <w:p w14:paraId="09DE0A3C">
      <w:pPr>
        <w:spacing w:line="360" w:lineRule="auto"/>
        <w:rPr>
          <w:rFonts w:hint="eastAsia" w:ascii="仿宋" w:hAnsi="仿宋" w:eastAsia="仿宋" w:cs="仿宋"/>
          <w:color w:val="000000"/>
          <w:highlight w:val="none"/>
          <w:u w:val="single"/>
          <w:lang w:eastAsia="zh-CN"/>
        </w:rPr>
      </w:pPr>
      <w:r>
        <w:rPr>
          <w:rFonts w:hint="eastAsia" w:ascii="仿宋" w:hAnsi="仿宋" w:eastAsia="仿宋" w:cs="仿宋"/>
          <w:color w:val="000000"/>
          <w:highlight w:val="none"/>
          <w:lang w:eastAsia="zh-CN"/>
        </w:rPr>
        <w:t>地 址：                                    地  址：</w:t>
      </w:r>
    </w:p>
    <w:p w14:paraId="7795CC2D">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邮政编码：                                 邮政编码：</w:t>
      </w:r>
    </w:p>
    <w:p w14:paraId="37477F81">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法定代表人或其授权的代理人：</w:t>
      </w:r>
      <w:r>
        <w:rPr>
          <w:rFonts w:hint="eastAsia" w:ascii="仿宋" w:hAnsi="仿宋" w:eastAsia="仿宋" w:cs="仿宋"/>
          <w:color w:val="000000"/>
          <w:highlight w:val="none"/>
          <w:u w:val="single"/>
          <w:lang w:eastAsia="zh-CN"/>
        </w:rPr>
        <w:t xml:space="preserve">（签字）   </w:t>
      </w:r>
      <w:r>
        <w:rPr>
          <w:rFonts w:hint="eastAsia" w:ascii="仿宋" w:hAnsi="仿宋" w:eastAsia="仿宋" w:cs="仿宋"/>
          <w:color w:val="000000"/>
          <w:highlight w:val="none"/>
          <w:lang w:eastAsia="zh-CN"/>
        </w:rPr>
        <w:t xml:space="preserve">    法定代表人或其授权的代理人：</w:t>
      </w:r>
      <w:r>
        <w:rPr>
          <w:rFonts w:hint="eastAsia" w:ascii="仿宋" w:hAnsi="仿宋" w:eastAsia="仿宋" w:cs="仿宋"/>
          <w:color w:val="000000"/>
          <w:highlight w:val="none"/>
          <w:u w:val="single"/>
          <w:lang w:eastAsia="zh-CN"/>
        </w:rPr>
        <w:t xml:space="preserve">（签字）      </w:t>
      </w:r>
    </w:p>
    <w:p w14:paraId="57BA056B">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开户银行：                                 开户银行：</w:t>
      </w:r>
    </w:p>
    <w:p w14:paraId="2DECB51C">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账号：                                     账号：</w:t>
      </w:r>
    </w:p>
    <w:p w14:paraId="17AA3D83">
      <w:pPr>
        <w:rPr>
          <w:rFonts w:hint="eastAsia" w:ascii="仿宋" w:hAnsi="仿宋" w:eastAsia="仿宋" w:cs="仿宋"/>
          <w:color w:val="000000"/>
          <w:highlight w:val="none"/>
        </w:rPr>
      </w:pPr>
      <w:r>
        <w:rPr>
          <w:rFonts w:hint="eastAsia" w:ascii="仿宋" w:hAnsi="仿宋" w:eastAsia="仿宋" w:cs="仿宋"/>
          <w:color w:val="000000"/>
          <w:highlight w:val="none"/>
        </w:rPr>
        <w:t xml:space="preserve">电话：                                     电话：     </w:t>
      </w:r>
    </w:p>
    <w:p w14:paraId="767C7D5B">
      <w:pPr>
        <w:rPr>
          <w:rFonts w:hint="eastAsia" w:ascii="仿宋" w:hAnsi="仿宋" w:eastAsia="仿宋" w:cs="仿宋"/>
          <w:color w:val="000000"/>
          <w:highlight w:val="none"/>
          <w:lang w:val="en-US" w:eastAsia="zh-Hans" w:bidi="ar-SA"/>
        </w:rPr>
      </w:pPr>
    </w:p>
    <w:p w14:paraId="2CDAF848">
      <w:pPr>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A4BF8">
    <w:pPr>
      <w:pStyle w:val="2"/>
      <w:spacing w:line="173" w:lineRule="auto"/>
      <w:ind w:left="4311"/>
      <w:rPr>
        <w:rFonts w:ascii="Lucida Sans Unicode" w:hAnsi="Lucida Sans Unicode" w:eastAsia="Lucida Sans Unicode" w:cs="Lucida Sans Unicode"/>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257D0"/>
    <w:rsid w:val="0D725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30"/>
      <w:szCs w:val="30"/>
    </w:rPr>
  </w:style>
  <w:style w:type="paragraph" w:styleId="3">
    <w:name w:val="Body Text Indent"/>
    <w:basedOn w:val="1"/>
    <w:next w:val="4"/>
    <w:semiHidden/>
    <w:unhideWhenUsed/>
    <w:qFormat/>
    <w:uiPriority w:val="99"/>
    <w:pPr>
      <w:spacing w:after="120"/>
      <w:ind w:left="420" w:leftChars="200"/>
    </w:pPr>
  </w:style>
  <w:style w:type="paragraph" w:styleId="4">
    <w:name w:val="Body Text First Indent 2"/>
    <w:basedOn w:val="3"/>
    <w:next w:val="5"/>
    <w:semiHidden/>
    <w:unhideWhenUsed/>
    <w:qFormat/>
    <w:uiPriority w:val="99"/>
    <w:pPr>
      <w:ind w:firstLine="420" w:firstLineChars="20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2026-06-24T07:42:00Z</dcterms:created>
  <dc:creator>梅涛</dc:creator>
  <cp:lastModifiedBy>梅涛</cp:lastModifiedBy>
  <dcterms:modified xsi:type="dcterms:W3CDTF">2026-06-24T07:43:49Z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44A3FC691A79402BAEE59B630E25228D_11</vt:lpwstr>
  </property>
  <property fmtid="{D5CDD505-2E9C-101B-9397-08002B2CF9AE}" pid="4" name="KSOTemplateDocerSaveRecord">
    <vt:lpwstr>eyJoZGlkIjoiZWFjZTU5MWU5YjY4ZDRiNDkwYzQyYjBhYmNjZmFhOGYiLCJ1c2VySWQiOiIxNTA2MjkwNDI4In0=</vt:lpwstr>
  </property>
</Properties>
</file>