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版本号：TZZB-HZ-2026217C20260818001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安全设备维保服务采购项目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TZZB-HZ-2026217C</w:t>
      </w:r>
      <w:r>
        <w:br/>
      </w:r>
      <w:r>
        <w:br/>
      </w:r>
      <w:r>
        <w:br/>
      </w:r>
    </w:p>
    <w:p>
      <w:pPr>
        <w:pStyle w:val="null3"/>
        <w:jc w:val="center"/>
        <w:outlineLvl w:val="2"/>
      </w:pPr>
      <w:r>
        <w:rPr>
          <w:rFonts w:ascii="仿宋_GB2312" w:hAnsi="仿宋_GB2312" w:cs="仿宋_GB2312" w:eastAsia="仿宋_GB2312"/>
          <w:sz w:val="28"/>
          <w:b/>
        </w:rPr>
        <w:t>汉中市人民医院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汉中市人民医院</w:t>
      </w:r>
      <w:r>
        <w:rPr>
          <w:rFonts w:ascii="仿宋_GB2312" w:hAnsi="仿宋_GB2312" w:cs="仿宋_GB2312" w:eastAsia="仿宋_GB2312"/>
        </w:rPr>
        <w:t>委托，拟对</w:t>
      </w:r>
      <w:r>
        <w:rPr>
          <w:rFonts w:ascii="仿宋_GB2312" w:hAnsi="仿宋_GB2312" w:cs="仿宋_GB2312" w:eastAsia="仿宋_GB2312"/>
        </w:rPr>
        <w:t>安全设备维保服务采购项目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TZZB-HZ-2026217C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安全设备维保服务采购项目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安全设备维保服务采购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采购包1（安全设备维保服务采购）：属于专门面向中小企业采购。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供应商提供《汉中市政府采购供应商资格承诺函》。</w:t>
      </w:r>
    </w:p>
    <w:p>
      <w:pPr>
        <w:pStyle w:val="null3"/>
      </w:pPr>
      <w:r>
        <w:rPr>
          <w:rFonts w:ascii="仿宋_GB2312" w:hAnsi="仿宋_GB2312" w:cs="仿宋_GB2312" w:eastAsia="仿宋_GB2312"/>
        </w:rPr>
        <w:t>3、供应商应授权合法的人员参加本项目磋商活动全过程：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0916-2709263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0916-2249355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采购包1：278,000.00元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代理服务费收费标准：按合同约定执行；代理服务费缴纳账号： 账户名称：同正项目管理有限公司汉中分公司 开户行：中国建设银行股份有限公司汉中北环路支行 银行账号：6105 0165 5200 0000 0101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汉中市人民医院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安全设备维保服务采购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278,000.00</w:t>
      </w:r>
    </w:p>
    <w:p>
      <w:pPr>
        <w:pStyle w:val="null3"/>
      </w:pPr>
      <w:r>
        <w:rPr>
          <w:rFonts w:ascii="仿宋_GB2312" w:hAnsi="仿宋_GB2312" w:cs="仿宋_GB2312" w:eastAsia="仿宋_GB2312"/>
        </w:rPr>
        <w:t>采购包最高限价（元）: 278,000.00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医院网络安全设备维保及升级服务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标的名称：医院网络安全设备维保及升级服务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45" w:after="330"/>
              <w:outlineLvl w:val="0"/>
            </w:pPr>
            <w:r>
              <w:rPr>
                <w:rFonts w:ascii="仿宋_GB2312" w:hAnsi="仿宋_GB2312" w:cs="仿宋_GB2312" w:eastAsia="仿宋_GB2312"/>
                <w:sz w:val="28"/>
                <w:b/>
                <w:color w:val="000000"/>
              </w:rPr>
              <w:t>一、</w:t>
            </w:r>
            <w:r>
              <w:rPr>
                <w:rFonts w:ascii="仿宋_GB2312" w:hAnsi="仿宋_GB2312" w:cs="仿宋_GB2312" w:eastAsia="仿宋_GB2312"/>
                <w:sz w:val="28"/>
                <w:b/>
                <w:color w:val="000000"/>
              </w:rPr>
              <w:t>项目概况</w:t>
            </w:r>
          </w:p>
          <w:p>
            <w:pPr>
              <w:pStyle w:val="null3"/>
              <w:ind w:firstLine="560"/>
            </w:pPr>
            <w:r>
              <w:rPr>
                <w:rFonts w:ascii="仿宋_GB2312" w:hAnsi="仿宋_GB2312" w:cs="仿宋_GB2312" w:eastAsia="仿宋_GB2312"/>
                <w:sz w:val="28"/>
                <w:color w:val="000000"/>
              </w:rPr>
              <w:t>随着汉中市人民医院</w:t>
            </w:r>
            <w:r>
              <w:rPr>
                <w:rFonts w:ascii="仿宋_GB2312" w:hAnsi="仿宋_GB2312" w:cs="仿宋_GB2312" w:eastAsia="仿宋_GB2312"/>
                <w:sz w:val="28"/>
                <w:color w:val="000000"/>
              </w:rPr>
              <w:t>对</w:t>
            </w:r>
            <w:r>
              <w:rPr>
                <w:rFonts w:ascii="仿宋_GB2312" w:hAnsi="仿宋_GB2312" w:cs="仿宋_GB2312" w:eastAsia="仿宋_GB2312"/>
                <w:sz w:val="28"/>
                <w:color w:val="000000"/>
              </w:rPr>
              <w:t>IT系统的依赖</w:t>
            </w:r>
            <w:r>
              <w:rPr>
                <w:rFonts w:ascii="仿宋_GB2312" w:hAnsi="仿宋_GB2312" w:cs="仿宋_GB2312" w:eastAsia="仿宋_GB2312"/>
                <w:sz w:val="28"/>
                <w:color w:val="000000"/>
              </w:rPr>
              <w:t>安全</w:t>
            </w:r>
            <w:r>
              <w:rPr>
                <w:rFonts w:ascii="仿宋_GB2312" w:hAnsi="仿宋_GB2312" w:cs="仿宋_GB2312" w:eastAsia="仿宋_GB2312"/>
                <w:sz w:val="28"/>
                <w:color w:val="000000"/>
              </w:rPr>
              <w:t>程度</w:t>
            </w:r>
            <w:r>
              <w:rPr>
                <w:rFonts w:ascii="仿宋_GB2312" w:hAnsi="仿宋_GB2312" w:cs="仿宋_GB2312" w:eastAsia="仿宋_GB2312"/>
                <w:sz w:val="28"/>
                <w:color w:val="000000"/>
              </w:rPr>
              <w:t>以及</w:t>
            </w:r>
            <w:r>
              <w:rPr>
                <w:rFonts w:ascii="仿宋_GB2312" w:hAnsi="仿宋_GB2312" w:cs="仿宋_GB2312" w:eastAsia="仿宋_GB2312"/>
                <w:sz w:val="28"/>
                <w:color w:val="000000"/>
              </w:rPr>
              <w:t>信息系统的业务连续性要求</w:t>
            </w:r>
            <w:r>
              <w:rPr>
                <w:rFonts w:ascii="仿宋_GB2312" w:hAnsi="仿宋_GB2312" w:cs="仿宋_GB2312" w:eastAsia="仿宋_GB2312"/>
                <w:sz w:val="28"/>
                <w:color w:val="000000"/>
              </w:rPr>
              <w:t>越来越</w:t>
            </w:r>
            <w:r>
              <w:rPr>
                <w:rFonts w:ascii="仿宋_GB2312" w:hAnsi="仿宋_GB2312" w:cs="仿宋_GB2312" w:eastAsia="仿宋_GB2312"/>
                <w:sz w:val="28"/>
                <w:color w:val="000000"/>
              </w:rPr>
              <w:t>高</w:t>
            </w:r>
            <w:r>
              <w:rPr>
                <w:rFonts w:ascii="仿宋_GB2312" w:hAnsi="仿宋_GB2312" w:cs="仿宋_GB2312" w:eastAsia="仿宋_GB2312"/>
                <w:sz w:val="28"/>
                <w:color w:val="000000"/>
              </w:rPr>
              <w:t>，</w:t>
            </w:r>
            <w:r>
              <w:rPr>
                <w:rFonts w:ascii="仿宋_GB2312" w:hAnsi="仿宋_GB2312" w:cs="仿宋_GB2312" w:eastAsia="仿宋_GB2312"/>
                <w:sz w:val="28"/>
                <w:color w:val="000000"/>
              </w:rPr>
              <w:t>从政策法规层面讲，需要满足《等保</w:t>
            </w:r>
            <w:r>
              <w:rPr>
                <w:rFonts w:ascii="仿宋_GB2312" w:hAnsi="仿宋_GB2312" w:cs="仿宋_GB2312" w:eastAsia="仿宋_GB2312"/>
                <w:sz w:val="28"/>
                <w:color w:val="000000"/>
              </w:rPr>
              <w:t>2.0》</w:t>
            </w:r>
            <w:r>
              <w:rPr>
                <w:rFonts w:ascii="仿宋_GB2312" w:hAnsi="仿宋_GB2312" w:cs="仿宋_GB2312" w:eastAsia="仿宋_GB2312"/>
                <w:sz w:val="28"/>
                <w:color w:val="000000"/>
              </w:rPr>
              <w:t>的要求也需要符合</w:t>
            </w:r>
            <w:r>
              <w:rPr>
                <w:rFonts w:ascii="仿宋_GB2312" w:hAnsi="仿宋_GB2312" w:cs="仿宋_GB2312" w:eastAsia="仿宋_GB2312"/>
                <w:sz w:val="28"/>
                <w:color w:val="000000"/>
              </w:rPr>
              <w:t>《</w:t>
            </w:r>
            <w:r>
              <w:rPr>
                <w:rFonts w:ascii="仿宋_GB2312" w:hAnsi="仿宋_GB2312" w:cs="仿宋_GB2312" w:eastAsia="仿宋_GB2312"/>
                <w:sz w:val="28"/>
                <w:color w:val="000000"/>
              </w:rPr>
              <w:t>中华人民共和国</w:t>
            </w:r>
            <w:r>
              <w:rPr>
                <w:rFonts w:ascii="仿宋_GB2312" w:hAnsi="仿宋_GB2312" w:cs="仿宋_GB2312" w:eastAsia="仿宋_GB2312"/>
                <w:sz w:val="28"/>
                <w:color w:val="000000"/>
              </w:rPr>
              <w:t>网络安全法》</w:t>
            </w:r>
            <w:r>
              <w:rPr>
                <w:rFonts w:ascii="仿宋_GB2312" w:hAnsi="仿宋_GB2312" w:cs="仿宋_GB2312" w:eastAsia="仿宋_GB2312"/>
                <w:sz w:val="28"/>
                <w:color w:val="000000"/>
              </w:rPr>
              <w:t>、《数据安全法》、《个人信息保护法》</w:t>
            </w:r>
            <w:r>
              <w:rPr>
                <w:rFonts w:ascii="仿宋_GB2312" w:hAnsi="仿宋_GB2312" w:cs="仿宋_GB2312" w:eastAsia="仿宋_GB2312"/>
                <w:sz w:val="28"/>
                <w:color w:val="000000"/>
              </w:rPr>
              <w:t>以及</w:t>
            </w:r>
            <w:r>
              <w:rPr>
                <w:rFonts w:ascii="仿宋_GB2312" w:hAnsi="仿宋_GB2312" w:cs="仿宋_GB2312" w:eastAsia="仿宋_GB2312"/>
                <w:sz w:val="28"/>
                <w:color w:val="000000"/>
              </w:rPr>
              <w:t>《</w:t>
            </w:r>
            <w:r>
              <w:rPr>
                <w:rFonts w:ascii="仿宋_GB2312" w:hAnsi="仿宋_GB2312" w:cs="仿宋_GB2312" w:eastAsia="仿宋_GB2312"/>
                <w:sz w:val="28"/>
                <w:color w:val="000000"/>
              </w:rPr>
              <w:t>医疗机构网络安全管理规范》、《医院信息化建设指南》等行业规范或</w:t>
            </w:r>
            <w:r>
              <w:rPr>
                <w:rFonts w:ascii="仿宋_GB2312" w:hAnsi="仿宋_GB2312" w:cs="仿宋_GB2312" w:eastAsia="仿宋_GB2312"/>
                <w:sz w:val="28"/>
                <w:color w:val="000000"/>
              </w:rPr>
              <w:t>相关</w:t>
            </w:r>
            <w:r>
              <w:rPr>
                <w:rFonts w:ascii="仿宋_GB2312" w:hAnsi="仿宋_GB2312" w:cs="仿宋_GB2312" w:eastAsia="仿宋_GB2312"/>
                <w:sz w:val="28"/>
                <w:color w:val="000000"/>
              </w:rPr>
              <w:t>要求。对医院业务本身来说，由于医院业务的特殊性，任何人为或自然因素所导致的应用或系统中断，都会造成医院巨大的经济和名誉损失及严重的法律后果。</w:t>
            </w:r>
            <w:r>
              <w:rPr>
                <w:rFonts w:ascii="仿宋_GB2312" w:hAnsi="仿宋_GB2312" w:cs="仿宋_GB2312" w:eastAsia="仿宋_GB2312"/>
                <w:sz w:val="28"/>
                <w:color w:val="000000"/>
              </w:rPr>
              <w:t>该项目对防火墙、上网行为管理、态势感知等安全设备的维保服务，使安全防护持续有效。增强对新型网络威胁的识别能力，比如针对医疗数据窃取、勒索病毒攻击等，确保医院诊疗、挂号、缴费等业务不受网络攻击干扰，保障医疗数据安全，医疗工作正常开展。</w:t>
            </w:r>
          </w:p>
          <w:p>
            <w:pPr>
              <w:pStyle w:val="null3"/>
              <w:ind w:firstLine="560"/>
            </w:pPr>
            <w:r>
              <w:rPr>
                <w:rFonts w:ascii="仿宋_GB2312" w:hAnsi="仿宋_GB2312" w:cs="仿宋_GB2312" w:eastAsia="仿宋_GB2312"/>
                <w:sz w:val="28"/>
                <w:color w:val="000000"/>
              </w:rPr>
              <w:t>为确保医院信息安全管理体系的有效性，本项目旨在对汉中市</w:t>
            </w:r>
            <w:r>
              <w:rPr>
                <w:rFonts w:ascii="仿宋_GB2312" w:hAnsi="仿宋_GB2312" w:cs="仿宋_GB2312" w:eastAsia="仿宋_GB2312"/>
                <w:sz w:val="28"/>
                <w:color w:val="000000"/>
              </w:rPr>
              <w:t>人民医院</w:t>
            </w:r>
            <w:r>
              <w:rPr>
                <w:rFonts w:ascii="仿宋_GB2312" w:hAnsi="仿宋_GB2312" w:cs="仿宋_GB2312" w:eastAsia="仿宋_GB2312"/>
                <w:sz w:val="28"/>
                <w:color w:val="000000"/>
              </w:rPr>
              <w:t>一批已过保修期的关键</w:t>
            </w:r>
            <w:r>
              <w:rPr>
                <w:rFonts w:ascii="仿宋_GB2312" w:hAnsi="仿宋_GB2312" w:cs="仿宋_GB2312" w:eastAsia="仿宋_GB2312"/>
                <w:sz w:val="28"/>
                <w:color w:val="000000"/>
              </w:rPr>
              <w:t>网络安全软</w:t>
            </w:r>
            <w:r>
              <w:rPr>
                <w:rFonts w:ascii="仿宋_GB2312" w:hAnsi="仿宋_GB2312" w:cs="仿宋_GB2312" w:eastAsia="仿宋_GB2312"/>
                <w:sz w:val="28"/>
                <w:color w:val="000000"/>
              </w:rPr>
              <w:t>硬件基础设施，采购为期一年的专业维保</w:t>
            </w:r>
            <w:r>
              <w:rPr>
                <w:rFonts w:ascii="仿宋_GB2312" w:hAnsi="仿宋_GB2312" w:cs="仿宋_GB2312" w:eastAsia="仿宋_GB2312"/>
                <w:sz w:val="28"/>
                <w:color w:val="000000"/>
              </w:rPr>
              <w:t>与</w:t>
            </w:r>
            <w:r>
              <w:rPr>
                <w:rFonts w:ascii="仿宋_GB2312" w:hAnsi="仿宋_GB2312" w:cs="仿宋_GB2312" w:eastAsia="仿宋_GB2312"/>
                <w:sz w:val="28"/>
                <w:color w:val="000000"/>
              </w:rPr>
              <w:t>相关安全软件</w:t>
            </w:r>
            <w:r>
              <w:rPr>
                <w:rFonts w:ascii="仿宋_GB2312" w:hAnsi="仿宋_GB2312" w:cs="仿宋_GB2312" w:eastAsia="仿宋_GB2312"/>
                <w:sz w:val="28"/>
                <w:color w:val="000000"/>
              </w:rPr>
              <w:t>升级服务</w:t>
            </w:r>
            <w:r>
              <w:rPr>
                <w:rFonts w:ascii="仿宋_GB2312" w:hAnsi="仿宋_GB2312" w:cs="仿宋_GB2312" w:eastAsia="仿宋_GB2312"/>
                <w:sz w:val="28"/>
                <w:color w:val="000000"/>
              </w:rPr>
              <w:t>。通过采购原厂维保服务及全面的技术支持服务，对清单所列设备进行</w:t>
            </w:r>
            <w:r>
              <w:rPr>
                <w:rFonts w:ascii="仿宋_GB2312" w:hAnsi="仿宋_GB2312" w:cs="仿宋_GB2312" w:eastAsia="仿宋_GB2312"/>
                <w:sz w:val="28"/>
                <w:color w:val="000000"/>
              </w:rPr>
              <w:t>维</w:t>
            </w:r>
            <w:r>
              <w:rPr>
                <w:rFonts w:ascii="仿宋_GB2312" w:hAnsi="仿宋_GB2312" w:cs="仿宋_GB2312" w:eastAsia="仿宋_GB2312"/>
                <w:sz w:val="28"/>
                <w:color w:val="000000"/>
              </w:rPr>
              <w:t>保</w:t>
            </w:r>
            <w:r>
              <w:rPr>
                <w:rFonts w:ascii="仿宋_GB2312" w:hAnsi="仿宋_GB2312" w:cs="仿宋_GB2312" w:eastAsia="仿宋_GB2312"/>
                <w:sz w:val="28"/>
                <w:color w:val="000000"/>
              </w:rPr>
              <w:t>。服务内容包括但不限于硬件故障修复、备件更换、</w:t>
            </w:r>
            <w:r>
              <w:rPr>
                <w:rFonts w:ascii="仿宋_GB2312" w:hAnsi="仿宋_GB2312" w:cs="仿宋_GB2312" w:eastAsia="仿宋_GB2312"/>
                <w:sz w:val="28"/>
                <w:color w:val="000000"/>
              </w:rPr>
              <w:t>软件版本升级</w:t>
            </w:r>
            <w:r>
              <w:rPr>
                <w:rFonts w:ascii="仿宋_GB2312" w:hAnsi="仿宋_GB2312" w:cs="仿宋_GB2312" w:eastAsia="仿宋_GB2312"/>
                <w:sz w:val="28"/>
                <w:color w:val="000000"/>
              </w:rPr>
              <w:t>漏洞补丁更新及相关策略或特征库升级</w:t>
            </w:r>
            <w:r>
              <w:rPr>
                <w:rFonts w:ascii="仿宋_GB2312" w:hAnsi="仿宋_GB2312" w:cs="仿宋_GB2312" w:eastAsia="仿宋_GB2312"/>
                <w:sz w:val="28"/>
                <w:color w:val="000000"/>
              </w:rPr>
              <w:t>、功能授权延续、安全规则库与病毒库的实时更新、</w:t>
            </w:r>
            <w:r>
              <w:rPr>
                <w:rFonts w:ascii="仿宋_GB2312" w:hAnsi="仿宋_GB2312" w:cs="仿宋_GB2312" w:eastAsia="仿宋_GB2312"/>
                <w:sz w:val="28"/>
                <w:color w:val="000000"/>
              </w:rPr>
              <w:t>7x24小时远程与现场技术支持、定期健康巡检等，以全面恢复并保障整个数据中心基础设施在下一服务周期内的可靠性、安全性及合规性。</w:t>
            </w:r>
          </w:p>
          <w:p>
            <w:pPr>
              <w:pStyle w:val="null3"/>
              <w:spacing w:before="255" w:after="255"/>
              <w:outlineLvl w:val="1"/>
            </w:pPr>
            <w:r>
              <w:rPr>
                <w:rFonts w:ascii="仿宋_GB2312" w:hAnsi="仿宋_GB2312" w:cs="仿宋_GB2312" w:eastAsia="仿宋_GB2312"/>
                <w:sz w:val="28"/>
                <w:b/>
                <w:color w:val="000000"/>
              </w:rPr>
              <w:t>1.1、</w:t>
            </w:r>
            <w:r>
              <w:rPr>
                <w:rFonts w:ascii="仿宋_GB2312" w:hAnsi="仿宋_GB2312" w:cs="仿宋_GB2312" w:eastAsia="仿宋_GB2312"/>
                <w:sz w:val="28"/>
                <w:b/>
                <w:color w:val="000000"/>
              </w:rPr>
              <w:t>维保</w:t>
            </w:r>
            <w:r>
              <w:rPr>
                <w:rFonts w:ascii="仿宋_GB2312" w:hAnsi="仿宋_GB2312" w:cs="仿宋_GB2312" w:eastAsia="仿宋_GB2312"/>
                <w:sz w:val="28"/>
                <w:b/>
                <w:color w:val="000000"/>
              </w:rPr>
              <w:t>设备清单</w:t>
            </w:r>
            <w:r>
              <w:rPr>
                <w:rFonts w:ascii="仿宋_GB2312" w:hAnsi="仿宋_GB2312" w:cs="仿宋_GB2312" w:eastAsia="仿宋_GB2312"/>
                <w:sz w:val="28"/>
                <w:b/>
                <w:color w:val="000000"/>
              </w:rPr>
              <w:t>：</w:t>
            </w:r>
          </w:p>
          <w:tbl>
            <w:tblPr>
              <w:tblInd w:type="dxa" w:w="120"/>
              <w:tblBorders>
                <w:top w:val="none" w:color="000000" w:sz="4"/>
                <w:left w:val="none" w:color="000000" w:sz="4"/>
                <w:bottom w:val="none" w:color="000000" w:sz="4"/>
                <w:right w:val="none" w:color="000000" w:sz="4"/>
                <w:insideH w:val="none"/>
                <w:insideV w:val="none"/>
              </w:tblBorders>
            </w:tblPr>
            <w:tblGrid>
              <w:gridCol w:w="196"/>
              <w:gridCol w:w="431"/>
              <w:gridCol w:w="657"/>
              <w:gridCol w:w="392"/>
              <w:gridCol w:w="448"/>
              <w:gridCol w:w="418"/>
            </w:tblGrid>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4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设备名称</w:t>
                  </w:r>
                </w:p>
              </w:tc>
              <w:tc>
                <w:tcPr>
                  <w:tcW w:type="dxa" w:w="6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产品型号</w:t>
                  </w:r>
                </w:p>
              </w:tc>
              <w:tc>
                <w:tcPr>
                  <w:tcW w:type="dxa" w:w="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数量</w:t>
                  </w:r>
                </w:p>
              </w:tc>
              <w:tc>
                <w:tcPr>
                  <w:tcW w:type="dxa" w:w="4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过保</w:t>
                  </w:r>
                  <w:r>
                    <w:rPr>
                      <w:rFonts w:ascii="仿宋_GB2312" w:hAnsi="仿宋_GB2312" w:cs="仿宋_GB2312" w:eastAsia="仿宋_GB2312"/>
                      <w:sz w:val="28"/>
                      <w:b/>
                      <w:color w:val="000000"/>
                    </w:rPr>
                    <w:t>时间</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备注</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日志审计</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SIP-Logger-C600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套</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2025-6-10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1年软件升级，含特征库升级</w:t>
                  </w:r>
                </w:p>
              </w:tc>
            </w:tr>
            <w:tr>
              <w:tc>
                <w:tcPr>
                  <w:tcW w:type="dxa" w:w="19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43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漏洞扫描</w:t>
                  </w:r>
                </w:p>
              </w:tc>
              <w:tc>
                <w:tcPr>
                  <w:tcW w:type="dxa" w:w="65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YJ-1000-B1075</w:t>
                  </w:r>
                </w:p>
              </w:tc>
              <w:tc>
                <w:tcPr>
                  <w:tcW w:type="dxa" w:w="39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套</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2025-6-10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1年软件升级，含特征库升级</w:t>
                  </w:r>
                </w:p>
              </w:tc>
            </w:tr>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4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安全感知系统平台</w:t>
                  </w:r>
                </w:p>
              </w:tc>
              <w:tc>
                <w:tcPr>
                  <w:tcW w:type="dxa" w:w="6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SIP-1000-B400</w:t>
                  </w:r>
                </w:p>
              </w:tc>
              <w:tc>
                <w:tcPr>
                  <w:tcW w:type="dxa" w:w="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套</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2025-6-10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1年软件升级，含特征库升级</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数据库审计</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DAS-1000-B2100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套</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2025-6-10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1年软件升级，含特征库升级</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探针</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STA-100-B2100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套</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2025-6-10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1年软件升级，含特征库升级</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终端安全</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终端安全管理系统（</w:t>
                  </w:r>
                  <w:r>
                    <w:rPr>
                      <w:rFonts w:ascii="仿宋_GB2312" w:hAnsi="仿宋_GB2312" w:cs="仿宋_GB2312" w:eastAsia="仿宋_GB2312"/>
                      <w:sz w:val="28"/>
                      <w:color w:val="000000"/>
                    </w:rPr>
                    <w:t>EDR）</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全院服务器及桌面终端</w:t>
                  </w:r>
                  <w:r>
                    <w:rPr>
                      <w:rFonts w:ascii="仿宋_GB2312" w:hAnsi="仿宋_GB2312" w:cs="仿宋_GB2312" w:eastAsia="仿宋_GB2312"/>
                      <w:sz w:val="28"/>
                      <w:color w:val="000000"/>
                    </w:rPr>
                    <w:t>EDR，不限数量</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2025-6-10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1年软件升级，含特征库升级</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上网行为管理</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AC-1000-B1500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套</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2025-6-10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1年软件升级，URL&amp;应用识别规则库升级</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堡垒机</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OSM-1000-B2100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套</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2025-6-10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1年软件升级，含特征库升级</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内网准入</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AC-1000-B1400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套</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2025-6-10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1年软件升级，URL&amp;应用识别规则库升级</w:t>
                  </w:r>
                </w:p>
              </w:tc>
            </w:tr>
            <w:tr>
              <w:tc>
                <w:tcPr>
                  <w:tcW w:type="dxa" w:w="19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DMZ防火墙</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AF-2000-B2132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套</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2025-6-10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1年软件升级，含特征库升级</w:t>
                  </w:r>
                </w:p>
              </w:tc>
            </w:tr>
            <w:tr>
              <w:tc>
                <w:tcPr>
                  <w:tcW w:type="dxa" w:w="196"/>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内外网防火墙</w:t>
                  </w:r>
                  <w:r>
                    <w:rPr>
                      <w:rFonts w:ascii="仿宋_GB2312" w:hAnsi="仿宋_GB2312" w:cs="仿宋_GB2312" w:eastAsia="仿宋_GB2312"/>
                      <w:sz w:val="28"/>
                      <w:color w:val="000000"/>
                    </w:rPr>
                    <w:t>-A</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AF-2000-B2132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套</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2025-6-10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1年软件升级，含特征库升级</w:t>
                  </w:r>
                </w:p>
              </w:tc>
            </w:tr>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内外网防火墙</w:t>
                  </w:r>
                  <w:r>
                    <w:rPr>
                      <w:rFonts w:ascii="仿宋_GB2312" w:hAnsi="仿宋_GB2312" w:cs="仿宋_GB2312" w:eastAsia="仿宋_GB2312"/>
                      <w:sz w:val="28"/>
                      <w:color w:val="000000"/>
                    </w:rPr>
                    <w:t>-B</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AF-2000-B2132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套</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2025-6-10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1年软件升级，含特征库升级</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WAF防护</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WAF-2000-B2100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套</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2025-6-10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1年软件升级,含特征库升级</w:t>
                  </w: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14</w:t>
                  </w:r>
                </w:p>
              </w:tc>
              <w:tc>
                <w:tcPr>
                  <w:tcW w:type="dxa" w:w="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互联网出口防火墙系统</w:t>
                  </w:r>
                </w:p>
              </w:tc>
              <w:tc>
                <w:tcPr>
                  <w:tcW w:type="dxa" w:w="6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color w:val="000000"/>
                    </w:rPr>
                    <w:t>Power V6000-U2510E</w:t>
                  </w:r>
                </w:p>
              </w:tc>
              <w:tc>
                <w:tcPr>
                  <w:tcW w:type="dxa" w:w="3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套</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2025-6-10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1年病毒过滤特征库升级服务</w:t>
                  </w:r>
                </w:p>
              </w:tc>
            </w:tr>
            <w:tr>
              <w:tc>
                <w:tcPr>
                  <w:tcW w:type="dxa" w:w="196"/>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657"/>
                  <w:vMerge/>
                  <w:tcBorders>
                    <w:top w:val="none" w:color="000000" w:sz="4"/>
                    <w:left w:val="none" w:color="000000" w:sz="4"/>
                    <w:bottom w:val="single" w:color="000000" w:sz="4"/>
                    <w:right w:val="single" w:color="000000" w:sz="4"/>
                  </w:tcBorders>
                </w:tcPr>
                <w:p/>
              </w:tc>
              <w:tc>
                <w:tcPr>
                  <w:tcW w:type="dxa" w:w="392"/>
                  <w:vMerge/>
                  <w:tcBorders>
                    <w:top w:val="none" w:color="000000" w:sz="4"/>
                    <w:left w:val="none" w:color="000000" w:sz="4"/>
                    <w:bottom w:val="single" w:color="000000" w:sz="4"/>
                    <w:right w:val="single" w:color="000000" w:sz="4"/>
                  </w:tcBorders>
                </w:tcP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2025-6-10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1年入侵防御特征库升级服务</w:t>
                  </w:r>
                </w:p>
              </w:tc>
            </w:tr>
            <w:tr>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15</w:t>
                  </w:r>
                </w:p>
              </w:tc>
              <w:tc>
                <w:tcPr>
                  <w:tcW w:type="dxa" w:w="4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专线出口防火墙系统</w:t>
                  </w:r>
                </w:p>
              </w:tc>
              <w:tc>
                <w:tcPr>
                  <w:tcW w:type="dxa" w:w="65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color w:val="000000"/>
                    </w:rPr>
                    <w:t>Power V6000-U2510E</w:t>
                  </w:r>
                </w:p>
              </w:tc>
              <w:tc>
                <w:tcPr>
                  <w:tcW w:type="dxa" w:w="3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r>
                    <w:rPr>
                      <w:rFonts w:ascii="仿宋_GB2312" w:hAnsi="仿宋_GB2312" w:cs="仿宋_GB2312" w:eastAsia="仿宋_GB2312"/>
                      <w:sz w:val="28"/>
                      <w:color w:val="000000"/>
                    </w:rPr>
                    <w:t>套</w:t>
                  </w: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2025-6-10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1年病毒过滤特征库升级服务</w:t>
                  </w:r>
                </w:p>
              </w:tc>
            </w:tr>
            <w:tr>
              <w:tc>
                <w:tcPr>
                  <w:tcW w:type="dxa" w:w="196"/>
                  <w:vMerge/>
                  <w:tcBorders>
                    <w:top w:val="none" w:color="000000" w:sz="4"/>
                    <w:left w:val="single" w:color="000000" w:sz="4"/>
                    <w:bottom w:val="single" w:color="000000" w:sz="4"/>
                    <w:right w:val="single" w:color="000000" w:sz="4"/>
                  </w:tcBorders>
                </w:tcPr>
                <w:p/>
              </w:tc>
              <w:tc>
                <w:tcPr>
                  <w:tcW w:type="dxa" w:w="431"/>
                  <w:vMerge/>
                  <w:tcBorders>
                    <w:top w:val="none" w:color="000000" w:sz="4"/>
                    <w:left w:val="none" w:color="000000" w:sz="4"/>
                    <w:bottom w:val="single" w:color="000000" w:sz="4"/>
                    <w:right w:val="single" w:color="000000" w:sz="4"/>
                  </w:tcBorders>
                </w:tcPr>
                <w:p/>
              </w:tc>
              <w:tc>
                <w:tcPr>
                  <w:tcW w:type="dxa" w:w="657"/>
                  <w:vMerge/>
                  <w:tcBorders>
                    <w:top w:val="none" w:color="000000" w:sz="4"/>
                    <w:left w:val="none" w:color="000000" w:sz="4"/>
                    <w:bottom w:val="single" w:color="000000" w:sz="4"/>
                    <w:right w:val="single" w:color="000000" w:sz="4"/>
                  </w:tcBorders>
                </w:tcPr>
                <w:p/>
              </w:tc>
              <w:tc>
                <w:tcPr>
                  <w:tcW w:type="dxa" w:w="392"/>
                  <w:vMerge/>
                  <w:tcBorders>
                    <w:top w:val="none" w:color="000000" w:sz="4"/>
                    <w:left w:val="none" w:color="000000" w:sz="4"/>
                    <w:bottom w:val="single" w:color="000000" w:sz="4"/>
                    <w:right w:val="single" w:color="000000" w:sz="4"/>
                  </w:tcBorders>
                </w:tcPr>
                <w:p/>
              </w:tc>
              <w:tc>
                <w:tcPr>
                  <w:tcW w:type="dxa" w:w="4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2025-6-10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1年入侵防御特征库升级服务</w:t>
                  </w:r>
                </w:p>
              </w:tc>
            </w:tr>
          </w:tbl>
          <w:p>
            <w:pPr>
              <w:pStyle w:val="null3"/>
              <w:spacing w:before="345" w:after="330"/>
              <w:outlineLvl w:val="0"/>
            </w:pPr>
            <w:r>
              <w:rPr>
                <w:rFonts w:ascii="仿宋_GB2312" w:hAnsi="仿宋_GB2312" w:cs="仿宋_GB2312" w:eastAsia="仿宋_GB2312"/>
                <w:sz w:val="28"/>
                <w:b/>
                <w:color w:val="000000"/>
              </w:rPr>
              <w:t>二、</w:t>
            </w:r>
            <w:r>
              <w:rPr>
                <w:rFonts w:ascii="仿宋_GB2312" w:hAnsi="仿宋_GB2312" w:cs="仿宋_GB2312" w:eastAsia="仿宋_GB2312"/>
                <w:sz w:val="28"/>
                <w:b/>
                <w:color w:val="000000"/>
              </w:rPr>
              <w:t>技术</w:t>
            </w:r>
            <w:r>
              <w:rPr>
                <w:rFonts w:ascii="仿宋_GB2312" w:hAnsi="仿宋_GB2312" w:cs="仿宋_GB2312" w:eastAsia="仿宋_GB2312"/>
                <w:sz w:val="28"/>
                <w:b/>
                <w:color w:val="000000"/>
              </w:rPr>
              <w:t>服务</w:t>
            </w:r>
            <w:r>
              <w:rPr>
                <w:rFonts w:ascii="仿宋_GB2312" w:hAnsi="仿宋_GB2312" w:cs="仿宋_GB2312" w:eastAsia="仿宋_GB2312"/>
                <w:sz w:val="28"/>
                <w:b/>
                <w:color w:val="000000"/>
              </w:rPr>
              <w:t>要求</w:t>
            </w:r>
          </w:p>
          <w:p>
            <w:pPr>
              <w:pStyle w:val="null3"/>
              <w:spacing w:before="255" w:after="255"/>
              <w:outlineLvl w:val="1"/>
            </w:pPr>
            <w:r>
              <w:rPr>
                <w:rFonts w:ascii="仿宋_GB2312" w:hAnsi="仿宋_GB2312" w:cs="仿宋_GB2312" w:eastAsia="仿宋_GB2312"/>
                <w:sz w:val="28"/>
                <w:b/>
                <w:color w:val="000000"/>
              </w:rPr>
              <w:t>2.1、维保服务要求：</w:t>
            </w:r>
          </w:p>
          <w:p>
            <w:pPr>
              <w:pStyle w:val="null3"/>
              <w:ind w:firstLine="560"/>
            </w:pPr>
            <w:r>
              <w:rPr>
                <w:rFonts w:ascii="仿宋_GB2312" w:hAnsi="仿宋_GB2312" w:cs="仿宋_GB2312" w:eastAsia="仿宋_GB2312"/>
                <w:sz w:val="28"/>
                <w:color w:val="000000"/>
              </w:rPr>
              <w:t>响应人</w:t>
            </w:r>
            <w:r>
              <w:rPr>
                <w:rFonts w:ascii="仿宋_GB2312" w:hAnsi="仿宋_GB2312" w:cs="仿宋_GB2312" w:eastAsia="仿宋_GB2312"/>
                <w:sz w:val="28"/>
                <w:color w:val="000000"/>
              </w:rPr>
              <w:t>针对</w:t>
            </w:r>
            <w:r>
              <w:rPr>
                <w:rFonts w:ascii="仿宋_GB2312" w:hAnsi="仿宋_GB2312" w:cs="仿宋_GB2312" w:eastAsia="仿宋_GB2312"/>
                <w:sz w:val="28"/>
                <w:color w:val="000000"/>
              </w:rPr>
              <w:t>“维保设备清单”中的所有设备，</w:t>
            </w:r>
            <w:r>
              <w:rPr>
                <w:rFonts w:ascii="仿宋_GB2312" w:hAnsi="仿宋_GB2312" w:cs="仿宋_GB2312" w:eastAsia="仿宋_GB2312"/>
                <w:sz w:val="28"/>
                <w:color w:val="000000"/>
              </w:rPr>
              <w:t>须提供</w:t>
            </w:r>
            <w:r>
              <w:rPr>
                <w:rFonts w:ascii="仿宋_GB2312" w:hAnsi="仿宋_GB2312" w:cs="仿宋_GB2312" w:eastAsia="仿宋_GB2312"/>
                <w:sz w:val="28"/>
                <w:color w:val="000000"/>
              </w:rPr>
              <w:t>承诺函（内容涵盖本项目维保由设备原厂提供维保期</w:t>
            </w:r>
            <w:r>
              <w:rPr>
                <w:rFonts w:ascii="仿宋_GB2312" w:hAnsi="仿宋_GB2312" w:cs="仿宋_GB2312" w:eastAsia="仿宋_GB2312"/>
                <w:sz w:val="28"/>
                <w:color w:val="000000"/>
              </w:rPr>
              <w:t>、覆盖本次维保期的</w:t>
            </w:r>
            <w:r>
              <w:rPr>
                <w:rFonts w:ascii="仿宋_GB2312" w:hAnsi="仿宋_GB2312" w:cs="仿宋_GB2312" w:eastAsia="仿宋_GB2312"/>
                <w:sz w:val="28"/>
                <w:color w:val="000000"/>
              </w:rPr>
              <w:t>要求并加盖响应人公章）</w:t>
            </w:r>
            <w:r>
              <w:rPr>
                <w:rFonts w:ascii="仿宋_GB2312" w:hAnsi="仿宋_GB2312" w:cs="仿宋_GB2312" w:eastAsia="仿宋_GB2312"/>
                <w:sz w:val="28"/>
                <w:color w:val="000000"/>
              </w:rPr>
              <w:t>。该服务应至少包含以下内容，并需在投标文件中明确列出服务等级协议</w:t>
            </w:r>
            <w:r>
              <w:rPr>
                <w:rFonts w:ascii="仿宋_GB2312" w:hAnsi="仿宋_GB2312" w:cs="仿宋_GB2312" w:eastAsia="仿宋_GB2312"/>
                <w:sz w:val="28"/>
                <w:color w:val="000000"/>
              </w:rPr>
              <w:t>(SLA) 细节：</w:t>
            </w:r>
          </w:p>
          <w:p>
            <w:pPr>
              <w:pStyle w:val="null3"/>
              <w:ind w:firstLine="560"/>
            </w:pPr>
            <w:r>
              <w:rPr>
                <w:rFonts w:ascii="仿宋_GB2312" w:hAnsi="仿宋_GB2312" w:cs="仿宋_GB2312" w:eastAsia="仿宋_GB2312"/>
                <w:sz w:val="28"/>
                <w:color w:val="000000"/>
              </w:rPr>
              <w:t>服务响应与支持：提供</w:t>
            </w:r>
            <w:r>
              <w:rPr>
                <w:rFonts w:ascii="仿宋_GB2312" w:hAnsi="仿宋_GB2312" w:cs="仿宋_GB2312" w:eastAsia="仿宋_GB2312"/>
                <w:sz w:val="28"/>
                <w:color w:val="000000"/>
              </w:rPr>
              <w:t>7x24小时电话、邮件技术支持。对于软硬件故障，需明确界定</w:t>
            </w:r>
            <w:r>
              <w:rPr>
                <w:rFonts w:ascii="仿宋_GB2312" w:hAnsi="仿宋_GB2312" w:cs="仿宋_GB2312" w:eastAsia="仿宋_GB2312"/>
                <w:sz w:val="28"/>
                <w:color w:val="000000"/>
              </w:rPr>
              <w:t>故障的不同程度与</w:t>
            </w:r>
            <w:r>
              <w:rPr>
                <w:rFonts w:ascii="仿宋_GB2312" w:hAnsi="仿宋_GB2312" w:cs="仿宋_GB2312" w:eastAsia="仿宋_GB2312"/>
                <w:sz w:val="28"/>
                <w:color w:val="000000"/>
              </w:rPr>
              <w:t>等级</w:t>
            </w:r>
            <w:r>
              <w:rPr>
                <w:rFonts w:ascii="仿宋_GB2312" w:hAnsi="仿宋_GB2312" w:cs="仿宋_GB2312" w:eastAsia="仿宋_GB2312"/>
                <w:sz w:val="28"/>
                <w:color w:val="000000"/>
              </w:rPr>
              <w:t>（如</w:t>
            </w:r>
            <w:r>
              <w:rPr>
                <w:rFonts w:ascii="仿宋_GB2312" w:hAnsi="仿宋_GB2312" w:cs="仿宋_GB2312" w:eastAsia="仿宋_GB2312"/>
                <w:sz w:val="28"/>
                <w:color w:val="000000"/>
              </w:rPr>
              <w:t>P1紧急故障、P2重大故障、P3一般故障等）的响应与解决时限。原则上，紧急硬件故障应承诺提供7x24小时4小时内现场响应服务。</w:t>
            </w:r>
          </w:p>
          <w:p>
            <w:pPr>
              <w:pStyle w:val="null3"/>
              <w:ind w:firstLine="560"/>
            </w:pPr>
            <w:r>
              <w:rPr>
                <w:rFonts w:ascii="仿宋_GB2312" w:hAnsi="仿宋_GB2312" w:cs="仿宋_GB2312" w:eastAsia="仿宋_GB2312"/>
                <w:sz w:val="28"/>
                <w:color w:val="000000"/>
              </w:rPr>
              <w:t>硬件保障：服务期内，对故障硬件提供免费更换。需明确备件库级别（如金牌、银牌）及备件送达现场的时间承诺（如</w:t>
            </w:r>
            <w:r>
              <w:rPr>
                <w:rFonts w:ascii="仿宋_GB2312" w:hAnsi="仿宋_GB2312" w:cs="仿宋_GB2312" w:eastAsia="仿宋_GB2312"/>
                <w:sz w:val="28"/>
                <w:color w:val="000000"/>
              </w:rPr>
              <w:t>N小时备件先行）。</w:t>
            </w:r>
          </w:p>
          <w:p>
            <w:pPr>
              <w:pStyle w:val="null3"/>
              <w:ind w:firstLine="560"/>
            </w:pPr>
            <w:r>
              <w:rPr>
                <w:rFonts w:ascii="仿宋_GB2312" w:hAnsi="仿宋_GB2312" w:cs="仿宋_GB2312" w:eastAsia="仿宋_GB2312"/>
                <w:sz w:val="28"/>
                <w:color w:val="000000"/>
              </w:rPr>
              <w:t>软件支持：服务期内，提供软件版本升级、</w:t>
            </w:r>
            <w:r>
              <w:rPr>
                <w:rFonts w:ascii="仿宋_GB2312" w:hAnsi="仿宋_GB2312" w:cs="仿宋_GB2312" w:eastAsia="仿宋_GB2312"/>
                <w:sz w:val="28"/>
                <w:color w:val="000000"/>
              </w:rPr>
              <w:t>漏洞补丁更新</w:t>
            </w:r>
            <w:r>
              <w:rPr>
                <w:rFonts w:ascii="仿宋_GB2312" w:hAnsi="仿宋_GB2312" w:cs="仿宋_GB2312" w:eastAsia="仿宋_GB2312"/>
                <w:sz w:val="28"/>
                <w:color w:val="000000"/>
              </w:rPr>
              <w:t>及相关策略或特征库升级，功能授权延续，安全规则库</w:t>
            </w:r>
            <w:r>
              <w:rPr>
                <w:rFonts w:ascii="仿宋_GB2312" w:hAnsi="仿宋_GB2312" w:cs="仿宋_GB2312" w:eastAsia="仿宋_GB2312"/>
                <w:sz w:val="28"/>
                <w:color w:val="000000"/>
              </w:rPr>
              <w:t>与病毒库的</w:t>
            </w:r>
            <w:r>
              <w:rPr>
                <w:rFonts w:ascii="仿宋_GB2312" w:hAnsi="仿宋_GB2312" w:cs="仿宋_GB2312" w:eastAsia="仿宋_GB2312"/>
                <w:sz w:val="28"/>
                <w:color w:val="000000"/>
              </w:rPr>
              <w:t>实时更新</w:t>
            </w:r>
            <w:r>
              <w:rPr>
                <w:rFonts w:ascii="仿宋_GB2312" w:hAnsi="仿宋_GB2312" w:cs="仿宋_GB2312" w:eastAsia="仿宋_GB2312"/>
                <w:sz w:val="28"/>
                <w:color w:val="000000"/>
              </w:rPr>
              <w:t>，确保</w:t>
            </w:r>
            <w:r>
              <w:rPr>
                <w:rFonts w:ascii="仿宋_GB2312" w:hAnsi="仿宋_GB2312" w:cs="仿宋_GB2312" w:eastAsia="仿宋_GB2312"/>
                <w:sz w:val="28"/>
                <w:color w:val="000000"/>
              </w:rPr>
              <w:t>信息</w:t>
            </w:r>
            <w:r>
              <w:rPr>
                <w:rFonts w:ascii="仿宋_GB2312" w:hAnsi="仿宋_GB2312" w:cs="仿宋_GB2312" w:eastAsia="仿宋_GB2312"/>
                <w:sz w:val="28"/>
                <w:color w:val="000000"/>
              </w:rPr>
              <w:t>系统功能完整。</w:t>
            </w:r>
          </w:p>
          <w:p>
            <w:pPr>
              <w:pStyle w:val="null3"/>
              <w:ind w:firstLine="560"/>
            </w:pPr>
            <w:r>
              <w:rPr>
                <w:rFonts w:ascii="仿宋_GB2312" w:hAnsi="仿宋_GB2312" w:cs="仿宋_GB2312" w:eastAsia="仿宋_GB2312"/>
                <w:sz w:val="28"/>
                <w:color w:val="000000"/>
              </w:rPr>
              <w:t>定期巡检：每季度至少提供一次主动的远程或现场健康检查，并提供详细的巡检报告。</w:t>
            </w:r>
          </w:p>
          <w:p>
            <w:pPr>
              <w:pStyle w:val="null3"/>
              <w:spacing w:before="255" w:after="255"/>
              <w:outlineLvl w:val="1"/>
            </w:pPr>
            <w:r>
              <w:rPr>
                <w:rFonts w:ascii="仿宋_GB2312" w:hAnsi="仿宋_GB2312" w:cs="仿宋_GB2312" w:eastAsia="仿宋_GB2312"/>
                <w:sz w:val="28"/>
                <w:b/>
                <w:color w:val="000000"/>
              </w:rPr>
              <w:t>2.2</w:t>
            </w:r>
            <w:r>
              <w:rPr>
                <w:rFonts w:ascii="仿宋_GB2312" w:hAnsi="仿宋_GB2312" w:cs="仿宋_GB2312" w:eastAsia="仿宋_GB2312"/>
                <w:sz w:val="28"/>
                <w:b/>
                <w:color w:val="000000"/>
              </w:rPr>
              <w:t>、</w:t>
            </w:r>
            <w:r>
              <w:rPr>
                <w:rFonts w:ascii="仿宋_GB2312" w:hAnsi="仿宋_GB2312" w:cs="仿宋_GB2312" w:eastAsia="仿宋_GB2312"/>
                <w:sz w:val="28"/>
                <w:b/>
                <w:color w:val="000000"/>
              </w:rPr>
              <w:t>重保：重大节假日或医院重大活动安全保障。配合医院等</w:t>
            </w:r>
            <w:r>
              <w:rPr>
                <w:rFonts w:ascii="仿宋_GB2312" w:hAnsi="仿宋_GB2312" w:cs="仿宋_GB2312" w:eastAsia="仿宋_GB2312"/>
                <w:sz w:val="28"/>
                <w:b/>
                <w:color w:val="000000"/>
              </w:rPr>
              <w:t>保测评</w:t>
            </w:r>
            <w:r>
              <w:rPr>
                <w:rFonts w:ascii="仿宋_GB2312" w:hAnsi="仿宋_GB2312" w:cs="仿宋_GB2312" w:eastAsia="仿宋_GB2312"/>
                <w:sz w:val="28"/>
                <w:b/>
                <w:color w:val="000000"/>
              </w:rPr>
              <w:t>与相关评审</w:t>
            </w:r>
            <w:r>
              <w:rPr>
                <w:rFonts w:ascii="仿宋_GB2312" w:hAnsi="仿宋_GB2312" w:cs="仿宋_GB2312" w:eastAsia="仿宋_GB2312"/>
                <w:sz w:val="28"/>
                <w:b/>
                <w:color w:val="000000"/>
              </w:rPr>
              <w:t>。</w:t>
            </w:r>
          </w:p>
          <w:p>
            <w:pPr>
              <w:pStyle w:val="null3"/>
              <w:spacing w:before="255" w:after="255"/>
              <w:outlineLvl w:val="1"/>
            </w:pPr>
            <w:r>
              <w:rPr>
                <w:rFonts w:ascii="仿宋_GB2312" w:hAnsi="仿宋_GB2312" w:cs="仿宋_GB2312" w:eastAsia="仿宋_GB2312"/>
                <w:sz w:val="28"/>
                <w:b/>
                <w:color w:val="000000"/>
              </w:rPr>
              <w:t>2.3、响应人在全维保期内配合医院安全等保测评，</w:t>
            </w:r>
            <w:r>
              <w:rPr>
                <w:rFonts w:ascii="仿宋_GB2312" w:hAnsi="仿宋_GB2312" w:cs="仿宋_GB2312" w:eastAsia="仿宋_GB2312"/>
                <w:sz w:val="28"/>
                <w:b/>
                <w:color w:val="000000"/>
              </w:rPr>
              <w:t>数智</w:t>
            </w:r>
            <w:r>
              <w:rPr>
                <w:rFonts w:ascii="仿宋_GB2312" w:hAnsi="仿宋_GB2312" w:cs="仿宋_GB2312" w:eastAsia="仿宋_GB2312"/>
                <w:sz w:val="28"/>
                <w:b/>
                <w:color w:val="000000"/>
              </w:rPr>
              <w:t>医院评审、三申复审等工作。</w:t>
            </w:r>
          </w:p>
          <w:p>
            <w:pPr>
              <w:pStyle w:val="null3"/>
              <w:spacing w:before="255" w:after="255"/>
              <w:outlineLvl w:val="1"/>
            </w:pPr>
            <w:r>
              <w:rPr>
                <w:rFonts w:ascii="仿宋_GB2312" w:hAnsi="仿宋_GB2312" w:cs="仿宋_GB2312" w:eastAsia="仿宋_GB2312"/>
                <w:sz w:val="28"/>
                <w:b/>
                <w:color w:val="000000"/>
              </w:rPr>
              <w:t>2.</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、供应商全</w:t>
            </w:r>
            <w:r>
              <w:rPr>
                <w:rFonts w:ascii="仿宋_GB2312" w:hAnsi="仿宋_GB2312" w:cs="仿宋_GB2312" w:eastAsia="仿宋_GB2312"/>
                <w:sz w:val="28"/>
                <w:b/>
                <w:color w:val="000000"/>
              </w:rPr>
              <w:t>维保期内</w:t>
            </w:r>
            <w:r>
              <w:rPr>
                <w:rFonts w:ascii="仿宋_GB2312" w:hAnsi="仿宋_GB2312" w:cs="仿宋_GB2312" w:eastAsia="仿宋_GB2312"/>
                <w:sz w:val="28"/>
                <w:b/>
                <w:color w:val="000000"/>
              </w:rPr>
              <w:t>技术支持、故障处理与非维保设备服务要求</w:t>
            </w:r>
          </w:p>
          <w:p>
            <w:pPr>
              <w:pStyle w:val="null3"/>
              <w:ind w:firstLine="560"/>
            </w:pPr>
            <w:r>
              <w:rPr>
                <w:rFonts w:ascii="仿宋_GB2312" w:hAnsi="仿宋_GB2312" w:cs="仿宋_GB2312" w:eastAsia="仿宋_GB2312"/>
                <w:sz w:val="28"/>
                <w:color w:val="000000"/>
              </w:rPr>
              <w:t>响应人</w:t>
            </w:r>
            <w:r>
              <w:rPr>
                <w:rFonts w:ascii="仿宋_GB2312" w:hAnsi="仿宋_GB2312" w:cs="仿宋_GB2312" w:eastAsia="仿宋_GB2312"/>
                <w:sz w:val="28"/>
                <w:color w:val="000000"/>
              </w:rPr>
              <w:t>须针对本项目维保服务内容，提供详细、可落地的</w:t>
            </w:r>
            <w:r>
              <w:rPr>
                <w:rFonts w:ascii="仿宋_GB2312" w:hAnsi="仿宋_GB2312" w:cs="仿宋_GB2312" w:eastAsia="仿宋_GB2312"/>
                <w:sz w:val="28"/>
                <w:color w:val="000000"/>
              </w:rPr>
              <w:t>全</w:t>
            </w:r>
            <w:r>
              <w:rPr>
                <w:rFonts w:ascii="仿宋_GB2312" w:hAnsi="仿宋_GB2312" w:cs="仿宋_GB2312" w:eastAsia="仿宋_GB2312"/>
                <w:sz w:val="28"/>
                <w:color w:val="000000"/>
              </w:rPr>
              <w:t>维保期内</w:t>
            </w:r>
            <w:r>
              <w:rPr>
                <w:rFonts w:ascii="仿宋_GB2312" w:hAnsi="仿宋_GB2312" w:cs="仿宋_GB2312" w:eastAsia="仿宋_GB2312"/>
                <w:sz w:val="28"/>
                <w:color w:val="000000"/>
              </w:rPr>
              <w:t>技术支持方案，并承诺满足以下要求：</w:t>
            </w:r>
          </w:p>
          <w:p>
            <w:pPr>
              <w:pStyle w:val="null3"/>
              <w:spacing w:before="105" w:after="105"/>
            </w:pPr>
            <w:r>
              <w:rPr>
                <w:rFonts w:ascii="仿宋_GB2312" w:hAnsi="仿宋_GB2312" w:cs="仿宋_GB2312" w:eastAsia="仿宋_GB2312"/>
                <w:sz w:val="28"/>
                <w:color w:val="000000"/>
              </w:rPr>
              <w:t>2.</w:t>
            </w:r>
            <w:r>
              <w:rPr>
                <w:rFonts w:ascii="仿宋_GB2312" w:hAnsi="仿宋_GB2312" w:cs="仿宋_GB2312" w:eastAsia="仿宋_GB2312"/>
                <w:sz w:val="28"/>
                <w:color w:val="000000"/>
              </w:rPr>
              <w:t>4</w:t>
            </w:r>
            <w:r>
              <w:rPr>
                <w:rFonts w:ascii="仿宋_GB2312" w:hAnsi="仿宋_GB2312" w:cs="仿宋_GB2312" w:eastAsia="仿宋_GB2312"/>
                <w:sz w:val="28"/>
                <w:color w:val="000000"/>
              </w:rPr>
              <w:t>.1、维保清单内设备全</w:t>
            </w:r>
            <w:r>
              <w:rPr>
                <w:rFonts w:ascii="仿宋_GB2312" w:hAnsi="仿宋_GB2312" w:cs="仿宋_GB2312" w:eastAsia="仿宋_GB2312"/>
                <w:sz w:val="28"/>
                <w:color w:val="000000"/>
              </w:rPr>
              <w:t>维保期内</w:t>
            </w:r>
            <w:r>
              <w:rPr>
                <w:rFonts w:ascii="仿宋_GB2312" w:hAnsi="仿宋_GB2312" w:cs="仿宋_GB2312" w:eastAsia="仿宋_GB2312"/>
                <w:sz w:val="28"/>
                <w:color w:val="000000"/>
              </w:rPr>
              <w:t>服务承诺</w:t>
            </w:r>
          </w:p>
          <w:p>
            <w:pPr>
              <w:pStyle w:val="null3"/>
              <w:ind w:firstLine="560"/>
            </w:pPr>
            <w:r>
              <w:rPr>
                <w:rFonts w:ascii="仿宋_GB2312" w:hAnsi="仿宋_GB2312" w:cs="仿宋_GB2312" w:eastAsia="仿宋_GB2312"/>
                <w:sz w:val="28"/>
                <w:color w:val="000000"/>
              </w:rPr>
              <w:t>响应人</w:t>
            </w:r>
            <w:r>
              <w:rPr>
                <w:rFonts w:ascii="仿宋_GB2312" w:hAnsi="仿宋_GB2312" w:cs="仿宋_GB2312" w:eastAsia="仿宋_GB2312"/>
                <w:sz w:val="28"/>
                <w:color w:val="000000"/>
              </w:rPr>
              <w:t>须针对招标清单内所有设备，提供涵盖网络、安全、服务器、存储等系统的</w:t>
            </w:r>
            <w:r>
              <w:rPr>
                <w:rFonts w:ascii="仿宋_GB2312" w:hAnsi="仿宋_GB2312" w:cs="仿宋_GB2312" w:eastAsia="仿宋_GB2312"/>
                <w:sz w:val="28"/>
                <w:color w:val="000000"/>
              </w:rPr>
              <w:t>信息安全</w:t>
            </w:r>
            <w:r>
              <w:rPr>
                <w:rFonts w:ascii="仿宋_GB2312" w:hAnsi="仿宋_GB2312" w:cs="仿宋_GB2312" w:eastAsia="仿宋_GB2312"/>
                <w:sz w:val="28"/>
                <w:color w:val="000000"/>
              </w:rPr>
              <w:t>全方位技术支持，具体承诺应包括但不限于：</w:t>
            </w:r>
          </w:p>
          <w:p>
            <w:pPr>
              <w:pStyle w:val="null3"/>
              <w:ind w:firstLine="560"/>
            </w:pPr>
            <w:r>
              <w:rPr>
                <w:rFonts w:ascii="仿宋_GB2312" w:hAnsi="仿宋_GB2312" w:cs="仿宋_GB2312" w:eastAsia="仿宋_GB2312"/>
                <w:sz w:val="28"/>
                <w:color w:val="000000"/>
              </w:rPr>
              <w:t>服务响应：提供</w:t>
            </w:r>
            <w:r>
              <w:rPr>
                <w:rFonts w:ascii="仿宋_GB2312" w:hAnsi="仿宋_GB2312" w:cs="仿宋_GB2312" w:eastAsia="仿宋_GB2312"/>
                <w:sz w:val="28"/>
                <w:color w:val="000000"/>
              </w:rPr>
              <w:t>7×24小时故障受理与技术支持通道，设立本项目的专属服务接口人</w:t>
            </w:r>
            <w:r>
              <w:rPr>
                <w:rFonts w:ascii="仿宋_GB2312" w:hAnsi="仿宋_GB2312" w:cs="仿宋_GB2312" w:eastAsia="仿宋_GB2312"/>
                <w:sz w:val="28"/>
                <w:color w:val="000000"/>
              </w:rPr>
              <w:t>或专属负责人</w:t>
            </w:r>
            <w:r>
              <w:rPr>
                <w:rFonts w:ascii="仿宋_GB2312" w:hAnsi="仿宋_GB2312" w:cs="仿宋_GB2312" w:eastAsia="仿宋_GB2312"/>
                <w:sz w:val="28"/>
                <w:color w:val="000000"/>
              </w:rPr>
              <w:t>。</w:t>
            </w:r>
          </w:p>
          <w:p>
            <w:pPr>
              <w:pStyle w:val="null3"/>
              <w:ind w:firstLine="560"/>
            </w:pPr>
            <w:r>
              <w:rPr>
                <w:rFonts w:ascii="仿宋_GB2312" w:hAnsi="仿宋_GB2312" w:cs="仿宋_GB2312" w:eastAsia="仿宋_GB2312"/>
                <w:sz w:val="28"/>
                <w:color w:val="000000"/>
              </w:rPr>
              <w:t>远程响应时间：对于可远程处理的问题，承诺在</w:t>
            </w:r>
            <w:r>
              <w:rPr>
                <w:rFonts w:ascii="仿宋_GB2312" w:hAnsi="仿宋_GB2312" w:cs="仿宋_GB2312" w:eastAsia="仿宋_GB2312"/>
                <w:sz w:val="28"/>
                <w:color w:val="000000"/>
              </w:rPr>
              <w:t>30分钟内响应并介入。</w:t>
            </w:r>
          </w:p>
          <w:p>
            <w:pPr>
              <w:pStyle w:val="null3"/>
              <w:ind w:firstLine="560"/>
            </w:pPr>
            <w:r>
              <w:rPr>
                <w:rFonts w:ascii="仿宋_GB2312" w:hAnsi="仿宋_GB2312" w:cs="仿宋_GB2312" w:eastAsia="仿宋_GB2312"/>
                <w:sz w:val="28"/>
                <w:color w:val="000000"/>
              </w:rPr>
              <w:t>现场响应时间：对于</w:t>
            </w:r>
            <w:r>
              <w:rPr>
                <w:rFonts w:ascii="仿宋_GB2312" w:hAnsi="仿宋_GB2312" w:cs="仿宋_GB2312" w:eastAsia="仿宋_GB2312"/>
                <w:sz w:val="28"/>
                <w:color w:val="000000"/>
              </w:rPr>
              <w:t>紧急</w:t>
            </w:r>
            <w:r>
              <w:rPr>
                <w:rFonts w:ascii="仿宋_GB2312" w:hAnsi="仿宋_GB2312" w:cs="仿宋_GB2312" w:eastAsia="仿宋_GB2312"/>
                <w:sz w:val="28"/>
                <w:color w:val="000000"/>
              </w:rPr>
              <w:t>故障</w:t>
            </w:r>
            <w:r>
              <w:rPr>
                <w:rFonts w:ascii="仿宋_GB2312" w:hAnsi="仿宋_GB2312" w:cs="仿宋_GB2312" w:eastAsia="仿宋_GB2312"/>
                <w:sz w:val="28"/>
                <w:color w:val="000000"/>
              </w:rPr>
              <w:t>或重大故障</w:t>
            </w:r>
            <w:r>
              <w:rPr>
                <w:rFonts w:ascii="仿宋_GB2312" w:hAnsi="仿宋_GB2312" w:cs="仿宋_GB2312" w:eastAsia="仿宋_GB2312"/>
                <w:sz w:val="28"/>
                <w:color w:val="000000"/>
              </w:rPr>
              <w:t>，承诺在</w:t>
            </w:r>
            <w:r>
              <w:rPr>
                <w:rFonts w:ascii="仿宋_GB2312" w:hAnsi="仿宋_GB2312" w:cs="仿宋_GB2312" w:eastAsia="仿宋_GB2312"/>
                <w:sz w:val="28"/>
                <w:color w:val="000000"/>
              </w:rPr>
              <w:t>3小时内派遣工程师抵达用户现场。</w:t>
            </w:r>
          </w:p>
          <w:p>
            <w:pPr>
              <w:pStyle w:val="null3"/>
              <w:ind w:firstLine="560"/>
            </w:pPr>
            <w:r>
              <w:rPr>
                <w:rFonts w:ascii="仿宋_GB2312" w:hAnsi="仿宋_GB2312" w:cs="仿宋_GB2312" w:eastAsia="仿宋_GB2312"/>
                <w:sz w:val="28"/>
                <w:color w:val="000000"/>
              </w:rPr>
              <w:t>主动预防性维护：承诺每季度提供一次</w:t>
            </w:r>
            <w:r>
              <w:rPr>
                <w:rFonts w:ascii="仿宋_GB2312" w:hAnsi="仿宋_GB2312" w:cs="仿宋_GB2312" w:eastAsia="仿宋_GB2312"/>
                <w:sz w:val="28"/>
                <w:color w:val="000000"/>
              </w:rPr>
              <w:t>主动</w:t>
            </w:r>
            <w:r>
              <w:rPr>
                <w:rFonts w:ascii="仿宋_GB2312" w:hAnsi="仿宋_GB2312" w:cs="仿宋_GB2312" w:eastAsia="仿宋_GB2312"/>
                <w:sz w:val="28"/>
                <w:color w:val="000000"/>
              </w:rPr>
              <w:t>的全面健康检查（可远程与现场结合），并在服务完成后</w:t>
            </w:r>
            <w:r>
              <w:rPr>
                <w:rFonts w:ascii="仿宋_GB2312" w:hAnsi="仿宋_GB2312" w:cs="仿宋_GB2312" w:eastAsia="仿宋_GB2312"/>
                <w:sz w:val="28"/>
                <w:color w:val="000000"/>
              </w:rPr>
              <w:t>5个工作日内提交包含设备状态、风险分析与优化建议的巡检报告。</w:t>
            </w:r>
          </w:p>
          <w:p>
            <w:pPr>
              <w:pStyle w:val="null3"/>
              <w:ind w:firstLine="560"/>
            </w:pPr>
            <w:r>
              <w:rPr>
                <w:rFonts w:ascii="仿宋_GB2312" w:hAnsi="仿宋_GB2312" w:cs="仿宋_GB2312" w:eastAsia="仿宋_GB2312"/>
                <w:sz w:val="28"/>
                <w:color w:val="000000"/>
              </w:rPr>
              <w:t>软件与安全更新：承诺在服务期内，确保所有安全设备的特征库、病毒库及许可软件版本持续有效并及时更新，确保所有系统软件获得必要的安全补丁与兼容性升级。</w:t>
            </w:r>
          </w:p>
          <w:p>
            <w:pPr>
              <w:pStyle w:val="null3"/>
              <w:spacing w:before="105" w:after="105"/>
            </w:pPr>
            <w:r>
              <w:rPr>
                <w:rFonts w:ascii="仿宋_GB2312" w:hAnsi="仿宋_GB2312" w:cs="仿宋_GB2312" w:eastAsia="仿宋_GB2312"/>
                <w:sz w:val="28"/>
                <w:color w:val="000000"/>
              </w:rPr>
              <w:t>2.</w:t>
            </w:r>
            <w:r>
              <w:rPr>
                <w:rFonts w:ascii="仿宋_GB2312" w:hAnsi="仿宋_GB2312" w:cs="仿宋_GB2312" w:eastAsia="仿宋_GB2312"/>
                <w:sz w:val="28"/>
                <w:color w:val="000000"/>
              </w:rPr>
              <w:t>4</w:t>
            </w:r>
            <w:r>
              <w:rPr>
                <w:rFonts w:ascii="仿宋_GB2312" w:hAnsi="仿宋_GB2312" w:cs="仿宋_GB2312" w:eastAsia="仿宋_GB2312"/>
                <w:sz w:val="28"/>
                <w:color w:val="000000"/>
              </w:rPr>
              <w:t>.2、非维保清单内设备的延伸服务承诺</w:t>
            </w:r>
          </w:p>
          <w:p>
            <w:pPr>
              <w:pStyle w:val="null3"/>
              <w:ind w:firstLine="560"/>
            </w:pPr>
            <w:r>
              <w:rPr>
                <w:rFonts w:ascii="仿宋_GB2312" w:hAnsi="仿宋_GB2312" w:cs="仿宋_GB2312" w:eastAsia="仿宋_GB2312"/>
                <w:sz w:val="28"/>
                <w:color w:val="000000"/>
              </w:rPr>
              <w:t>为保障采购人整体</w:t>
            </w:r>
            <w:r>
              <w:rPr>
                <w:rFonts w:ascii="仿宋_GB2312" w:hAnsi="仿宋_GB2312" w:cs="仿宋_GB2312" w:eastAsia="仿宋_GB2312"/>
                <w:sz w:val="28"/>
                <w:color w:val="000000"/>
              </w:rPr>
              <w:t>IT环境的稳定性，鼓励</w:t>
            </w:r>
            <w:r>
              <w:rPr>
                <w:rFonts w:ascii="仿宋_GB2312" w:hAnsi="仿宋_GB2312" w:cs="仿宋_GB2312" w:eastAsia="仿宋_GB2312"/>
                <w:sz w:val="28"/>
                <w:color w:val="000000"/>
              </w:rPr>
              <w:t>响应人</w:t>
            </w:r>
            <w:r>
              <w:rPr>
                <w:rFonts w:ascii="仿宋_GB2312" w:hAnsi="仿宋_GB2312" w:cs="仿宋_GB2312" w:eastAsia="仿宋_GB2312"/>
                <w:sz w:val="28"/>
                <w:color w:val="000000"/>
              </w:rPr>
              <w:t>提供延伸服务支持：</w:t>
            </w:r>
          </w:p>
          <w:p>
            <w:pPr>
              <w:pStyle w:val="null3"/>
              <w:ind w:firstLine="560"/>
            </w:pPr>
            <w:r>
              <w:rPr>
                <w:rFonts w:ascii="仿宋_GB2312" w:hAnsi="仿宋_GB2312" w:cs="仿宋_GB2312" w:eastAsia="仿宋_GB2312"/>
                <w:sz w:val="28"/>
                <w:color w:val="000000"/>
              </w:rPr>
              <w:t>①</w:t>
            </w:r>
            <w:r>
              <w:rPr>
                <w:rFonts w:ascii="仿宋_GB2312" w:hAnsi="仿宋_GB2312" w:cs="仿宋_GB2312" w:eastAsia="仿宋_GB2312"/>
                <w:sz w:val="28"/>
                <w:color w:val="000000"/>
              </w:rPr>
              <w:t>故障诊断协助：</w:t>
            </w:r>
            <w:r>
              <w:rPr>
                <w:rFonts w:ascii="仿宋_GB2312" w:hAnsi="仿宋_GB2312" w:cs="仿宋_GB2312" w:eastAsia="仿宋_GB2312"/>
                <w:sz w:val="28"/>
                <w:color w:val="000000"/>
              </w:rPr>
              <w:t>响应人</w:t>
            </w:r>
            <w:r>
              <w:rPr>
                <w:rFonts w:ascii="仿宋_GB2312" w:hAnsi="仿宋_GB2312" w:cs="仿宋_GB2312" w:eastAsia="仿宋_GB2312"/>
                <w:sz w:val="28"/>
                <w:color w:val="000000"/>
              </w:rPr>
              <w:t>可自愿承诺，对采购人现网中未包含在本项目维保清单内的其他网络、安全、服务器及存储设备，在收到协助请求时，提供同优先级的远程技术咨询与故障初步定位服务。</w:t>
            </w:r>
          </w:p>
          <w:p>
            <w:pPr>
              <w:pStyle w:val="null3"/>
              <w:ind w:firstLine="560"/>
            </w:pPr>
            <w:r>
              <w:rPr>
                <w:rFonts w:ascii="仿宋_GB2312" w:hAnsi="仿宋_GB2312" w:cs="仿宋_GB2312" w:eastAsia="仿宋_GB2312"/>
                <w:sz w:val="28"/>
                <w:color w:val="000000"/>
              </w:rPr>
              <w:t>②</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成本价维修服务：对于上述非维保设备，若经诊断需硬件维修或更换，</w:t>
            </w:r>
            <w:r>
              <w:rPr>
                <w:rFonts w:ascii="仿宋_GB2312" w:hAnsi="仿宋_GB2312" w:cs="仿宋_GB2312" w:eastAsia="仿宋_GB2312"/>
                <w:sz w:val="28"/>
                <w:color w:val="000000"/>
              </w:rPr>
              <w:t>响应人</w:t>
            </w:r>
            <w:r>
              <w:rPr>
                <w:rFonts w:ascii="仿宋_GB2312" w:hAnsi="仿宋_GB2312" w:cs="仿宋_GB2312" w:eastAsia="仿宋_GB2312"/>
                <w:sz w:val="28"/>
                <w:color w:val="000000"/>
              </w:rPr>
              <w:t>可自愿承诺提供</w:t>
            </w:r>
            <w:r>
              <w:rPr>
                <w:rFonts w:ascii="仿宋_GB2312" w:hAnsi="仿宋_GB2312" w:cs="仿宋_GB2312" w:eastAsia="仿宋_GB2312"/>
                <w:sz w:val="28"/>
                <w:color w:val="000000"/>
              </w:rPr>
              <w:t>市场</w:t>
            </w:r>
            <w:r>
              <w:rPr>
                <w:rFonts w:ascii="仿宋_GB2312" w:hAnsi="仿宋_GB2312" w:cs="仿宋_GB2312" w:eastAsia="仿宋_GB2312"/>
                <w:sz w:val="28"/>
                <w:color w:val="000000"/>
              </w:rPr>
              <w:t>成本价维修。</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8"/>
                <w:b/>
                <w:color w:val="000000"/>
              </w:rPr>
              <w:t>三、商务要求（实质性响应要求，不得负偏离）</w:t>
            </w:r>
          </w:p>
          <w:p>
            <w:pPr>
              <w:pStyle w:val="null3"/>
              <w:jc w:val="left"/>
              <w:outlineLvl w:val="3"/>
            </w:pPr>
            <w:r>
              <w:rPr>
                <w:rFonts w:ascii="仿宋_GB2312" w:hAnsi="仿宋_GB2312" w:cs="仿宋_GB2312" w:eastAsia="仿宋_GB2312"/>
                <w:sz w:val="28"/>
                <w:b/>
                <w:color w:val="000000"/>
                <w:shd w:fill="FFFFFF" w:val="clear"/>
              </w:rPr>
              <w:t xml:space="preserve">  1、服务期：自合同签订之日起一年。本项目采取一次招标三年沿用、实行一年一考核一签合同的办法，合同期满前一个月，医院主管部门将根据所提供服务的总体考核情况，决定是否续签后一年度合同。</w:t>
            </w:r>
          </w:p>
          <w:p>
            <w:pPr>
              <w:pStyle w:val="null3"/>
              <w:jc w:val="left"/>
              <w:outlineLvl w:val="3"/>
            </w:pPr>
            <w:r>
              <w:rPr>
                <w:rFonts w:ascii="仿宋_GB2312" w:hAnsi="仿宋_GB2312" w:cs="仿宋_GB2312" w:eastAsia="仿宋_GB2312"/>
                <w:sz w:val="28"/>
                <w:b/>
                <w:color w:val="000000"/>
                <w:shd w:fill="FFFFFF" w:val="clear"/>
              </w:rPr>
              <w:t xml:space="preserve">  2、服务地点：采购人指定地点。</w:t>
            </w:r>
          </w:p>
          <w:p>
            <w:pPr>
              <w:pStyle w:val="null3"/>
              <w:ind w:firstLine="560"/>
              <w:jc w:val="both"/>
            </w:pPr>
            <w:r>
              <w:rPr>
                <w:rFonts w:ascii="仿宋_GB2312" w:hAnsi="仿宋_GB2312" w:cs="仿宋_GB2312" w:eastAsia="仿宋_GB2312"/>
                <w:sz w:val="28"/>
                <w:color w:val="000000"/>
                <w:shd w:fill="FFFFFF" w:val="clear"/>
              </w:rPr>
              <w:t>3、合同支付约定：①</w:t>
            </w:r>
            <w:r>
              <w:rPr>
                <w:rFonts w:ascii="仿宋_GB2312" w:hAnsi="仿宋_GB2312" w:cs="仿宋_GB2312" w:eastAsia="仿宋_GB2312"/>
                <w:sz w:val="28"/>
                <w:color w:val="000000"/>
                <w:shd w:fill="FFFFFF" w:val="clear"/>
              </w:rPr>
              <w:t>自合同签订之日起</w:t>
            </w:r>
            <w:r>
              <w:rPr>
                <w:rFonts w:ascii="仿宋_GB2312" w:hAnsi="仿宋_GB2312" w:cs="仿宋_GB2312" w:eastAsia="仿宋_GB2312"/>
                <w:sz w:val="28"/>
                <w:color w:val="000000"/>
                <w:shd w:fill="FFFFFF" w:val="clear"/>
              </w:rPr>
              <w:t>12个月为一个服务周期，满一个服务周期后，供应商提供维保服务报告及等额发票由主管部门验收合格后</w:t>
            </w:r>
            <w:r>
              <w:rPr>
                <w:rFonts w:ascii="仿宋_GB2312" w:hAnsi="仿宋_GB2312" w:cs="仿宋_GB2312" w:eastAsia="仿宋_GB2312"/>
                <w:sz w:val="28"/>
                <w:color w:val="000000"/>
                <w:shd w:fill="FFFFFF" w:val="clear"/>
              </w:rPr>
              <w:t>，达到付款条件起</w:t>
            </w:r>
            <w:r>
              <w:rPr>
                <w:rFonts w:ascii="仿宋_GB2312" w:hAnsi="仿宋_GB2312" w:cs="仿宋_GB2312" w:eastAsia="仿宋_GB2312"/>
                <w:sz w:val="28"/>
                <w:color w:val="000000"/>
                <w:shd w:fill="FFFFFF" w:val="clear"/>
              </w:rPr>
              <w:t>30</w:t>
            </w:r>
            <w:r>
              <w:rPr>
                <w:rFonts w:ascii="仿宋_GB2312" w:hAnsi="仿宋_GB2312" w:cs="仿宋_GB2312" w:eastAsia="仿宋_GB2312"/>
                <w:sz w:val="28"/>
                <w:color w:val="000000"/>
                <w:shd w:fill="FFFFFF" w:val="clear"/>
              </w:rPr>
              <w:t>个工作日内，支付合同总金额的</w:t>
            </w:r>
            <w:r>
              <w:rPr>
                <w:rFonts w:ascii="仿宋_GB2312" w:hAnsi="仿宋_GB2312" w:cs="仿宋_GB2312" w:eastAsia="仿宋_GB2312"/>
                <w:sz w:val="28"/>
                <w:color w:val="000000"/>
                <w:shd w:fill="FFFFFF" w:val="clear"/>
              </w:rPr>
              <w:t>100</w:t>
            </w:r>
            <w:r>
              <w:rPr>
                <w:rFonts w:ascii="仿宋_GB2312" w:hAnsi="仿宋_GB2312" w:cs="仿宋_GB2312" w:eastAsia="仿宋_GB2312"/>
                <w:sz w:val="28"/>
                <w:color w:val="000000"/>
                <w:shd w:fill="FFFFFF" w:val="clear"/>
              </w:rPr>
              <w:t>%</w:t>
            </w:r>
            <w:r>
              <w:rPr>
                <w:rFonts w:ascii="仿宋_GB2312" w:hAnsi="仿宋_GB2312" w:cs="仿宋_GB2312" w:eastAsia="仿宋_GB2312"/>
                <w:sz w:val="28"/>
                <w:color w:val="000000"/>
                <w:shd w:fill="FFFFFF" w:val="clear"/>
              </w:rPr>
              <w:t>。</w:t>
            </w:r>
          </w:p>
          <w:p>
            <w:pPr>
              <w:pStyle w:val="null3"/>
              <w:ind w:firstLine="560"/>
              <w:jc w:val="both"/>
            </w:pPr>
            <w:r>
              <w:rPr>
                <w:rFonts w:ascii="仿宋_GB2312" w:hAnsi="仿宋_GB2312" w:cs="仿宋_GB2312" w:eastAsia="仿宋_GB2312"/>
                <w:sz w:val="28"/>
                <w:color w:val="000000"/>
                <w:shd w:fill="FFFFFF" w:val="clear"/>
              </w:rPr>
              <w:t>4、验收交付标准和方法：①按国家现行项目实施规范和合同规定的验收评定标准等要求进行验收、②由甲方和乙方共同对项目进行整体验收，甲方对验收是否合格进行确认。其内容包括是否按照甲方要求进行服务、是否在规定时间内服务完毕、③验收依据包含但不限于：本项目采购文件、响应文件；本合同及附件文本；合同履行时国家及行业现行的标准和技术规范。</w:t>
            </w:r>
          </w:p>
          <w:p>
            <w:pPr>
              <w:pStyle w:val="null3"/>
              <w:ind w:firstLine="480"/>
              <w:jc w:val="both"/>
            </w:pPr>
            <w:r>
              <w:rPr>
                <w:rFonts w:ascii="仿宋_GB2312" w:hAnsi="仿宋_GB2312" w:cs="仿宋_GB2312" w:eastAsia="仿宋_GB2312"/>
                <w:sz w:val="28"/>
                <w:color w:val="000000"/>
                <w:shd w:fill="FFFFFF" w:val="clear"/>
              </w:rPr>
              <w:t>5</w:t>
            </w:r>
            <w:r>
              <w:rPr>
                <w:rFonts w:ascii="仿宋_GB2312" w:hAnsi="仿宋_GB2312" w:cs="仿宋_GB2312" w:eastAsia="仿宋_GB2312"/>
                <w:sz w:val="28"/>
                <w:color w:val="000000"/>
                <w:shd w:fill="FFFFFF" w:val="clear"/>
              </w:rPr>
              <w:t>、违约责任与解决争议的方法：合同在履行过程中发生的争议，当事人双方应协商解决，协商达不成一致时，可向采购人所在地人民法院提起诉讼。</w:t>
            </w:r>
          </w:p>
          <w:p>
            <w:pPr>
              <w:pStyle w:val="null3"/>
              <w:ind w:firstLine="480"/>
              <w:jc w:val="both"/>
            </w:pPr>
            <w:r>
              <w:rPr>
                <w:rFonts w:ascii="仿宋_GB2312" w:hAnsi="仿宋_GB2312" w:cs="仿宋_GB2312" w:eastAsia="仿宋_GB2312"/>
                <w:sz w:val="28"/>
                <w:color w:val="000000"/>
                <w:shd w:fill="FFFFFF" w:val="clear"/>
              </w:rPr>
              <w:t>注：以上商务要求为实质性响应要求，不接受负偏离。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服务期：自合同签订之日起一年。本项目采取一次招标三年沿用、实行一年一考核一签合同的办法，合同期满前一个月，医院主管部门将根据所提供服务的总体考核情况，决定是否续签后一年度合同。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 2.由甲方和乙方共同对项目进行整体验收，甲方对验收是否合格进行确认。其内容包括是否按照甲方要求进行服务、是否在规定时间内服务完毕。 3.验收依据包含但不限于：本项目采购文件、响应文件；本合同及附件文本；合同履行时国家及行业现行的标准和技术规范。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其他，自合同签订之日起12个月为一个服务周期，满一个服务周期后，供应商提供维保服务报告及等额发票由主管部门验收合格后。，达到付款条件起30个工作日内，支付合同总金额的100.0%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合同在履行过程中发生的争议，当事人双方应协商解决，协商达不成一致时，可向采购方所在地仲裁委员会申请仲裁或者向人民法院提请诉讼。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并编制目录和页码。线下递交响应文件地点：汉中市汉台区西一环路蓝天御苑小区商铺二层门面房南侧。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w:t>
            </w:r>
          </w:p>
        </w:tc>
        <w:tc>
          <w:tcPr>
            <w:tcW w:type="dxa" w:w="3322"/>
          </w:tcPr>
          <w:p>
            <w:pPr>
              <w:pStyle w:val="null3"/>
            </w:pPr>
            <w:r>
              <w:rPr>
                <w:rFonts w:ascii="仿宋_GB2312" w:hAnsi="仿宋_GB2312" w:cs="仿宋_GB2312" w:eastAsia="仿宋_GB2312"/>
              </w:rPr>
              <w:t>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供应商应授权合法的人员参加本项目磋商活动全过程</w:t>
            </w:r>
          </w:p>
        </w:tc>
        <w:tc>
          <w:tcPr>
            <w:tcW w:type="dxa" w:w="3322"/>
          </w:tcPr>
          <w:p>
            <w:pPr>
              <w:pStyle w:val="null3"/>
            </w:pPr>
            <w:r>
              <w:rPr>
                <w:rFonts w:ascii="仿宋_GB2312" w:hAnsi="仿宋_GB2312" w:cs="仿宋_GB2312" w:eastAsia="仿宋_GB231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分项报价表 中小企业声明函 供应商应提交的相关资格证明材料 报价表 商务要求响应表 响应文件封面 客观响应 主观响应 残疾人福利性单位声明函 标的清单 其他材料及供应商认为有必要说明、阐述的事项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符合磋商文件要求符合磋商文件要求</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符合竞争性磋商文件要求及给出得格式填写要求</w:t>
            </w:r>
          </w:p>
        </w:tc>
        <w:tc>
          <w:tcPr>
            <w:tcW w:type="dxa" w:w="1661"/>
          </w:tcPr>
          <w:p>
            <w:pPr>
              <w:pStyle w:val="null3"/>
            </w:pPr>
            <w:r>
              <w:rPr>
                <w:rFonts w:ascii="仿宋_GB2312" w:hAnsi="仿宋_GB2312" w:cs="仿宋_GB2312" w:eastAsia="仿宋_GB2312"/>
              </w:rPr>
              <w:t>商务要求响应表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 供应商针对本项目提供具有详细、具体的实施方案：包含①维保服务实施方案；②服务等级协议 (SLA) 细节；③对于软硬件故障，需明确界定不同严重等级（如P1紧急故障、P2重大故障、P3一般故障等）的响应与解决时限；④备件库证明；⑤明确备件库级别（如金牌、银牌）；⑥备件送达现场的时间承诺；⑦拟投入本项目的人员配备；⑧服务工具安排。 二、赋分标准： 1.完整性：对上述各项内容均有描述，得8分；每缺1项扣1分，扣完为止。此项不提供不得分。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 说明: 1.满足评审标准是指:内容逻辑清晰、描述清晰与项目特点匹配、要求的内容无遗漏等情形; 2.较满足评审标准是指:虽有内容但不完善、描述过于简单、要求的内容有遗漏、等情形; 3.有缺陷是指内容存在不适用项目实际情况的情形只有标题没有实质性内容以及套用挪用别的项目内容等情形。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主观响应</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供应商提供2023年8月至今类似项目业绩，提供一份得5分，最高得10分，响应文件中须附中标/成交通知书或合同扫描件，未提供不得分。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维保承诺函</w:t>
            </w:r>
          </w:p>
        </w:tc>
        <w:tc>
          <w:tcPr>
            <w:tcW w:type="dxa" w:w="2492"/>
          </w:tcPr>
          <w:p>
            <w:pPr>
              <w:pStyle w:val="null3"/>
            </w:pPr>
            <w:r>
              <w:rPr>
                <w:rFonts w:ascii="仿宋_GB2312" w:hAnsi="仿宋_GB2312" w:cs="仿宋_GB2312" w:eastAsia="仿宋_GB2312"/>
              </w:rPr>
              <w:t>响应人针对“维保设备清单”中的所有设备，须提供承诺函，内容涵盖本项目维保由设备原厂提供维保期、覆盖本次维保期的要求并加盖响应人公章。承诺函格式自拟，提供得5分，未提供或未盖章不得分。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非维保清单内设备的延伸服务承诺</w:t>
            </w:r>
          </w:p>
        </w:tc>
        <w:tc>
          <w:tcPr>
            <w:tcW w:type="dxa" w:w="2492"/>
          </w:tcPr>
          <w:p>
            <w:pPr>
              <w:pStyle w:val="null3"/>
            </w:pPr>
            <w:r>
              <w:rPr>
                <w:rFonts w:ascii="仿宋_GB2312" w:hAnsi="仿宋_GB2312" w:cs="仿宋_GB2312" w:eastAsia="仿宋_GB2312"/>
              </w:rPr>
              <w:t>响应人根据技术服务要求中非维保清单内设备的延伸服务承诺要求内容，提供承诺函，涵盖技术服务要求中内容，承诺函格式自拟加盖响应人公章。提供得5分，内容涵盖不全面或未盖章或未提供不得分。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针对本项目提供售后服务方案：包含①日常维护方案；②售后服务网点及售后服务人员安排；③售后服务承诺；④售后服务体系制度；⑤服务延续性承诺（合同期内人员不随意更换、服务标准不降级等承诺）。 二、赋分标准 1、上述各项内容均有描述，得10分；每缺1项扣2分，扣完为止。此项不提供不得分。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客观响应</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1.上限为采购预算价，即报价大于上限价视为无效报价； 2.以满足本次磋商文件要求的最低报价为评审基准价，其价格为满分； 3.不享有政策优惠条件的供应商报价得分=（评审基准价/报价）×30 得算分数时四舍五入取小数点后两位。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详见附件：主观响应</w:t>
      </w:r>
    </w:p>
    <w:p>
      <w:pPr>
        <w:pStyle w:val="null3"/>
        <w:ind w:firstLine="960"/>
      </w:pPr>
      <w:r>
        <w:rPr>
          <w:rFonts w:ascii="仿宋_GB2312" w:hAnsi="仿宋_GB2312" w:cs="仿宋_GB2312" w:eastAsia="仿宋_GB2312"/>
        </w:rPr>
        <w:t>详见附件：客观响应</w:t>
      </w:r>
    </w:p>
    <w:p>
      <w:pPr>
        <w:pStyle w:val="null3"/>
        <w:ind w:firstLine="960"/>
      </w:pPr>
      <w:r>
        <w:rPr>
          <w:rFonts w:ascii="仿宋_GB2312" w:hAnsi="仿宋_GB2312" w:cs="仿宋_GB2312" w:eastAsia="仿宋_GB2312"/>
        </w:rPr>
        <w:t>详见附件：其他材料及供应商认为有必要说明、阐述的事项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