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版本号：JZDCG-2026-04120260813001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2026年度蒲城县桥陵镇金光村冷链仓储建设项目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JZDCG-2026-041</w:t>
      </w:r>
      <w:r>
        <w:br/>
      </w:r>
      <w:r>
        <w:br/>
      </w:r>
      <w:r>
        <w:br/>
      </w:r>
    </w:p>
    <w:p>
      <w:pPr>
        <w:pStyle w:val="null3"/>
        <w:jc w:val="center"/>
        <w:outlineLvl w:val="2"/>
      </w:pPr>
      <w:r>
        <w:rPr>
          <w:rFonts w:ascii="仿宋_GB2312" w:hAnsi="仿宋_GB2312" w:cs="仿宋_GB2312" w:eastAsia="仿宋_GB2312"/>
          <w:sz w:val="28"/>
          <w:b/>
        </w:rPr>
        <w:t>蒲城县桥陵镇人民政府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蒲城县桥陵镇人民政府</w:t>
      </w:r>
      <w:r>
        <w:rPr>
          <w:rFonts w:ascii="仿宋_GB2312" w:hAnsi="仿宋_GB2312" w:cs="仿宋_GB2312" w:eastAsia="仿宋_GB2312"/>
        </w:rPr>
        <w:t>委托，拟对</w:t>
      </w:r>
      <w:r>
        <w:rPr>
          <w:rFonts w:ascii="仿宋_GB2312" w:hAnsi="仿宋_GB2312" w:cs="仿宋_GB2312" w:eastAsia="仿宋_GB2312"/>
        </w:rPr>
        <w:t>2026年度蒲城县桥陵镇金光村冷链仓储建设项目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2026年度蒲城县桥陵镇金光村冷链仓储建设项目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本项目为2026年度蒲城县桥陵镇金光村冷链仓储建设项目，主要实施内容为新建长30m×宽25m×高6m钢构厂房1座，具体内容详见工程量清单；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采购包1（2026年度蒲城县桥陵镇金光村冷链仓储建设项目）：属于专门面向中小企业采购。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8、企业资质要求：投标人须具备建筑工程施工总承包三级及以上资质，安全生产许可证合格有效；</w:t>
      </w:r>
    </w:p>
    <w:p>
      <w:pPr>
        <w:pStyle w:val="null3"/>
      </w:pPr>
      <w:r>
        <w:rPr>
          <w:rFonts w:ascii="仿宋_GB2312" w:hAnsi="仿宋_GB2312" w:cs="仿宋_GB2312" w:eastAsia="仿宋_GB2312"/>
        </w:rPr>
        <w:t>9、项目经理：拟派项目经理须具备建筑工程专业二级及以上注册建造师资格；具备合格有效的安全生产考核合格证书（建安B证），且未担任其他在建工程项目的项目经理；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蒲城县桥陵镇人民政府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渭南市蒲城县桥陵镇人民政府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张皓天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18220781770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 3 号橡树星座 B 座902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蒲城县桥陵镇人民政府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蒲城县桥陵镇人民政府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蒲城县桥陵镇人民政府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符合国家有关建设标准强制性条文和国家或有关部门对建筑工程等方面现行的标准、规范、规程、定额、办法、示例。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 3 号橡树星座 B 座902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2026年度蒲城县桥陵镇金光村冷链仓储建设项目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标的名称：2026年度蒲城县桥陵镇金光村冷链仓储建设项目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1、建设单位：蒲城县桥陵镇人民政府；</w:t>
            </w:r>
          </w:p>
          <w:p>
            <w:pPr>
              <w:pStyle w:val="null3"/>
            </w:pPr>
            <w:r>
              <w:rPr>
                <w:rFonts w:ascii="仿宋_GB2312" w:hAnsi="仿宋_GB2312" w:cs="仿宋_GB2312" w:eastAsia="仿宋_GB2312"/>
              </w:rPr>
              <w:t>2、建设地点：蒲城县桥陵镇金光村；</w:t>
            </w:r>
          </w:p>
          <w:p>
            <w:pPr>
              <w:pStyle w:val="null3"/>
            </w:pPr>
            <w:r>
              <w:rPr>
                <w:rFonts w:ascii="仿宋_GB2312" w:hAnsi="仿宋_GB2312" w:cs="仿宋_GB2312" w:eastAsia="仿宋_GB2312"/>
              </w:rPr>
              <w:t>3、工程概况：本项目为2026年度蒲城县桥陵镇金光村冷链仓储建设项目，主要实施内容为新建长30m×宽25m×高6m钢构厂房1座，具体内容详见工程量清单；</w:t>
            </w:r>
          </w:p>
          <w:p>
            <w:pPr>
              <w:pStyle w:val="null3"/>
            </w:pPr>
            <w:r>
              <w:rPr>
                <w:rFonts w:ascii="仿宋_GB2312" w:hAnsi="仿宋_GB2312" w:cs="仿宋_GB2312" w:eastAsia="仿宋_GB2312"/>
              </w:rPr>
              <w:t>4、合同履行期限（工期）：自合同签订之日起60日历天；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1、本项目施工应符合国家有关建设标准强制性条文和国家或有关部门对建筑工程施工等方面现行的标准、规范、规程、定额、办法、示例。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1、本项目施工应符合国家有关建设标准强制性条文和国家或有关部门对建筑工程施工等方面现行的标准、规范、规程、定额、办法、示例。 2、成交供应商在施工过程中使用或参考上述标准、规范以外的技术标准、规范时，应征得采购人或采购人指定代表人的同意。 3、在施工过程中，如果国家或有关部门颁布了新的技术标准或规范，则成交供应商应采用新的标准或规范进行施工。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结算约定：本项目合同总价包含磋商文件规定工程范围内所有工作内容所产生的一切费用，结算时首次报价和最终报价的浮动比例将作为重要依据，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投标人须具备建筑工程施工总承包三级及以上资质，安全生产许可证合格有效；</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拟派项目经理须具备建筑工程专业二级及以上注册建造师资格；具备合格有效的安全生产考核合格证书（建安B证），且未担任其他在建工程项目的项目经理；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人工成本，材料，机械，工期，质量，施工措施，验收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劳动力计划表 投标方案 技术响应偏离表 拟投入本工程的主要施工设备 一般资格审查证明材料 报价函 计划开、竣工日期和施工进度网络图 特殊资格审查资料 项目管理机构组成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