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版本号：OTXA-261023134820260728001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气象预警信息精准靶向发布项目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OTXA-2610231348</w:t>
      </w:r>
      <w:r>
        <w:br/>
      </w:r>
      <w:r>
        <w:br/>
      </w:r>
      <w:r>
        <w:br/>
      </w:r>
    </w:p>
    <w:p>
      <w:pPr>
        <w:pStyle w:val="null3"/>
        <w:jc w:val="center"/>
        <w:outlineLvl w:val="2"/>
      </w:pPr>
      <w:r>
        <w:rPr>
          <w:rFonts w:ascii="仿宋_GB2312" w:hAnsi="仿宋_GB2312" w:cs="仿宋_GB2312" w:eastAsia="仿宋_GB2312"/>
          <w:sz w:val="28"/>
          <w:b/>
        </w:rPr>
        <w:t>陕西省突发事件预警信息发布中心</w:t>
      </w:r>
    </w:p>
    <w:p>
      <w:pPr>
        <w:pStyle w:val="null3"/>
        <w:jc w:val="center"/>
        <w:outlineLvl w:val="2"/>
      </w:pPr>
      <w:r>
        <w:rPr>
          <w:rFonts w:ascii="仿宋_GB2312" w:hAnsi="仿宋_GB2312" w:cs="仿宋_GB2312" w:eastAsia="仿宋_GB2312"/>
          <w:sz w:val="28"/>
          <w:b/>
        </w:rPr>
        <w:t>东方（西安）国际招标有限公司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东方（西安）国际招标有限公司</w:t>
      </w:r>
      <w:r>
        <w:rPr>
          <w:rFonts w:ascii="仿宋_GB2312" w:hAnsi="仿宋_GB2312" w:cs="仿宋_GB2312" w:eastAsia="仿宋_GB2312"/>
        </w:rPr>
        <w:t>（以下简称“代理机构”）受</w:t>
      </w:r>
      <w:r>
        <w:rPr>
          <w:rFonts w:ascii="仿宋_GB2312" w:hAnsi="仿宋_GB2312" w:cs="仿宋_GB2312" w:eastAsia="仿宋_GB2312"/>
        </w:rPr>
        <w:t>陕西省突发事件预警信息发布中心</w:t>
      </w:r>
      <w:r>
        <w:rPr>
          <w:rFonts w:ascii="仿宋_GB2312" w:hAnsi="仿宋_GB2312" w:cs="仿宋_GB2312" w:eastAsia="仿宋_GB2312"/>
        </w:rPr>
        <w:t>委托，拟对</w:t>
      </w:r>
      <w:r>
        <w:rPr>
          <w:rFonts w:ascii="仿宋_GB2312" w:hAnsi="仿宋_GB2312" w:cs="仿宋_GB2312" w:eastAsia="仿宋_GB2312"/>
        </w:rPr>
        <w:t>气象预警信息精准靶向发布项目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OTXA-2610231348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气象预警信息精准靶向发布项目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气象预警信息精准靶向发布项目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2、法人代表授权书：法定代表人直接参加投标的须提交法定代表人证明书；法定代表人授权代表参加投标的，提供法定代表人授权书（附法定代表人、投标人代表身份证复印件）；</w:t>
      </w:r>
    </w:p>
    <w:p>
      <w:pPr>
        <w:pStyle w:val="null3"/>
      </w:pPr>
      <w:r>
        <w:rPr>
          <w:rFonts w:ascii="仿宋_GB2312" w:hAnsi="仿宋_GB2312" w:cs="仿宋_GB2312" w:eastAsia="仿宋_GB2312"/>
        </w:rPr>
        <w:t>3、财务状况报告：财务状况报告（须提供供应商2024年或2025年具有财务审计资质单位出具的完整财务报告（审计报告应当经过注册会计师行业统一监管平台备案赋码）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 以上三种形式的资料提供任何一种即可；</w:t>
      </w:r>
    </w:p>
    <w:p>
      <w:pPr>
        <w:pStyle w:val="null3"/>
      </w:pPr>
      <w:r>
        <w:rPr>
          <w:rFonts w:ascii="仿宋_GB2312" w:hAnsi="仿宋_GB2312" w:cs="仿宋_GB2312" w:eastAsia="仿宋_GB2312"/>
        </w:rPr>
        <w:t>4、依法缴纳税收和社会保障资金的良好记录：提供依法缴纳税收和社会保障资金的相关材料（提供缴费所属日期为响应文件递交截止时间前12个月内至少三个月份已缴存的社会保障资金缴存凭证或社保机构开具的社会保险参保缴费情况证明，依法不需要缴纳社会保障资金的单位应提供相关证明材料，提供缴费所属日期为响应文件递交截止时间前12个月内至少三个月份已缴纳的纳税证明或完税证明（任意税种），依法免税的单位应提供相关证明材料）；</w:t>
      </w:r>
    </w:p>
    <w:p>
      <w:pPr>
        <w:pStyle w:val="null3"/>
      </w:pPr>
      <w:r>
        <w:rPr>
          <w:rFonts w:ascii="仿宋_GB2312" w:hAnsi="仿宋_GB2312" w:cs="仿宋_GB2312" w:eastAsia="仿宋_GB2312"/>
        </w:rPr>
        <w:t>5、参加政府采购活动前3年内在经营活动中没有重大违法记录的书面声明：参加政府采购活动前3年内在经营活动中没有重大违法记录的书面声明（原件）；</w:t>
      </w:r>
    </w:p>
    <w:p>
      <w:pPr>
        <w:pStyle w:val="null3"/>
      </w:pPr>
      <w:r>
        <w:rPr>
          <w:rFonts w:ascii="仿宋_GB2312" w:hAnsi="仿宋_GB2312" w:cs="仿宋_GB2312" w:eastAsia="仿宋_GB2312"/>
        </w:rPr>
        <w:t>6、信用查询：查询渠道：“信用中国”网站（www.creditchina.gov.vn）、中国政府采购网（www.ccgp.gov.vn）；以现场查询为准。 截止时点：招标截止时间； 信用信息查询记录和证据留存的具体方式：网上查询结果打印。 信用信息的使用规则：凡在截止时点内，列入失信被执行人、重大税收违法案件当事人名单、政府采购严重违法失信行为记录名单的供应商，其招标响应视为无效；联合体招标时，联合体成员存在不良信用记录的，视同联合体存在不良信用记录，其招标响应视为无效。</w:t>
      </w:r>
    </w:p>
    <w:p>
      <w:pPr>
        <w:pStyle w:val="null3"/>
      </w:pPr>
      <w:r>
        <w:rPr>
          <w:rFonts w:ascii="仿宋_GB2312" w:hAnsi="仿宋_GB2312" w:cs="仿宋_GB2312" w:eastAsia="仿宋_GB2312"/>
        </w:rPr>
        <w:t>7、特殊资格要求：分支机构在参与投标时，须提供总公司（总所）出具的授权书，总公司（总所）只能授权一家分支机构。经总公司（总所）授权后，总公司（总所）取得的相关资质证书对分支机构有效（法律法规或行业另有规定的除外）。</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2、法人代表授权书：法定代表人直接参加投标的须提交法定代表人证明书；法定代表人授权代表参加投标的，提供法定代表人授权书（附法定代表人、投标人代表身份证复印件）；</w:t>
      </w:r>
    </w:p>
    <w:p>
      <w:pPr>
        <w:pStyle w:val="null3"/>
      </w:pPr>
      <w:r>
        <w:rPr>
          <w:rFonts w:ascii="仿宋_GB2312" w:hAnsi="仿宋_GB2312" w:cs="仿宋_GB2312" w:eastAsia="仿宋_GB2312"/>
        </w:rPr>
        <w:t>3、财务状况报告：财务状况报告（须提供供应商2024年或2025年具有财务审计资质单位出具的完整财务报告（审计报告应当经过注册会计师行业统一监管平台备案赋码）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 以上三种形式的资料提供任何一种即可；</w:t>
      </w:r>
    </w:p>
    <w:p>
      <w:pPr>
        <w:pStyle w:val="null3"/>
      </w:pPr>
      <w:r>
        <w:rPr>
          <w:rFonts w:ascii="仿宋_GB2312" w:hAnsi="仿宋_GB2312" w:cs="仿宋_GB2312" w:eastAsia="仿宋_GB2312"/>
        </w:rPr>
        <w:t>4、依法缴纳税收和社会保障资金的良好记录：提供依法缴纳税收和社会保障资金的相关材料（提供缴费所属日期为响应文件递交截止时间前12个月内至少三个月份已缴存的社会保障资金缴存凭证或社保机构开具的社会保险参保缴费情况证明，依法不需要缴纳社会保障资金的单位应提供相关证明材料，提供缴费所属日期为响应文件递交截止时间前12个月内至少三个月份已缴纳的纳税证明或完税证明（任意税种），依法免税的单位应提供相关证明材料）；</w:t>
      </w:r>
    </w:p>
    <w:p>
      <w:pPr>
        <w:pStyle w:val="null3"/>
      </w:pPr>
      <w:r>
        <w:rPr>
          <w:rFonts w:ascii="仿宋_GB2312" w:hAnsi="仿宋_GB2312" w:cs="仿宋_GB2312" w:eastAsia="仿宋_GB2312"/>
        </w:rPr>
        <w:t>5、参加政府采购活动前3年内在经营活动中没有重大违法记录的书面声明：参加政府采购活动前3年内在经营活动中没有重大违法记录的书面声明（原件）；</w:t>
      </w:r>
    </w:p>
    <w:p>
      <w:pPr>
        <w:pStyle w:val="null3"/>
      </w:pPr>
      <w:r>
        <w:rPr>
          <w:rFonts w:ascii="仿宋_GB2312" w:hAnsi="仿宋_GB2312" w:cs="仿宋_GB2312" w:eastAsia="仿宋_GB2312"/>
        </w:rPr>
        <w:t>6、信用查询：查询渠道：“信用中国”网站（www.creditchina.gov.vn）、中国政府采购网（www.ccgp.gov.vn）；以现场查询为准。 截止时点：招标截止时间； 信用信息查询记录和证据留存的具体方式：网上查询结果打印。 信用信息的使用规则：凡在截止时点内，列入失信被执行人、重大税收违法案件当事人名单、政府采购严重违法失信行为记录名单的供应商，其招标响应视为无效；联合体招标时，联合体成员存在不良信用记录的，视同联合体存在不良信用记录，其招标响应视为无效。</w:t>
      </w:r>
    </w:p>
    <w:p>
      <w:pPr>
        <w:pStyle w:val="null3"/>
      </w:pPr>
      <w:r>
        <w:rPr>
          <w:rFonts w:ascii="仿宋_GB2312" w:hAnsi="仿宋_GB2312" w:cs="仿宋_GB2312" w:eastAsia="仿宋_GB2312"/>
        </w:rPr>
        <w:t>7、特殊资格要求：分支机构在参与投标时，须提供总公司（总所）出具的授权书，总公司（总所）只能授权一家分支机构。经总公司（总所）授权后，总公司（总所）取得的相关资质证书对分支机构有效（法律法规或行业另有规定的除外）。</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2、法人代表授权书：法定代表人直接参加投标的须提交法定代表人证明书；法定代表人授权代表参加投标的，提供法定代表人授权书（附法定代表人、投标人代表身份证复印件）；</w:t>
      </w:r>
    </w:p>
    <w:p>
      <w:pPr>
        <w:pStyle w:val="null3"/>
      </w:pPr>
      <w:r>
        <w:rPr>
          <w:rFonts w:ascii="仿宋_GB2312" w:hAnsi="仿宋_GB2312" w:cs="仿宋_GB2312" w:eastAsia="仿宋_GB2312"/>
        </w:rPr>
        <w:t>3、财务状况报告：财务状况报告（须提供供应商2024年或2025年具有财务审计资质单位出具的完整财务报告（审计报告应当经过注册会计师行业统一监管平台备案赋码）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 以上三种形式的资料提供任何一种即可；</w:t>
      </w:r>
    </w:p>
    <w:p>
      <w:pPr>
        <w:pStyle w:val="null3"/>
      </w:pPr>
      <w:r>
        <w:rPr>
          <w:rFonts w:ascii="仿宋_GB2312" w:hAnsi="仿宋_GB2312" w:cs="仿宋_GB2312" w:eastAsia="仿宋_GB2312"/>
        </w:rPr>
        <w:t>4、依法缴纳税收和社会保障资金的良好记录：提供依法缴纳税收和社会保障资金的相关材料（提供缴费所属日期为响应文件递交截止时间前12个月内至少三个月份已缴存的社会保障资金缴存凭证或社保机构开具的社会保险参保缴费情况证明，依法不需要缴纳社会保障资金的单位应提供相关证明材料，提供缴费所属日期为响应文件递交截止时间前12个月内至少三个月份已缴纳的纳税证明或完税证明（任意税种），依法免税的单位应提供相关证明材料）；</w:t>
      </w:r>
    </w:p>
    <w:p>
      <w:pPr>
        <w:pStyle w:val="null3"/>
      </w:pPr>
      <w:r>
        <w:rPr>
          <w:rFonts w:ascii="仿宋_GB2312" w:hAnsi="仿宋_GB2312" w:cs="仿宋_GB2312" w:eastAsia="仿宋_GB2312"/>
        </w:rPr>
        <w:t>5、参加政府采购活动前3年内在经营活动中没有重大违法记录的书面声明：参加政府采购活动前3年内在经营活动中没有重大违法记录的书面声明（原件）；</w:t>
      </w:r>
    </w:p>
    <w:p>
      <w:pPr>
        <w:pStyle w:val="null3"/>
      </w:pPr>
      <w:r>
        <w:rPr>
          <w:rFonts w:ascii="仿宋_GB2312" w:hAnsi="仿宋_GB2312" w:cs="仿宋_GB2312" w:eastAsia="仿宋_GB2312"/>
        </w:rPr>
        <w:t>6、信用查询：查询渠道：“信用中国”网站（www.creditchina.gov.vn）、中国政府采购网（www.ccgp.gov.vn）；以现场查询为准。 截止时点：招标截止时间； 信用信息查询记录和证据留存的具体方式：网上查询结果打印。 信用信息的使用规则：凡在截止时点内，列入失信被执行人、重大税收违法案件当事人名单、政府采购严重违法失信行为记录名单的供应商，其招标响应视为无效；联合体招标时，联合体成员存在不良信用记录的，视同联合体存在不良信用记录，其招标响应视为无效。</w:t>
      </w:r>
    </w:p>
    <w:p>
      <w:pPr>
        <w:pStyle w:val="null3"/>
      </w:pPr>
      <w:r>
        <w:rPr>
          <w:rFonts w:ascii="仿宋_GB2312" w:hAnsi="仿宋_GB2312" w:cs="仿宋_GB2312" w:eastAsia="仿宋_GB2312"/>
        </w:rPr>
        <w:t>7、特殊资格要求：分支机构在参与投标时，须提供总公司（总所）出具的授权书，总公司（总所）只能授权一家分支机构。经总公司（总所）授权后，总公司（总所）取得的相关资质证书对分支机构有效（法律法规或行业另有规定的除外）。</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陕西省突发事件预警信息发布中心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西安市北关正街36号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陕西省突发事件预警信息发布中心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029-81619505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东方（西安）国际招标有限公司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西安市太白南路181号西部电子社区A座A区208-1室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孙翊轩、李小艺、张强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029-89585662转805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采购包2：800,000.00元</w:t>
            </w:r>
          </w:p>
          <w:p>
            <w:pPr>
              <w:pStyle w:val="null3"/>
            </w:pPr>
            <w:r>
              <w:rPr>
                <w:rFonts w:ascii="仿宋_GB2312" w:hAnsi="仿宋_GB2312" w:cs="仿宋_GB2312" w:eastAsia="仿宋_GB2312"/>
              </w:rPr>
              <w:t>采购包3：1,600,000.00元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采购包2保证金金额：15,000.00元</w:t>
            </w:r>
          </w:p>
          <w:p>
            <w:pPr>
              <w:pStyle w:val="null3"/>
            </w:pPr>
            <w:r>
              <w:rPr>
                <w:rFonts w:ascii="仿宋_GB2312" w:hAnsi="仿宋_GB2312" w:cs="仿宋_GB2312" w:eastAsia="仿宋_GB2312"/>
              </w:rPr>
              <w:t>采购包3保证金金额：30,000.00元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开户名称：东方（西安）国际招标有限公司</w:t>
            </w:r>
          </w:p>
          <w:p>
            <w:pPr>
              <w:pStyle w:val="null3"/>
            </w:pPr>
            <w:r>
              <w:rPr>
                <w:rFonts w:ascii="仿宋_GB2312" w:hAnsi="仿宋_GB2312" w:cs="仿宋_GB2312" w:eastAsia="仿宋_GB2312"/>
              </w:rPr>
              <w:t>开户银行：招商银行股份有限公司神舟四路支行</w:t>
            </w:r>
          </w:p>
          <w:p>
            <w:pPr>
              <w:pStyle w:val="null3"/>
            </w:pPr>
            <w:r>
              <w:rPr>
                <w:rFonts w:ascii="仿宋_GB2312" w:hAnsi="仿宋_GB2312" w:cs="仿宋_GB2312" w:eastAsia="仿宋_GB2312"/>
              </w:rPr>
              <w:t>银行账号：129910095710606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代理服务费收费标准：招标代理服务费的金额按照国家发展计划委员会计价格[2002]1980号文件的规定标准计算。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陕西省突发事件预警信息发布中心</w:t>
      </w:r>
      <w:r>
        <w:rPr>
          <w:rFonts w:ascii="仿宋_GB2312" w:hAnsi="仿宋_GB2312" w:cs="仿宋_GB2312" w:eastAsia="仿宋_GB2312"/>
        </w:rPr>
        <w:t>和</w:t>
      </w:r>
      <w:r>
        <w:rPr>
          <w:rFonts w:ascii="仿宋_GB2312" w:hAnsi="仿宋_GB2312" w:cs="仿宋_GB2312" w:eastAsia="仿宋_GB2312"/>
        </w:rPr>
        <w:t>东方（西安）国际招标有限公司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陕西省突发事件预警信息发布中心</w:t>
      </w:r>
      <w:r>
        <w:rPr>
          <w:rFonts w:ascii="仿宋_GB2312" w:hAnsi="仿宋_GB2312" w:cs="仿宋_GB2312" w:eastAsia="仿宋_GB2312"/>
        </w:rPr>
        <w:t>负责解释。除上述招标文件内容，其他内容由</w:t>
      </w:r>
      <w:r>
        <w:rPr>
          <w:rFonts w:ascii="仿宋_GB2312" w:hAnsi="仿宋_GB2312" w:cs="仿宋_GB2312" w:eastAsia="仿宋_GB2312"/>
        </w:rPr>
        <w:t>东方（西安）国际招标有限公司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陕西省突发事件预警信息发布中心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东方（西安）国际招标有限公司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详见合同文本。</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东方（西安）国际招标有限公司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联系人：孙翊轩、李小艺、张强</w:t>
      </w:r>
    </w:p>
    <w:p>
      <w:pPr>
        <w:pStyle w:val="null3"/>
      </w:pPr>
      <w:r>
        <w:rPr>
          <w:rFonts w:ascii="仿宋_GB2312" w:hAnsi="仿宋_GB2312" w:cs="仿宋_GB2312" w:eastAsia="仿宋_GB2312"/>
        </w:rPr>
        <w:t>联系电话：029-89585662转805</w:t>
      </w:r>
    </w:p>
    <w:p>
      <w:pPr>
        <w:pStyle w:val="null3"/>
      </w:pPr>
      <w:r>
        <w:rPr>
          <w:rFonts w:ascii="仿宋_GB2312" w:hAnsi="仿宋_GB2312" w:cs="仿宋_GB2312" w:eastAsia="仿宋_GB2312"/>
        </w:rPr>
        <w:t>地址：西安市太白南路181号电子社区A座A区208-1会议室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气象预警信息精准靶向发布项目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气象预警信息发布</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气象预警信息发布</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1,600,000.00</w:t>
      </w:r>
    </w:p>
    <w:p>
      <w:pPr>
        <w:pStyle w:val="null3"/>
      </w:pPr>
      <w:r>
        <w:rPr>
          <w:rFonts w:ascii="仿宋_GB2312" w:hAnsi="仿宋_GB2312" w:cs="仿宋_GB2312" w:eastAsia="仿宋_GB2312"/>
        </w:rPr>
        <w:t>采购包最高限价（元）: 1,600,000.00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气象预警信息发布</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标的名称：气象预警信息发布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（一）采购内容：</w:t>
            </w:r>
          </w:p>
          <w:p>
            <w:pPr>
              <w:pStyle w:val="null3"/>
              <w:ind w:firstLine="480"/>
              <w:jc w:val="both"/>
            </w:pPr>
            <w:r>
              <w:rPr>
                <w:rFonts w:ascii="仿宋_GB2312" w:hAnsi="仿宋_GB2312" w:cs="仿宋_GB2312" w:eastAsia="仿宋_GB2312"/>
                <w:sz w:val="24"/>
              </w:rPr>
              <w:t>提供短信网关实现气象预警信息靶向发布短信，可实现基站电子围栏技术，通过定位、筛选和定向传播等方式实现预警短信精准靶向发布。利用基站覆盖和大数据技术综合分析出指定区域的常驻和漫游用户，建立实时动态的数据模型，锁定发布时效内在区域附近停留的用户，向其发布精细化气象预报预警短信。</w:t>
            </w:r>
          </w:p>
          <w:p>
            <w:pPr>
              <w:pStyle w:val="null3"/>
              <w:jc w:val="both"/>
            </w:pPr>
            <w:r>
              <w:rPr>
                <w:rFonts w:ascii="仿宋_GB2312" w:hAnsi="仿宋_GB2312" w:cs="仿宋_GB2312" w:eastAsia="仿宋_GB2312"/>
                <w:sz w:val="24"/>
              </w:rPr>
              <w:t>（二）采购内容技术要求：</w:t>
            </w:r>
          </w:p>
          <w:p>
            <w:pPr>
              <w:pStyle w:val="null3"/>
              <w:jc w:val="both"/>
            </w:pPr>
            <w:r>
              <w:rPr>
                <w:rFonts w:ascii="仿宋_GB2312" w:hAnsi="仿宋_GB2312" w:cs="仿宋_GB2312" w:eastAsia="仿宋_GB2312"/>
                <w:sz w:val="24"/>
              </w:rPr>
              <w:t>1.预警信息靶向短信功能要求</w:t>
            </w:r>
          </w:p>
          <w:p>
            <w:pPr>
              <w:pStyle w:val="null3"/>
              <w:jc w:val="both"/>
            </w:pPr>
            <w:r>
              <w:rPr>
                <w:rFonts w:ascii="仿宋_GB2312" w:hAnsi="仿宋_GB2312" w:cs="仿宋_GB2312" w:eastAsia="仿宋_GB2312"/>
                <w:sz w:val="24"/>
              </w:rPr>
              <w:t>1.1基站电子围栏技术</w:t>
            </w:r>
          </w:p>
          <w:p>
            <w:pPr>
              <w:pStyle w:val="null3"/>
              <w:jc w:val="both"/>
            </w:pPr>
            <w:r>
              <w:rPr>
                <w:rFonts w:ascii="仿宋_GB2312" w:hAnsi="仿宋_GB2312" w:cs="仿宋_GB2312" w:eastAsia="仿宋_GB2312"/>
                <w:sz w:val="24"/>
              </w:rPr>
              <w:t>气象预警信息靶向发布短信需集成基站电子围栏技术，支持基于指定区域的基站覆盖范围，划定精准的预警短信发布电子围栏区域。电子围栏区域可根据实际需求灵活调整，支持按行政区域（如市、区、县、乡镇、街道）、地理坐标范围等多种方式进行划定，且划定过程操作便捷，支持可视化操作界面。</w:t>
            </w:r>
          </w:p>
          <w:p>
            <w:pPr>
              <w:pStyle w:val="null3"/>
              <w:jc w:val="both"/>
            </w:pPr>
            <w:r>
              <w:rPr>
                <w:rFonts w:ascii="仿宋_GB2312" w:hAnsi="仿宋_GB2312" w:cs="仿宋_GB2312" w:eastAsia="仿宋_GB2312"/>
                <w:sz w:val="24"/>
              </w:rPr>
              <w:t>具备区域定位与用户筛选能力，能够结合基站覆盖数据，精准定位电子围栏区域内的移动终端用户，同时通过大数据技术综合分析用户的位置信息、通信行为等数据，区分并识别区域内的常驻用户与漫游用户。漫游用户定义为非该区域常驻，且在预警信息发布时效内进入电子围栏区域的用户。</w:t>
            </w:r>
          </w:p>
          <w:p>
            <w:pPr>
              <w:pStyle w:val="null3"/>
              <w:jc w:val="both"/>
            </w:pPr>
            <w:r>
              <w:rPr>
                <w:rFonts w:ascii="仿宋_GB2312" w:hAnsi="仿宋_GB2312" w:cs="仿宋_GB2312" w:eastAsia="仿宋_GB2312"/>
                <w:sz w:val="24"/>
              </w:rPr>
              <w:t>建立实时动态用户数据模型，模型需具备实时更新能力，更新频率不低于10分钟/次，确保能够准确锁定在预警信息发布时效内在电子围栏区域附近停留的用户，避免遗漏目标用户或向非目标用户推送预警短信。</w:t>
            </w:r>
          </w:p>
          <w:p>
            <w:pPr>
              <w:pStyle w:val="null3"/>
              <w:jc w:val="both"/>
            </w:pPr>
            <w:r>
              <w:rPr>
                <w:rFonts w:ascii="仿宋_GB2312" w:hAnsi="仿宋_GB2312" w:cs="仿宋_GB2312" w:eastAsia="仿宋_GB2312"/>
                <w:sz w:val="24"/>
              </w:rPr>
              <w:t>1.2预警短信精准靶向发送</w:t>
            </w:r>
          </w:p>
          <w:p>
            <w:pPr>
              <w:pStyle w:val="null3"/>
              <w:jc w:val="both"/>
            </w:pPr>
            <w:r>
              <w:rPr>
                <w:rFonts w:ascii="仿宋_GB2312" w:hAnsi="仿宋_GB2312" w:cs="仿宋_GB2312" w:eastAsia="仿宋_GB2312"/>
                <w:sz w:val="24"/>
              </w:rPr>
              <w:t>支持精细化气象预报预警短信发布，能够根据气象预警信息的级别（如蓝色、黄色、橙色、红色预警）、类型（如暴雨、台风、高温、寒潮等）、影响范围，向锁定的目标用户发布对应的精细化预警短信，短信内容需包含预警类型、预警级别、影响区域、起止时间、防御建议等关键信息。</w:t>
            </w:r>
          </w:p>
          <w:p>
            <w:pPr>
              <w:pStyle w:val="null3"/>
              <w:jc w:val="both"/>
            </w:pPr>
            <w:r>
              <w:rPr>
                <w:rFonts w:ascii="仿宋_GB2312" w:hAnsi="仿宋_GB2312" w:cs="仿宋_GB2312" w:eastAsia="仿宋_GB2312"/>
                <w:sz w:val="24"/>
              </w:rPr>
              <w:t>具备短信发送速率控制与保障能力，根据目标用户数量及预警信息的紧急程度，灵活调整短信发送速率，在保证短信发送及时性的同时，避免因发送速率过高导致通信网络拥堵或系统故障。对于红色、橙色等紧急预警信息，短信发送速率需满足在40分钟内完成目标用户总量90%以上的短信发送；对于黄色、蓝色预警信息，短信发送速率需满足在60分钟内完成目标用户总量90%以上的短信发送。</w:t>
            </w:r>
          </w:p>
          <w:p>
            <w:pPr>
              <w:pStyle w:val="null3"/>
              <w:jc w:val="both"/>
            </w:pPr>
            <w:r>
              <w:rPr>
                <w:rFonts w:ascii="仿宋_GB2312" w:hAnsi="仿宋_GB2312" w:cs="仿宋_GB2312" w:eastAsia="仿宋_GB2312"/>
                <w:sz w:val="24"/>
              </w:rPr>
              <w:t>实现短信发送状态监控与反馈，系统需实时监控每一条预警短信的发送状态，对于发送失败的短信，需自动分析失败原因，并在条件允许的情况下进行1-2次重试发送。同时，系统需生成短信发送统计报告，报告内容包括目标用户总数、实际发送总数、发送成功数、发送失败数、发送成功率、各时间段发送量等信息，支持导出和查看。</w:t>
            </w:r>
          </w:p>
          <w:p>
            <w:pPr>
              <w:pStyle w:val="null3"/>
              <w:jc w:val="both"/>
            </w:pPr>
            <w:r>
              <w:rPr>
                <w:rFonts w:ascii="仿宋_GB2312" w:hAnsi="仿宋_GB2312" w:cs="仿宋_GB2312" w:eastAsia="仿宋_GB2312"/>
                <w:sz w:val="24"/>
              </w:rPr>
              <w:t>2.技术支持与服务需求</w:t>
            </w:r>
          </w:p>
          <w:p>
            <w:pPr>
              <w:pStyle w:val="null3"/>
              <w:jc w:val="both"/>
            </w:pPr>
            <w:r>
              <w:rPr>
                <w:rFonts w:ascii="仿宋_GB2312" w:hAnsi="仿宋_GB2312" w:cs="仿宋_GB2312" w:eastAsia="仿宋_GB2312"/>
                <w:sz w:val="24"/>
              </w:rPr>
              <w:t>2.1系统安装与调试</w:t>
            </w:r>
          </w:p>
          <w:p>
            <w:pPr>
              <w:pStyle w:val="null3"/>
              <w:jc w:val="both"/>
            </w:pPr>
            <w:r>
              <w:rPr>
                <w:rFonts w:ascii="仿宋_GB2312" w:hAnsi="仿宋_GB2312" w:cs="仿宋_GB2312" w:eastAsia="仿宋_GB2312"/>
                <w:sz w:val="24"/>
              </w:rPr>
              <w:t>供应商需负责短信网关系统的安装、部署与调试工作，包括硬件设备的安装、操作系统及相关软件的安装配置、系统功能模块的部署与调试等，确保系统能够正常运行，各项功能满足本采购需求的要求。</w:t>
            </w:r>
          </w:p>
          <w:p>
            <w:pPr>
              <w:pStyle w:val="null3"/>
              <w:jc w:val="both"/>
            </w:pPr>
            <w:r>
              <w:rPr>
                <w:rFonts w:ascii="仿宋_GB2312" w:hAnsi="仿宋_GB2312" w:cs="仿宋_GB2312" w:eastAsia="仿宋_GB2312"/>
                <w:sz w:val="24"/>
              </w:rPr>
              <w:t>在系统安装调试前，供应商需制定详细的安装调试方案，方案内容包括项目团队组成、实施步骤、时间节点、风险预案等，报采购人审核通过后实施。安装调试过程中，供应商需接受采购人的监督和检查，及时向采购人反馈实施进展情况，对于采购人提出的合理建议，需及时调整方案并落实。</w:t>
            </w:r>
          </w:p>
          <w:p>
            <w:pPr>
              <w:pStyle w:val="null3"/>
              <w:jc w:val="both"/>
            </w:pPr>
            <w:r>
              <w:rPr>
                <w:rFonts w:ascii="仿宋_GB2312" w:hAnsi="仿宋_GB2312" w:cs="仿宋_GB2312" w:eastAsia="仿宋_GB2312"/>
                <w:sz w:val="24"/>
              </w:rPr>
              <w:t>2.2售后服务与技术支持</w:t>
            </w:r>
          </w:p>
          <w:p>
            <w:pPr>
              <w:pStyle w:val="null3"/>
              <w:jc w:val="both"/>
            </w:pPr>
            <w:r>
              <w:rPr>
                <w:rFonts w:ascii="仿宋_GB2312" w:hAnsi="仿宋_GB2312" w:cs="仿宋_GB2312" w:eastAsia="仿宋_GB2312"/>
                <w:sz w:val="24"/>
              </w:rPr>
              <w:t>供应商需提供服务期内的免费售后服务与技术支持。售后服务内容包括系统故障维修、功能优化升级、技术咨询等。</w:t>
            </w:r>
          </w:p>
          <w:p>
            <w:pPr>
              <w:pStyle w:val="null3"/>
              <w:jc w:val="both"/>
            </w:pPr>
            <w:r>
              <w:rPr>
                <w:rFonts w:ascii="仿宋_GB2312" w:hAnsi="仿宋_GB2312" w:cs="仿宋_GB2312" w:eastAsia="仿宋_GB2312"/>
                <w:sz w:val="24"/>
              </w:rPr>
              <w:t>建立完善的售后服务响应机制，提供7×24小时的技术支持热线，确保采购人在遇到问题时能够及时联系到技术支持人员。对于一般技术咨询，需在1小时内给予答复；对于系统故障问题，需在2小时内响应，远程排查并尝试解决，若远程无法解决，需在24小时内派遣技术人员到达现场进行维修，故障修复时间原则上不超过48小时。</w:t>
            </w:r>
          </w:p>
          <w:p>
            <w:pPr>
              <w:pStyle w:val="null3"/>
            </w:pPr>
            <w:r>
              <w:rPr>
                <w:rFonts w:ascii="仿宋_GB2312" w:hAnsi="仿宋_GB2312" w:cs="仿宋_GB2312" w:eastAsia="仿宋_GB2312"/>
                <w:sz w:val="24"/>
              </w:rPr>
              <w:t>定期进行售后服务回访，了解系统运行情况、采购人使用需求及意见建议，及时发现并解决潜在问题，持续提升服务质量。同时，根据气象预警业务发展需求及技术更新情况，为采购人提供系统功能优化升级建议，对于因业务需求变化产生的小型功能优化，需免费提供升级服务；对于大型功能升级，需与采购人协商确定升级方案及费用。</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标的名称：气象预警信息发布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（一）采购内容：</w:t>
            </w:r>
          </w:p>
          <w:p>
            <w:pPr>
              <w:pStyle w:val="null3"/>
              <w:ind w:firstLine="480"/>
              <w:jc w:val="both"/>
            </w:pPr>
            <w:r>
              <w:rPr>
                <w:rFonts w:ascii="仿宋_GB2312" w:hAnsi="仿宋_GB2312" w:cs="仿宋_GB2312" w:eastAsia="仿宋_GB2312"/>
                <w:sz w:val="24"/>
              </w:rPr>
              <w:t>提供短信网关实现气象预警信息靶向发布短信，可实现基站电子围栏技术，通过定位、筛选和定向传播等方式实现预警短信精准靶向发布。利用基站覆盖和大数据技术综合分析出指定区域的常驻和漫游用户，建立实时动态的数据模型，锁定发布时效内在区域附近停留的用户，向其发布精细化气象预报预警短信。</w:t>
            </w:r>
          </w:p>
          <w:p>
            <w:pPr>
              <w:pStyle w:val="null3"/>
              <w:jc w:val="both"/>
            </w:pPr>
            <w:r>
              <w:rPr>
                <w:rFonts w:ascii="仿宋_GB2312" w:hAnsi="仿宋_GB2312" w:cs="仿宋_GB2312" w:eastAsia="仿宋_GB2312"/>
                <w:sz w:val="24"/>
              </w:rPr>
              <w:t>（二）采购内容技术要求：</w:t>
            </w:r>
          </w:p>
          <w:p>
            <w:pPr>
              <w:pStyle w:val="null3"/>
              <w:jc w:val="both"/>
            </w:pPr>
            <w:r>
              <w:rPr>
                <w:rFonts w:ascii="仿宋_GB2312" w:hAnsi="仿宋_GB2312" w:cs="仿宋_GB2312" w:eastAsia="仿宋_GB2312"/>
                <w:sz w:val="24"/>
              </w:rPr>
              <w:t>1.预警信息靶向短信功能要求</w:t>
            </w:r>
          </w:p>
          <w:p>
            <w:pPr>
              <w:pStyle w:val="null3"/>
              <w:jc w:val="both"/>
            </w:pPr>
            <w:r>
              <w:rPr>
                <w:rFonts w:ascii="仿宋_GB2312" w:hAnsi="仿宋_GB2312" w:cs="仿宋_GB2312" w:eastAsia="仿宋_GB2312"/>
                <w:sz w:val="24"/>
              </w:rPr>
              <w:t>1.1基站电子围栏技术</w:t>
            </w:r>
          </w:p>
          <w:p>
            <w:pPr>
              <w:pStyle w:val="null3"/>
              <w:jc w:val="both"/>
            </w:pPr>
            <w:r>
              <w:rPr>
                <w:rFonts w:ascii="仿宋_GB2312" w:hAnsi="仿宋_GB2312" w:cs="仿宋_GB2312" w:eastAsia="仿宋_GB2312"/>
                <w:sz w:val="24"/>
              </w:rPr>
              <w:t>气象预警信息靶向发布短信需集成基站电子围栏技术，支持基于指定区域的基站覆盖范围，划定精准的预警短信发布电子围栏区域。电子围栏区域可根据实际需求灵活调整，支持按行政区域（如市、区、县、乡镇、街道）、地理坐标范围等多种方式进行划定，且划定过程操作便捷，支持可视化操作界面。</w:t>
            </w:r>
          </w:p>
          <w:p>
            <w:pPr>
              <w:pStyle w:val="null3"/>
              <w:jc w:val="both"/>
            </w:pPr>
            <w:r>
              <w:rPr>
                <w:rFonts w:ascii="仿宋_GB2312" w:hAnsi="仿宋_GB2312" w:cs="仿宋_GB2312" w:eastAsia="仿宋_GB2312"/>
                <w:sz w:val="24"/>
              </w:rPr>
              <w:t>具备区域定位与用户筛选能力，能够结合基站覆盖数据，精准定位电子围栏区域内的移动终端用户，同时通过大数据技术综合分析用户的位置信息、通信行为等数据，区分并识别区域内的常驻用户与漫游用户。漫游用户定义为非该区域常驻，且在预警信息发布时效内进入电子围栏区域的用户。</w:t>
            </w:r>
          </w:p>
          <w:p>
            <w:pPr>
              <w:pStyle w:val="null3"/>
              <w:jc w:val="both"/>
            </w:pPr>
            <w:r>
              <w:rPr>
                <w:rFonts w:ascii="仿宋_GB2312" w:hAnsi="仿宋_GB2312" w:cs="仿宋_GB2312" w:eastAsia="仿宋_GB2312"/>
                <w:sz w:val="24"/>
              </w:rPr>
              <w:t>建立实时动态用户数据模型，模型需具备实时更新能力，更新频率不低于10分钟/次，确保能够准确锁定在预警信息发布时效内在电子围栏区域附近停留的用户，避免遗漏目标用户或向非目标用户推送预警短信。</w:t>
            </w:r>
          </w:p>
          <w:p>
            <w:pPr>
              <w:pStyle w:val="null3"/>
              <w:jc w:val="both"/>
            </w:pPr>
            <w:r>
              <w:rPr>
                <w:rFonts w:ascii="仿宋_GB2312" w:hAnsi="仿宋_GB2312" w:cs="仿宋_GB2312" w:eastAsia="仿宋_GB2312"/>
                <w:sz w:val="24"/>
              </w:rPr>
              <w:t>1.2预警短信精准靶向发送</w:t>
            </w:r>
          </w:p>
          <w:p>
            <w:pPr>
              <w:pStyle w:val="null3"/>
              <w:jc w:val="both"/>
            </w:pPr>
            <w:r>
              <w:rPr>
                <w:rFonts w:ascii="仿宋_GB2312" w:hAnsi="仿宋_GB2312" w:cs="仿宋_GB2312" w:eastAsia="仿宋_GB2312"/>
                <w:sz w:val="24"/>
              </w:rPr>
              <w:t>支持精细化气象预报预警短信发布，能够根据气象预警信息的级别（如蓝色、黄色、橙色、红色预警）、类型（如暴雨、台风、高温、寒潮等）、影响范围，向锁定的目标用户发布对应的精细化预警短信，短信内容需包含预警类型、预警级别、影响区域、起止时间、防御建议等关键信息。</w:t>
            </w:r>
          </w:p>
          <w:p>
            <w:pPr>
              <w:pStyle w:val="null3"/>
              <w:jc w:val="both"/>
            </w:pPr>
            <w:r>
              <w:rPr>
                <w:rFonts w:ascii="仿宋_GB2312" w:hAnsi="仿宋_GB2312" w:cs="仿宋_GB2312" w:eastAsia="仿宋_GB2312"/>
                <w:sz w:val="24"/>
              </w:rPr>
              <w:t>具备短信发送速率控制与保障能力，根据目标用户数量及预警信息的紧急程度，灵活调整短信发送速率，在保证短信发送及时性的同时，避免因发送速率过高导致通信网络拥堵或系统故障。对于红色、橙色等紧急预警信息，短信发送速率需满足在40分钟内完成目标用户总量90%以上的短信发送；对于黄色、蓝色预警信息，短信发送速率需满足在60分钟内完成目标用户总量90%以上的短信发送。</w:t>
            </w:r>
          </w:p>
          <w:p>
            <w:pPr>
              <w:pStyle w:val="null3"/>
              <w:jc w:val="both"/>
            </w:pPr>
            <w:r>
              <w:rPr>
                <w:rFonts w:ascii="仿宋_GB2312" w:hAnsi="仿宋_GB2312" w:cs="仿宋_GB2312" w:eastAsia="仿宋_GB2312"/>
                <w:sz w:val="24"/>
              </w:rPr>
              <w:t>实现短信发送状态监控与反馈，系统需实时监控每一条预警短信的发送状态，对于发送失败的短信，需自动分析失败原因，并在条件允许的情况下进行1-2次重试发送。同时，系统需生成短信发送统计报告，报告内容包括目标用户总数、实际发送总数、发送成功数、发送失败数、发送成功率、各时间段发送量等信息，支持导出和查看。</w:t>
            </w:r>
          </w:p>
          <w:p>
            <w:pPr>
              <w:pStyle w:val="null3"/>
              <w:jc w:val="both"/>
            </w:pPr>
            <w:r>
              <w:rPr>
                <w:rFonts w:ascii="仿宋_GB2312" w:hAnsi="仿宋_GB2312" w:cs="仿宋_GB2312" w:eastAsia="仿宋_GB2312"/>
                <w:sz w:val="24"/>
              </w:rPr>
              <w:t>2.技术支持与服务需求</w:t>
            </w:r>
          </w:p>
          <w:p>
            <w:pPr>
              <w:pStyle w:val="null3"/>
              <w:jc w:val="both"/>
            </w:pPr>
            <w:r>
              <w:rPr>
                <w:rFonts w:ascii="仿宋_GB2312" w:hAnsi="仿宋_GB2312" w:cs="仿宋_GB2312" w:eastAsia="仿宋_GB2312"/>
                <w:sz w:val="24"/>
              </w:rPr>
              <w:t>2.1系统安装与调试</w:t>
            </w:r>
          </w:p>
          <w:p>
            <w:pPr>
              <w:pStyle w:val="null3"/>
              <w:jc w:val="both"/>
            </w:pPr>
            <w:r>
              <w:rPr>
                <w:rFonts w:ascii="仿宋_GB2312" w:hAnsi="仿宋_GB2312" w:cs="仿宋_GB2312" w:eastAsia="仿宋_GB2312"/>
                <w:sz w:val="24"/>
              </w:rPr>
              <w:t>供应商需负责短信网关系统的安装、部署与调试工作，包括硬件设备的安装、操作系统及相关软件的安装配置、系统功能模块的部署与调试等，确保系统能够正常运行，各项功能满足本采购需求的要求。</w:t>
            </w:r>
          </w:p>
          <w:p>
            <w:pPr>
              <w:pStyle w:val="null3"/>
              <w:jc w:val="both"/>
            </w:pPr>
            <w:r>
              <w:rPr>
                <w:rFonts w:ascii="仿宋_GB2312" w:hAnsi="仿宋_GB2312" w:cs="仿宋_GB2312" w:eastAsia="仿宋_GB2312"/>
                <w:sz w:val="24"/>
              </w:rPr>
              <w:t>在系统安装调试前，供应商需制定详细的安装调试方案，方案内容包括项目团队组成、实施步骤、时间节点、风险预案等，报采购人审核通过后实施。安装调试过程中，供应商需接受采购人的监督和检查，及时向采购人反馈实施进展情况，对于采购人提出的合理建议，需及时调整方案并落实。</w:t>
            </w:r>
          </w:p>
          <w:p>
            <w:pPr>
              <w:pStyle w:val="null3"/>
              <w:jc w:val="both"/>
            </w:pPr>
            <w:r>
              <w:rPr>
                <w:rFonts w:ascii="仿宋_GB2312" w:hAnsi="仿宋_GB2312" w:cs="仿宋_GB2312" w:eastAsia="仿宋_GB2312"/>
                <w:sz w:val="24"/>
              </w:rPr>
              <w:t>2.2售后服务与技术支持</w:t>
            </w:r>
          </w:p>
          <w:p>
            <w:pPr>
              <w:pStyle w:val="null3"/>
              <w:jc w:val="both"/>
            </w:pPr>
            <w:r>
              <w:rPr>
                <w:rFonts w:ascii="仿宋_GB2312" w:hAnsi="仿宋_GB2312" w:cs="仿宋_GB2312" w:eastAsia="仿宋_GB2312"/>
                <w:sz w:val="24"/>
              </w:rPr>
              <w:t>供应商需提供服务期内的免费售后服务与技术支持。售后服务内容包括系统故障维修、功能优化升级、技术咨询等。</w:t>
            </w:r>
          </w:p>
          <w:p>
            <w:pPr>
              <w:pStyle w:val="null3"/>
              <w:jc w:val="both"/>
            </w:pPr>
            <w:r>
              <w:rPr>
                <w:rFonts w:ascii="仿宋_GB2312" w:hAnsi="仿宋_GB2312" w:cs="仿宋_GB2312" w:eastAsia="仿宋_GB2312"/>
                <w:sz w:val="24"/>
              </w:rPr>
              <w:t>建立完善的售后服务响应机制，提供7×24小时的技术支持热线，确保采购人在遇到问题时能够及时联系到技术支持人员。对于一般技术咨询，需在1小时内给予答复；对于系统故障问题，需在2小时内响应，远程排查并尝试解决，若远程无法解决，需在24小时内派遣技术人员到达现场进行维修，故障修复时间原则上不超过48小时。</w:t>
            </w:r>
          </w:p>
          <w:p>
            <w:pPr>
              <w:pStyle w:val="null3"/>
            </w:pPr>
            <w:r>
              <w:rPr>
                <w:rFonts w:ascii="仿宋_GB2312" w:hAnsi="仿宋_GB2312" w:cs="仿宋_GB2312" w:eastAsia="仿宋_GB2312"/>
                <w:sz w:val="24"/>
              </w:rPr>
              <w:t>定期进行售后服务回访，了解系统运行情况、采购人使用需求及意见建议，及时发现并解决潜在问题，持续提升服务质量。同时，根据气象预警业务发展需求及技术更新情况，为采购人提供系统功能优化升级建议，对于因业务需求变化产生的小型功能优化，需免费提供升级服务；对于大型功能升级，需与采购人协商确定升级方案及费用。</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标的名称：气象预警信息发布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（一）采购内容：</w:t>
            </w:r>
          </w:p>
          <w:p>
            <w:pPr>
              <w:pStyle w:val="null3"/>
              <w:ind w:firstLine="480"/>
              <w:jc w:val="both"/>
            </w:pPr>
            <w:r>
              <w:rPr>
                <w:rFonts w:ascii="仿宋_GB2312" w:hAnsi="仿宋_GB2312" w:cs="仿宋_GB2312" w:eastAsia="仿宋_GB2312"/>
                <w:sz w:val="24"/>
              </w:rPr>
              <w:t>提供短信网关实现气象预警信息靶向发布短信，可实现基站电子围栏技术，通过定位、筛选和定向传播等方式实现预警短信精准靶向发布。利用基站覆盖和大数据技术综合分析出指定区域的常驻和漫游用户，建立实时动态的数据模型，锁定发布时效内在区域附近停留的用户，向其发布精细化气象预报预警短信。</w:t>
            </w:r>
          </w:p>
          <w:p>
            <w:pPr>
              <w:pStyle w:val="null3"/>
              <w:jc w:val="both"/>
            </w:pPr>
            <w:r>
              <w:rPr>
                <w:rFonts w:ascii="仿宋_GB2312" w:hAnsi="仿宋_GB2312" w:cs="仿宋_GB2312" w:eastAsia="仿宋_GB2312"/>
                <w:sz w:val="24"/>
              </w:rPr>
              <w:t>（二）采购内容技术要求：</w:t>
            </w:r>
          </w:p>
          <w:p>
            <w:pPr>
              <w:pStyle w:val="null3"/>
              <w:jc w:val="both"/>
            </w:pPr>
            <w:r>
              <w:rPr>
                <w:rFonts w:ascii="仿宋_GB2312" w:hAnsi="仿宋_GB2312" w:cs="仿宋_GB2312" w:eastAsia="仿宋_GB2312"/>
                <w:sz w:val="24"/>
              </w:rPr>
              <w:t>1.预警信息靶向短信功能要求</w:t>
            </w:r>
          </w:p>
          <w:p>
            <w:pPr>
              <w:pStyle w:val="null3"/>
              <w:jc w:val="both"/>
            </w:pPr>
            <w:r>
              <w:rPr>
                <w:rFonts w:ascii="仿宋_GB2312" w:hAnsi="仿宋_GB2312" w:cs="仿宋_GB2312" w:eastAsia="仿宋_GB2312"/>
                <w:sz w:val="24"/>
              </w:rPr>
              <w:t>1.1基站电子围栏技术</w:t>
            </w:r>
          </w:p>
          <w:p>
            <w:pPr>
              <w:pStyle w:val="null3"/>
              <w:jc w:val="both"/>
            </w:pPr>
            <w:r>
              <w:rPr>
                <w:rFonts w:ascii="仿宋_GB2312" w:hAnsi="仿宋_GB2312" w:cs="仿宋_GB2312" w:eastAsia="仿宋_GB2312"/>
                <w:sz w:val="24"/>
              </w:rPr>
              <w:t>气象预警信息靶向发布短信需集成基站电子围栏技术，支持基于指定区域的基站覆盖范围，划定精准的预警短信发布电子围栏区域。电子围栏区域可根据实际需求灵活调整，支持按行政区域（如市、区、县、乡镇、街道）、地理坐标范围等多种方式进行划定，且划定过程操作便捷，支持可视化操作界面。</w:t>
            </w:r>
          </w:p>
          <w:p>
            <w:pPr>
              <w:pStyle w:val="null3"/>
              <w:jc w:val="both"/>
            </w:pPr>
            <w:r>
              <w:rPr>
                <w:rFonts w:ascii="仿宋_GB2312" w:hAnsi="仿宋_GB2312" w:cs="仿宋_GB2312" w:eastAsia="仿宋_GB2312"/>
                <w:sz w:val="24"/>
              </w:rPr>
              <w:t>具备区域定位与用户筛选能力，能够结合基站覆盖数据，精准定位电子围栏区域内的移动终端用户，同时通过大数据技术综合分析用户的位置信息、通信行为等数据，区分并识别区域内的常驻用户与漫游用户。漫游用户定义为非该区域常驻，且在预警信息发布时效内进入电子围栏区域的用户。</w:t>
            </w:r>
          </w:p>
          <w:p>
            <w:pPr>
              <w:pStyle w:val="null3"/>
              <w:jc w:val="both"/>
            </w:pPr>
            <w:r>
              <w:rPr>
                <w:rFonts w:ascii="仿宋_GB2312" w:hAnsi="仿宋_GB2312" w:cs="仿宋_GB2312" w:eastAsia="仿宋_GB2312"/>
                <w:sz w:val="24"/>
              </w:rPr>
              <w:t>建立实时动态用户数据模型，模型需具备实时更新能力，更新频率不低于10分钟/次，确保能够准确锁定在预警信息发布时效内在电子围栏区域附近停留的用户，避免遗漏目标用户或向非目标用户推送预警短信。</w:t>
            </w:r>
          </w:p>
          <w:p>
            <w:pPr>
              <w:pStyle w:val="null3"/>
              <w:jc w:val="both"/>
            </w:pPr>
            <w:r>
              <w:rPr>
                <w:rFonts w:ascii="仿宋_GB2312" w:hAnsi="仿宋_GB2312" w:cs="仿宋_GB2312" w:eastAsia="仿宋_GB2312"/>
                <w:sz w:val="24"/>
              </w:rPr>
              <w:t>1.2预警短信精准靶向发送</w:t>
            </w:r>
          </w:p>
          <w:p>
            <w:pPr>
              <w:pStyle w:val="null3"/>
              <w:jc w:val="both"/>
            </w:pPr>
            <w:r>
              <w:rPr>
                <w:rFonts w:ascii="仿宋_GB2312" w:hAnsi="仿宋_GB2312" w:cs="仿宋_GB2312" w:eastAsia="仿宋_GB2312"/>
                <w:sz w:val="24"/>
              </w:rPr>
              <w:t>支持精细化气象预报预警短信发布，能够根据气象预警信息的级别（如蓝色、黄色、橙色、红色预警）、类型（如暴雨、台风、高温、寒潮等）、影响范围，向锁定的目标用户发布对应的精细化预警短信，短信内容需包含预警类型、预警级别、影响区域、起止时间、防御建议等关键信息。</w:t>
            </w:r>
          </w:p>
          <w:p>
            <w:pPr>
              <w:pStyle w:val="null3"/>
              <w:jc w:val="both"/>
            </w:pPr>
            <w:r>
              <w:rPr>
                <w:rFonts w:ascii="仿宋_GB2312" w:hAnsi="仿宋_GB2312" w:cs="仿宋_GB2312" w:eastAsia="仿宋_GB2312"/>
                <w:sz w:val="24"/>
              </w:rPr>
              <w:t>具备短信发送速率控制与保障能力，根据目标用户数量及预警信息的紧急程度，灵活调整短信发送速率，在保证短信发送及时性的同时，避免因发送速率过高导致通信网络拥堵或系统故障。对于红色、橙色等紧急预警信息，短信发送速率需满足在40分钟内完成目标用户总量90%以上的短信发送；对于黄色、蓝色预警信息，短信发送速率需满足在60分钟内完成目标用户总量90%以上的短信发送。</w:t>
            </w:r>
          </w:p>
          <w:p>
            <w:pPr>
              <w:pStyle w:val="null3"/>
              <w:jc w:val="both"/>
            </w:pPr>
            <w:r>
              <w:rPr>
                <w:rFonts w:ascii="仿宋_GB2312" w:hAnsi="仿宋_GB2312" w:cs="仿宋_GB2312" w:eastAsia="仿宋_GB2312"/>
                <w:sz w:val="24"/>
              </w:rPr>
              <w:t>实现短信发送状态监控与反馈，系统需实时监控每一条预警短信的发送状态，对于发送失败的短信，需自动分析失败原因，并在条件允许的情况下进行1-2次重试发送。同时，系统需生成短信发送统计报告，报告内容包括目标用户总数、实际发送总数、发送成功数、发送失败数、发送成功率、各时间段发送量等信息，支持导出和查看。</w:t>
            </w:r>
          </w:p>
          <w:p>
            <w:pPr>
              <w:pStyle w:val="null3"/>
              <w:jc w:val="both"/>
            </w:pPr>
            <w:r>
              <w:rPr>
                <w:rFonts w:ascii="仿宋_GB2312" w:hAnsi="仿宋_GB2312" w:cs="仿宋_GB2312" w:eastAsia="仿宋_GB2312"/>
                <w:sz w:val="24"/>
              </w:rPr>
              <w:t>2.技术支持与服务需求</w:t>
            </w:r>
          </w:p>
          <w:p>
            <w:pPr>
              <w:pStyle w:val="null3"/>
              <w:jc w:val="both"/>
            </w:pPr>
            <w:r>
              <w:rPr>
                <w:rFonts w:ascii="仿宋_GB2312" w:hAnsi="仿宋_GB2312" w:cs="仿宋_GB2312" w:eastAsia="仿宋_GB2312"/>
                <w:sz w:val="24"/>
              </w:rPr>
              <w:t>2.1系统安装与调试</w:t>
            </w:r>
          </w:p>
          <w:p>
            <w:pPr>
              <w:pStyle w:val="null3"/>
              <w:jc w:val="both"/>
            </w:pPr>
            <w:r>
              <w:rPr>
                <w:rFonts w:ascii="仿宋_GB2312" w:hAnsi="仿宋_GB2312" w:cs="仿宋_GB2312" w:eastAsia="仿宋_GB2312"/>
                <w:sz w:val="24"/>
              </w:rPr>
              <w:t>供应商需负责短信网关系统的安装、部署与调试工作，包括硬件设备的安装、操作系统及相关软件的安装配置、系统功能模块的部署与调试等，确保系统能够正常运行，各项功能满足本采购需求的要求。</w:t>
            </w:r>
          </w:p>
          <w:p>
            <w:pPr>
              <w:pStyle w:val="null3"/>
              <w:jc w:val="both"/>
            </w:pPr>
            <w:r>
              <w:rPr>
                <w:rFonts w:ascii="仿宋_GB2312" w:hAnsi="仿宋_GB2312" w:cs="仿宋_GB2312" w:eastAsia="仿宋_GB2312"/>
                <w:sz w:val="24"/>
              </w:rPr>
              <w:t>在系统安装调试前，供应商需制定详细的安装调试方案，方案内容包括项目团队组成、实施步骤、时间节点、风险预案等，报采购人审核通过后实施。安装调试过程中，供应商需接受采购人的监督和检查，及时向采购人反馈实施进展情况，对于采购人提出的合理建议，需及时调整方案并落实。</w:t>
            </w:r>
          </w:p>
          <w:p>
            <w:pPr>
              <w:pStyle w:val="null3"/>
              <w:jc w:val="both"/>
            </w:pPr>
            <w:r>
              <w:rPr>
                <w:rFonts w:ascii="仿宋_GB2312" w:hAnsi="仿宋_GB2312" w:cs="仿宋_GB2312" w:eastAsia="仿宋_GB2312"/>
                <w:sz w:val="24"/>
              </w:rPr>
              <w:t>2.2售后服务与技术支持</w:t>
            </w:r>
          </w:p>
          <w:p>
            <w:pPr>
              <w:pStyle w:val="null3"/>
              <w:jc w:val="both"/>
            </w:pPr>
            <w:r>
              <w:rPr>
                <w:rFonts w:ascii="仿宋_GB2312" w:hAnsi="仿宋_GB2312" w:cs="仿宋_GB2312" w:eastAsia="仿宋_GB2312"/>
                <w:sz w:val="24"/>
              </w:rPr>
              <w:t>供应商需提供服务期内的免费售后服务与技术支持。售后服务内容包括系统故障维修、功能优化升级、技术咨询等。</w:t>
            </w:r>
          </w:p>
          <w:p>
            <w:pPr>
              <w:pStyle w:val="null3"/>
              <w:jc w:val="both"/>
            </w:pPr>
            <w:r>
              <w:rPr>
                <w:rFonts w:ascii="仿宋_GB2312" w:hAnsi="仿宋_GB2312" w:cs="仿宋_GB2312" w:eastAsia="仿宋_GB2312"/>
                <w:sz w:val="24"/>
              </w:rPr>
              <w:t>建立完善的售后服务响应机制，提供7×24小时的技术支持热线，确保采购人在遇到问题时能够及时联系到技术支持人员。对于一般技术咨询，需在1小时内给予答复；对于系统故障问题，需在2小时内响应，远程排查并尝试解决，若远程无法解决，需在24小时内派遣技术人员到达现场进行维修，故障修复时间原则上不超过48小时。</w:t>
            </w:r>
          </w:p>
          <w:p>
            <w:pPr>
              <w:pStyle w:val="null3"/>
              <w:jc w:val="both"/>
            </w:pPr>
            <w:r>
              <w:rPr>
                <w:rFonts w:ascii="仿宋_GB2312" w:hAnsi="仿宋_GB2312" w:cs="仿宋_GB2312" w:eastAsia="仿宋_GB2312"/>
                <w:sz w:val="24"/>
              </w:rPr>
              <w:t>定期进行售后服务回访，了解系统运行情况、采购人使用需求及意见建议，及时发现并解决潜在问题，持续提升服务质量。同时，根据气象预警业务发展需求及技术更新情况，为采购人提供系统功能优化升级建议，对于因业务需求变化产生的小型功能优化，需免费提供升级服务；对于大型功能升级，需与采购人协商确定升级方案及费用。</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满足招标文件要求。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满足招标文件要求。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满足招标文件要求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满足招标文件要求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满足招标文件要求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满足招标文件要求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合同签订后12个月。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合同签订后12个月。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采购单位指定地点。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采购单位指定地点。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采购单位指定地点。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满足国家、行业标准。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满足国家、行业标准。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满足国家、行业标准。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其他，合同签订后，达到付款条件起30个工作日内，支付合同总金额的100.0%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甲方所在地提起仲裁。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甲方所在地提起仲裁。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甲方所在地提起仲裁。</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详见合同模版。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陕西省政府采购供应商拒接政府采购领域商业贿赂承诺书.docx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陕西省政府采购供应商拒接政府采购领域商业贿赂承诺书.docx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陕西省政府采购供应商拒接政府采购领域商业贿赂承诺书.docx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法定代表人直接参加投标的须提交法定代表人证明书；法定代表人授权代表参加投标的，提供法定代表人授权书（附法定代表人、投标人代表身份证复印件）；</w:t>
            </w:r>
          </w:p>
        </w:tc>
        <w:tc>
          <w:tcPr>
            <w:tcW w:type="dxa" w:w="1661"/>
          </w:tcPr>
          <w:p>
            <w:pPr>
              <w:pStyle w:val="null3"/>
            </w:pPr>
            <w:r>
              <w:rPr>
                <w:rFonts w:ascii="仿宋_GB2312" w:hAnsi="仿宋_GB2312" w:cs="仿宋_GB2312" w:eastAsia="仿宋_GB2312"/>
              </w:rPr>
              <w:t>法定代表人身份证明.docx 投标人应提交的相关资格证明材料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须提供供应商2024年或2025年具有财务审计资质单位出具的完整财务报告（审计报告应当经过注册会计师行业统一监管平台备案赋码）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 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依法缴纳税收和社会保障资金的良好记录</w:t>
            </w:r>
          </w:p>
        </w:tc>
        <w:tc>
          <w:tcPr>
            <w:tcW w:type="dxa" w:w="3322"/>
          </w:tcPr>
          <w:p>
            <w:pPr>
              <w:pStyle w:val="null3"/>
            </w:pPr>
            <w:r>
              <w:rPr>
                <w:rFonts w:ascii="仿宋_GB2312" w:hAnsi="仿宋_GB2312" w:cs="仿宋_GB2312" w:eastAsia="仿宋_GB2312"/>
              </w:rPr>
              <w:t>提供依法缴纳税收和社会保障资金的相关材料（提供缴费所属日期为响应文件递交截止时间前12个月内至少三个月份已缴存的社会保障资金缴存凭证或社保机构开具的社会保险参保缴费情况证明，依法不需要缴纳社会保障资金的单位应提供相关证明材料，提供缴费所属日期为响应文件递交截止时间前12个月内至少三个月份已缴纳的纳税证明或完税证明（任意税种），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参加政府采购活动前3年内在经营活动中没有重大违法记录的书面声明（原件）；</w:t>
            </w:r>
          </w:p>
        </w:tc>
        <w:tc>
          <w:tcPr>
            <w:tcW w:type="dxa" w:w="1661"/>
          </w:tcPr>
          <w:p>
            <w:pPr>
              <w:pStyle w:val="null3"/>
            </w:pPr>
            <w:r>
              <w:rPr>
                <w:rFonts w:ascii="仿宋_GB2312" w:hAnsi="仿宋_GB2312" w:cs="仿宋_GB2312" w:eastAsia="仿宋_GB2312"/>
              </w:rPr>
              <w:t>供应商无重大违法记录的书面声明格式.docx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查询渠道：“信用中国”网站（www.creditchina.gov.vn）、中国政府采购网（www.ccgp.gov.vn）；以现场查询为准。 截止时点：招标截止时间； 信用信息查询记录和证据留存的具体方式：网上查询结果打印。 信用信息的使用规则：凡在截止时点内，列入失信被执行人、重大税收违法案件当事人名单、政府采购严重违法失信行为记录名单的供应商，其招标响应视为无效；联合体招标时，联合体成员存在不良信用记录的，视同联合体存在不良信用记录，其招标响应视为无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特殊资格要求</w:t>
            </w:r>
          </w:p>
        </w:tc>
        <w:tc>
          <w:tcPr>
            <w:tcW w:type="dxa" w:w="3322"/>
          </w:tcPr>
          <w:p>
            <w:pPr>
              <w:pStyle w:val="null3"/>
            </w:pPr>
            <w:r>
              <w:rPr>
                <w:rFonts w:ascii="仿宋_GB2312" w:hAnsi="仿宋_GB2312" w:cs="仿宋_GB2312" w:eastAsia="仿宋_GB2312"/>
              </w:rPr>
              <w:t>分支机构在参与投标时，须提供总公司（总所）出具的授权书，总公司（总所）只能授权一家分支机构。经总公司（总所）授权后，总公司（总所）取得的相关资质证书对分支机构有效（法律法规或行业另有规定的除外）。</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法定代表人直接参加投标的须提交法定代表人证明书；法定代表人授权代表参加投标的，提供法定代表人授权书（附法定代表人、投标人代表身份证复印件）；</w:t>
            </w:r>
          </w:p>
        </w:tc>
        <w:tc>
          <w:tcPr>
            <w:tcW w:type="dxa" w:w="1661"/>
          </w:tcPr>
          <w:p>
            <w:pPr>
              <w:pStyle w:val="null3"/>
            </w:pPr>
            <w:r>
              <w:rPr>
                <w:rFonts w:ascii="仿宋_GB2312" w:hAnsi="仿宋_GB2312" w:cs="仿宋_GB2312" w:eastAsia="仿宋_GB2312"/>
              </w:rPr>
              <w:t>法定代表人身份证明.docx 投标人应提交的相关资格证明材料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须提供供应商2024年或2025年具有财务审计资质单位出具的完整财务报告（审计报告应当经过注册会计师行业统一监管平台备案赋码）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 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依法缴纳税收和社会保障资金的良好记录</w:t>
            </w:r>
          </w:p>
        </w:tc>
        <w:tc>
          <w:tcPr>
            <w:tcW w:type="dxa" w:w="3322"/>
          </w:tcPr>
          <w:p>
            <w:pPr>
              <w:pStyle w:val="null3"/>
            </w:pPr>
            <w:r>
              <w:rPr>
                <w:rFonts w:ascii="仿宋_GB2312" w:hAnsi="仿宋_GB2312" w:cs="仿宋_GB2312" w:eastAsia="仿宋_GB2312"/>
              </w:rPr>
              <w:t>提供依法缴纳税收和社会保障资金的相关材料（提供缴费所属日期为响应文件递交截止时间前12个月内至少三个月份已缴存的社会保障资金缴存凭证或社保机构开具的社会保险参保缴费情况证明，依法不需要缴纳社会保障资金的单位应提供相关证明材料，提供缴费所属日期为响应文件递交截止时间前12个月内至少三个月份已缴纳的纳税证明或完税证明（任意税种），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参加政府采购活动前3年内在经营活动中没有重大违法记录的书面声明（原件）；</w:t>
            </w:r>
          </w:p>
        </w:tc>
        <w:tc>
          <w:tcPr>
            <w:tcW w:type="dxa" w:w="1661"/>
          </w:tcPr>
          <w:p>
            <w:pPr>
              <w:pStyle w:val="null3"/>
            </w:pPr>
            <w:r>
              <w:rPr>
                <w:rFonts w:ascii="仿宋_GB2312" w:hAnsi="仿宋_GB2312" w:cs="仿宋_GB2312" w:eastAsia="仿宋_GB2312"/>
              </w:rPr>
              <w:t>供应商无重大违法记录的书面声明格式.docx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查询渠道：“信用中国”网站（www.creditchina.gov.vn）、中国政府采购网（www.ccgp.gov.vn）；以现场查询为准。 截止时点：招标截止时间； 信用信息查询记录和证据留存的具体方式：网上查询结果打印。 信用信息的使用规则：凡在截止时点内，列入失信被执行人、重大税收违法案件当事人名单、政府采购严重违法失信行为记录名单的供应商，其招标响应视为无效；联合体招标时，联合体成员存在不良信用记录的，视同联合体存在不良信用记录，其招标响应视为无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特殊资格要求</w:t>
            </w:r>
          </w:p>
        </w:tc>
        <w:tc>
          <w:tcPr>
            <w:tcW w:type="dxa" w:w="3322"/>
          </w:tcPr>
          <w:p>
            <w:pPr>
              <w:pStyle w:val="null3"/>
            </w:pPr>
            <w:r>
              <w:rPr>
                <w:rFonts w:ascii="仿宋_GB2312" w:hAnsi="仿宋_GB2312" w:cs="仿宋_GB2312" w:eastAsia="仿宋_GB2312"/>
              </w:rPr>
              <w:t>分支机构在参与投标时，须提供总公司（总所）出具的授权书，总公司（总所）只能授权一家分支机构。经总公司（总所）授权后，总公司（总所）取得的相关资质证书对分支机构有效（法律法规或行业另有规定的除外）。</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法人代表授权书</w:t>
            </w:r>
          </w:p>
        </w:tc>
        <w:tc>
          <w:tcPr>
            <w:tcW w:type="dxa" w:w="3322"/>
          </w:tcPr>
          <w:p>
            <w:pPr>
              <w:pStyle w:val="null3"/>
            </w:pPr>
            <w:r>
              <w:rPr>
                <w:rFonts w:ascii="仿宋_GB2312" w:hAnsi="仿宋_GB2312" w:cs="仿宋_GB2312" w:eastAsia="仿宋_GB2312"/>
              </w:rPr>
              <w:t>法定代表人直接参加投标的须提交法定代表人证明书；法定代表人授权代表参加投标的，提供法定代表人授权书（附法定代表人、投标人代表身份证复印件）；</w:t>
            </w:r>
          </w:p>
        </w:tc>
        <w:tc>
          <w:tcPr>
            <w:tcW w:type="dxa" w:w="1661"/>
          </w:tcPr>
          <w:p>
            <w:pPr>
              <w:pStyle w:val="null3"/>
            </w:pPr>
            <w:r>
              <w:rPr>
                <w:rFonts w:ascii="仿宋_GB2312" w:hAnsi="仿宋_GB2312" w:cs="仿宋_GB2312" w:eastAsia="仿宋_GB2312"/>
              </w:rPr>
              <w:t>法定代表人身份证明.docx 投标人应提交的相关资格证明材料 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须提供供应商2024年或2025年具有财务审计资质单位出具的完整财务报告（审计报告应当经过注册会计师行业统一监管平台备案赋码）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 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依法缴纳税收和社会保障资金的良好记录</w:t>
            </w:r>
          </w:p>
        </w:tc>
        <w:tc>
          <w:tcPr>
            <w:tcW w:type="dxa" w:w="3322"/>
          </w:tcPr>
          <w:p>
            <w:pPr>
              <w:pStyle w:val="null3"/>
            </w:pPr>
            <w:r>
              <w:rPr>
                <w:rFonts w:ascii="仿宋_GB2312" w:hAnsi="仿宋_GB2312" w:cs="仿宋_GB2312" w:eastAsia="仿宋_GB2312"/>
              </w:rPr>
              <w:t>提供依法缴纳税收和社会保障资金的相关材料（提供缴费所属日期为响应文件递交截止时间前12个月内至少三个月份已缴存的社会保障资金缴存凭证或社保机构开具的社会保险参保缴费情况证明，依法不需要缴纳社会保障资金的单位应提供相关证明材料，提供缴费所属日期为响应文件递交截止时间前12个月内至少三个月份已缴纳的纳税证明或完税证明（任意税种），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参加政府采购活动前3年内在经营活动中没有重大违法记录的书面声明（原件）；</w:t>
            </w:r>
          </w:p>
        </w:tc>
        <w:tc>
          <w:tcPr>
            <w:tcW w:type="dxa" w:w="1661"/>
          </w:tcPr>
          <w:p>
            <w:pPr>
              <w:pStyle w:val="null3"/>
            </w:pPr>
            <w:r>
              <w:rPr>
                <w:rFonts w:ascii="仿宋_GB2312" w:hAnsi="仿宋_GB2312" w:cs="仿宋_GB2312" w:eastAsia="仿宋_GB2312"/>
              </w:rPr>
              <w:t>供应商无重大违法记录的书面声明格式.docx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查询渠道：“信用中国”网站（www.creditchina.gov.vn）、中国政府采购网（www.ccgp.gov.vn）；以现场查询为准。 截止时点：招标截止时间； 信用信息查询记录和证据留存的具体方式：网上查询结果打印。 信用信息的使用规则：凡在截止时点内，列入失信被执行人、重大税收违法案件当事人名单、政府采购严重违法失信行为记录名单的供应商，其招标响应视为无效；联合体招标时，联合体成员存在不良信用记录的，视同联合体存在不良信用记录，其招标响应视为无效。</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特殊资格要求</w:t>
            </w:r>
          </w:p>
        </w:tc>
        <w:tc>
          <w:tcPr>
            <w:tcW w:type="dxa" w:w="3322"/>
          </w:tcPr>
          <w:p>
            <w:pPr>
              <w:pStyle w:val="null3"/>
            </w:pPr>
            <w:r>
              <w:rPr>
                <w:rFonts w:ascii="仿宋_GB2312" w:hAnsi="仿宋_GB2312" w:cs="仿宋_GB2312" w:eastAsia="仿宋_GB2312"/>
              </w:rPr>
              <w:t>分支机构在参与投标时，须提供总公司（总所）出具的授权书，总公司（总所）只能授权一家分支机构。经总公司（总所）授权后，总公司（总所）取得的相关资质证书对分支机构有效（法律法规或行业另有规定的除外）。</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w:t>
            </w:r>
          </w:p>
        </w:tc>
        <w:tc>
          <w:tcPr>
            <w:tcW w:type="dxa" w:w="2492"/>
          </w:tcPr>
          <w:p>
            <w:pPr>
              <w:pStyle w:val="null3"/>
            </w:pPr>
            <w:r>
              <w:rPr>
                <w:rFonts w:ascii="仿宋_GB2312" w:hAnsi="仿宋_GB2312" w:cs="仿宋_GB2312" w:eastAsia="仿宋_GB2312"/>
              </w:rPr>
              <w:t>以招标文件服务应答表为依据：完全满足招标文件技术参数要求，得满分；一般技术参数一项不满足，扣3分扣完为止。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项目需求分析</w:t>
            </w:r>
          </w:p>
        </w:tc>
        <w:tc>
          <w:tcPr>
            <w:tcW w:type="dxa" w:w="2492"/>
          </w:tcPr>
          <w:p>
            <w:pPr>
              <w:pStyle w:val="null3"/>
            </w:pPr>
            <w:r>
              <w:rPr>
                <w:rFonts w:ascii="仿宋_GB2312" w:hAnsi="仿宋_GB2312" w:cs="仿宋_GB2312" w:eastAsia="仿宋_GB2312"/>
              </w:rPr>
              <w:t>根据投标文件提供的针对本项目背景、建设内容的理解，方案内容涵盖本项目全部内容，至少包括①项目任务、目标与必要性；②功能需求理解分析；③数据需求；④接口需求等的理解； 上述4方面内容中每项分析内容完整、与项目需求吻合全面、安排合理、有具体详细的阐述且符合项目要求的得1分，最高得4分；每缺少一项内容的扣1分，每有一处需求分析内容存在缺陷或不足的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总体设计方案</w:t>
            </w:r>
          </w:p>
        </w:tc>
        <w:tc>
          <w:tcPr>
            <w:tcW w:type="dxa" w:w="2492"/>
          </w:tcPr>
          <w:p>
            <w:pPr>
              <w:pStyle w:val="null3"/>
            </w:pPr>
            <w:r>
              <w:rPr>
                <w:rFonts w:ascii="仿宋_GB2312" w:hAnsi="仿宋_GB2312" w:cs="仿宋_GB2312" w:eastAsia="仿宋_GB2312"/>
              </w:rPr>
              <w:t>投标人针对本项目提供总体设计方案，包括但不限于①项目架构设计方案；②技术架构设计运行方案；③本项目所涉及的服务运行与维护方案；④系统接口对接方案；⑤非功能技术解决方案。 上述5方面内容中每项技术方案内容完整、与项目需求吻合、思路清晰、层次细化，有具体详细的阐述且符合项目要求的得2分，最高得10分；每缺少一项内容的扣2分，每有一处技术方案内容存在缺陷或不足的扣 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根据投标文件提供的针对本项目的服务团队人员方案，方案内容涵盖本项目全部内容，至少包括①项目组织架构与人员岗位分配；②人员资质经验（团队人员除项目经理及技术负责人以外，5人及以上具有中级及以上技术职称证书）； 上述2方面内容中每项内容完整、与项目需求吻合全面、安排合理、有具体详细的闸述且符合项目要求的得3分，最高得6分；每缺少一项内容的扣3分，每有一处需求分析内容存在缺陷或不足的扣2分，扣完为止。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团队人员资质</w:t>
            </w:r>
          </w:p>
        </w:tc>
        <w:tc>
          <w:tcPr>
            <w:tcW w:type="dxa" w:w="2492"/>
          </w:tcPr>
          <w:p>
            <w:pPr>
              <w:pStyle w:val="null3"/>
            </w:pPr>
            <w:r>
              <w:rPr>
                <w:rFonts w:ascii="仿宋_GB2312" w:hAnsi="仿宋_GB2312" w:cs="仿宋_GB2312" w:eastAsia="仿宋_GB2312"/>
              </w:rPr>
              <w:t>项目经理具有丰富的项目管理经验，须提供信息系统项目管理师（高级）或PMP证书；满足得2分，否则不得分； 技术负责人具有通信相关专业高级证书。满足得2分，否则不得分。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投标人针对本项目提供实施方案，方案内容至少包括①项目实施计划及进度保障措施；②运行测试方案、验收方案；③质量保证方案等内容。 上述3方面内容中每项内容完整、与项目需求吻合、思路清晰、层次细化，有具体详细的闸述且符合项目要求的得2分，最高得6分；每缺少一项内容的扣 2分，每有一处需求分析内容存在缺陷或不足的扣1分，扣完为止。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投标人针对本项目提供培训方案，方案内容至少包括①培训目标；②培训计划等内容。 上述2方面内容中每项内容完整、与项目需求吻合、思路清晰、层次细化，有具体详细的闸述且符合项目要求的得3分，最高得6分；每缺少一项内容的扣3分，每有一处需求分析内容存在缺陷或不足的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投标人针对本项目提供售后服务方案，方案内容至少包括①售后服务内容、服务方式；②故障处理措施及处理时效保证措施；③售后服务人员配置；④售后服务承诺等内容。 上述4方面内容中每有1项分析内容完整、与项目需求吻合、思路清晰、层次细化，有具体详细的闸述且符合项目要求的得2分，最高得8分；每缺少一项内容的扣 2分，每有一处需求分析内容存在缺陷或不足的扣1分，扣完为止。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投标文件所提供的投标人在2023年1月1日以来的类似项目实施案例，提供证明材料（以合同复印件为准，合同复印件至少含封皮、首页、能反映采购内容页、双方签字盖章页等），每提供一份完整的业绩证明材料，得3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商务条款</w:t>
            </w:r>
          </w:p>
        </w:tc>
        <w:tc>
          <w:tcPr>
            <w:tcW w:type="dxa" w:w="2492"/>
          </w:tcPr>
          <w:p>
            <w:pPr>
              <w:pStyle w:val="null3"/>
            </w:pPr>
            <w:r>
              <w:rPr>
                <w:rFonts w:ascii="仿宋_GB2312" w:hAnsi="仿宋_GB2312" w:cs="仿宋_GB2312" w:eastAsia="仿宋_GB2312"/>
              </w:rPr>
              <w:t>根据投标文件中所响应的服务期、服务地点、付款条件、付款方式重要商务条款全部满足招标文件要求，得6分，一项条件不满足招标文件要求的，本项不得分。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1.最低评标价为评标基准价，得20分。 2.按（评标基准价/评标价×20）的公式计算价格得分。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w:t>
            </w:r>
          </w:p>
        </w:tc>
        <w:tc>
          <w:tcPr>
            <w:tcW w:type="dxa" w:w="2492"/>
          </w:tcPr>
          <w:p>
            <w:pPr>
              <w:pStyle w:val="null3"/>
            </w:pPr>
            <w:r>
              <w:rPr>
                <w:rFonts w:ascii="仿宋_GB2312" w:hAnsi="仿宋_GB2312" w:cs="仿宋_GB2312" w:eastAsia="仿宋_GB2312"/>
              </w:rPr>
              <w:t>以招标文件服务应答表为依据：完全满足招标文件技术参数要求，得满分；一般技术参数一项不满足，扣3分扣完为止。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项目需求分析</w:t>
            </w:r>
          </w:p>
        </w:tc>
        <w:tc>
          <w:tcPr>
            <w:tcW w:type="dxa" w:w="2492"/>
          </w:tcPr>
          <w:p>
            <w:pPr>
              <w:pStyle w:val="null3"/>
            </w:pPr>
            <w:r>
              <w:rPr>
                <w:rFonts w:ascii="仿宋_GB2312" w:hAnsi="仿宋_GB2312" w:cs="仿宋_GB2312" w:eastAsia="仿宋_GB2312"/>
              </w:rPr>
              <w:t>根据投标文件提供的针对本项目背景、建设内容的理解，方案内容涵盖本项目全部内容，至少包括①项目任务、目标与必要性；②功能需求理解分析等的理解；上述2项内容中每项分析内容完整、与项目需求吻合全面、安排合理、有具体详细的阐述且符合项目要求的得2分，最高得4分；每缺少一项内容的扣2分，每有一处需求分析内容存在缺陷或不足的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总体设计方案</w:t>
            </w:r>
          </w:p>
        </w:tc>
        <w:tc>
          <w:tcPr>
            <w:tcW w:type="dxa" w:w="2492"/>
          </w:tcPr>
          <w:p>
            <w:pPr>
              <w:pStyle w:val="null3"/>
            </w:pPr>
            <w:r>
              <w:rPr>
                <w:rFonts w:ascii="仿宋_GB2312" w:hAnsi="仿宋_GB2312" w:cs="仿宋_GB2312" w:eastAsia="仿宋_GB2312"/>
              </w:rPr>
              <w:t>投标人针对本项目提供总体设计方案，包括但不限于①系统架构；②技术逻辑；③系统功能；④网络安全建设方案；⑤密码技术方案设计。上述5方面内容中每项技术方案内容完整、与项目需求吻合、思路清晰、层次细化，有具体详细的阐述且符合项目要求的得2分，最高得10分；每缺少一项内容的扣2分，每有一处技术方案内容存在缺陷或不足的扣 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根据投标文件提供的针对本项目的服务团队人员方案，方案内容涵盖本项目全部内容，至少包括①项目组织架构与人员岗位分配；②人员资质经验（团队人员除项目经理及技术负责人以外，5人及以上具有中级及以上技术职称证书）； 上述2方面内容中每项内容完整、与项目需求吻合全面、安排合理、有具体详细的闸述且符合项目要求的得3分，最高得6分；每缺少一项内容的扣3分，每有一处需求分析内容存在缺陷或不足的扣2分，扣完为止。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团队人员资质</w:t>
            </w:r>
          </w:p>
        </w:tc>
        <w:tc>
          <w:tcPr>
            <w:tcW w:type="dxa" w:w="2492"/>
          </w:tcPr>
          <w:p>
            <w:pPr>
              <w:pStyle w:val="null3"/>
            </w:pPr>
            <w:r>
              <w:rPr>
                <w:rFonts w:ascii="仿宋_GB2312" w:hAnsi="仿宋_GB2312" w:cs="仿宋_GB2312" w:eastAsia="仿宋_GB2312"/>
              </w:rPr>
              <w:t>项目经理具有丰富的项目管理经验，须提供信息系统项目管理师（高级）或PMP证书；满足得2分，否则不得分； 技术负责人具有通信相关专业高级证书。满足得2分，否则不得分。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投标人针对靶向发布短信提供服务方案，包括但不限于①资源对接；②靶向短信服务实施保障方案；③业务文档；④安全保障；⑤特殊事件保障等。上述5项内容中每项技术方案内容完整、与项目需求吻合、思路清晰、层次细化，有具体详细的阐述且符合项目要求的得2分，最高得10分；每缺少一项内容的扣2分，每有一处技术方案内容存在缺陷或不足的扣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投标人针对本项目提供售后服务方案，方案内容至少包括①售后服务内容、服务方式；②故障处理措施及处理时效保证措施；③售后服务人员配置；④培训方案等内容。 上述4方面内容中每有1项分析内容完整、与项目需求吻合、思路清晰、层次细化，有具体详细的闸述且符合项目要求的得1.5分，最高得6分；每缺少一项内容的扣1.5分，每有一处需求分析内容存在缺陷或不足的扣0.5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投标文件所提供的投标人在2023年1月1日以来的类似项目实施案例，提供证明材料（以合同复印件为准，合同复印件至少含封皮、首页、能反映采购内容页、双方签字盖章页等），每提供一份完整的业绩证明材料，得3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商务条款</w:t>
            </w:r>
          </w:p>
        </w:tc>
        <w:tc>
          <w:tcPr>
            <w:tcW w:type="dxa" w:w="2492"/>
          </w:tcPr>
          <w:p>
            <w:pPr>
              <w:pStyle w:val="null3"/>
            </w:pPr>
            <w:r>
              <w:rPr>
                <w:rFonts w:ascii="仿宋_GB2312" w:hAnsi="仿宋_GB2312" w:cs="仿宋_GB2312" w:eastAsia="仿宋_GB2312"/>
              </w:rPr>
              <w:t>根据投标文件中所响应的服务期、服务地点、付款条件、付款方式重要商务条款全部满足招标文件要求，得6分，一项条件不满足招标文件要求的，本项不得分。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投标人针对本项目需求对采购人处所获信息提供保密方案，包括但不限于①保密制度、②保密措施、③数据文档保护措施、④保密服务承诺。上述4项内容中每项技术方案内容完整、与项目需求吻合、思路清晰、层次细化，有具体详细的阐述且符合项目要求的得1分，最高得4分；每缺少一项内容的扣1分，每有一处技术方案内容存在缺陷或不足的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1.最低评标价为评标基准价，得20分。 2.按（评标基准价/评标价×20）的公式计算价格得分。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服务要求</w:t>
            </w:r>
          </w:p>
        </w:tc>
        <w:tc>
          <w:tcPr>
            <w:tcW w:type="dxa" w:w="2492"/>
          </w:tcPr>
          <w:p>
            <w:pPr>
              <w:pStyle w:val="null3"/>
            </w:pPr>
            <w:r>
              <w:rPr>
                <w:rFonts w:ascii="仿宋_GB2312" w:hAnsi="仿宋_GB2312" w:cs="仿宋_GB2312" w:eastAsia="仿宋_GB2312"/>
              </w:rPr>
              <w:t>以投标文件服务应答表为依据：完全满足招标文件技术参数要求，得满分；一般技术参数一项不满足，扣3分扣完为止。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项目需求分析</w:t>
            </w:r>
          </w:p>
        </w:tc>
        <w:tc>
          <w:tcPr>
            <w:tcW w:type="dxa" w:w="2492"/>
          </w:tcPr>
          <w:p>
            <w:pPr>
              <w:pStyle w:val="null3"/>
            </w:pPr>
            <w:r>
              <w:rPr>
                <w:rFonts w:ascii="仿宋_GB2312" w:hAnsi="仿宋_GB2312" w:cs="仿宋_GB2312" w:eastAsia="仿宋_GB2312"/>
              </w:rPr>
              <w:t>根据投标文件提供的针对本项目背景、建设内容的理解，方案内容涵盖本项目全部内容，至少包括①项目任务、目标与必要性；②功能需求理解分析；③数据需求；④接口需求等的理解； 上述4方面内容中每项分析内容完整、与项目需求吻合全面、安排合理、有具体详细的阐述且符合项目要求的得1分，最高得4分；每缺少一项内容的扣1分，每有一处需求分析内容存在缺陷或不足的扣0.5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总体设计方案</w:t>
            </w:r>
          </w:p>
        </w:tc>
        <w:tc>
          <w:tcPr>
            <w:tcW w:type="dxa" w:w="2492"/>
          </w:tcPr>
          <w:p>
            <w:pPr>
              <w:pStyle w:val="null3"/>
            </w:pPr>
            <w:r>
              <w:rPr>
                <w:rFonts w:ascii="仿宋_GB2312" w:hAnsi="仿宋_GB2312" w:cs="仿宋_GB2312" w:eastAsia="仿宋_GB2312"/>
              </w:rPr>
              <w:t>投标人针对本项目提供总体设计方案，包括但不限于①项目架构设计方案；②技术架构设计运行方案；③本项目所涉及的服务运行与维护方案；④系统接口对接方案；⑤非功能技术解决方案。 上述5方面内容中每项技术方案内容完整、与项目需求吻合、思路清晰、层次细化，有具体详细的阐述且符合项目要求的得2分，最高得10分；每缺少一项内容的扣2分，每有一处技术方案内容存在缺陷或不足的扣 1分，扣完为止。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根据投标文件提供的针对本项目的服务团队人员方案，方案内容涵盖本项目全部内容，至少包括①项目组织架构与人员岗位分配；②人员资质经验（团队人员除项目经理及技术负责人以外，5人及以上具有中级及以上技术职称证书）； 上述2方面内容中每项内容完整、与项目需求吻合全面、安排合理、有具体详细的闸述且符合项目要求的得3分，最高得6分；每缺少一项内容的扣3分，每有一处需求分析内容存在缺陷或不足的扣2分，扣完为止。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团队人员资质</w:t>
            </w:r>
          </w:p>
        </w:tc>
        <w:tc>
          <w:tcPr>
            <w:tcW w:type="dxa" w:w="2492"/>
          </w:tcPr>
          <w:p>
            <w:pPr>
              <w:pStyle w:val="null3"/>
            </w:pPr>
            <w:r>
              <w:rPr>
                <w:rFonts w:ascii="仿宋_GB2312" w:hAnsi="仿宋_GB2312" w:cs="仿宋_GB2312" w:eastAsia="仿宋_GB2312"/>
              </w:rPr>
              <w:t>项目经理具有丰富的项目管理经验，须提供信息系统项目管理师（高级）或PMP证书；满足得2分，否则不得分； 技术负责人具有通信相关专业高级证书。满足得2分，否则不得分。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投标人针对本项目提供实施方案，方案内容至少包括①项目实施计划及进度保障措施；②运行测试方案、验收方案；③质量保证方案等内容。 上述3方面内容中每项内容完整、与项目需求吻合、思路清晰、层次细化，有具体详细的闸述且符合项目要求的得2分，最高得6分；每缺少一项内容的扣 2分，每有一处需求分析内容存在缺陷或不足的扣1分，扣完为止。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投标人针对本项目提供培训方案，方案内容至少包括①培训目标；②培训计划等内容。 上述2方面内容中每项内容完整、与项目需求吻合、思路清晰、层次细化，有具体详细的闸述且符合项目要求的得3分，最高得6分；每缺少一项内容的扣3分，每有一处需求分析内容存在缺陷或不足的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投标人针对本项目提供售后服务方案，方案内容至少包括①售后服务内容、服务方式；②故障处理措施及处理时效保证措施；③售后服务人员配置；④售后服务承诺等内容。 上述4方面内容中每有1项分析内容完整、与项目需求吻合、思路清晰、层次细化，有具体详细的闸述且符合项目要求的得2分，最高得8分；每缺少一项内容的扣 2分，每有一处需求分析内容存在缺陷或不足的扣1分，扣完为止。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投标文件所提供的投标人在2023年1月1日以来的类似项目实施案例，提供证明材料（以合同复印件为准，合同复印件至少含封皮、首页、能反映采购内容页、双方签字盖章页等），每提供一份完整的业绩证明材料，得3分，满分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商务条款</w:t>
            </w:r>
          </w:p>
        </w:tc>
        <w:tc>
          <w:tcPr>
            <w:tcW w:type="dxa" w:w="2492"/>
          </w:tcPr>
          <w:p>
            <w:pPr>
              <w:pStyle w:val="null3"/>
            </w:pPr>
            <w:r>
              <w:rPr>
                <w:rFonts w:ascii="仿宋_GB2312" w:hAnsi="仿宋_GB2312" w:cs="仿宋_GB2312" w:eastAsia="仿宋_GB2312"/>
              </w:rPr>
              <w:t>根据投标文件中所响应的服务期、服务地点、付款条件、付款方式重要商务条款全部满足招标文件要求，得6分，一项条件不满足招标文件要求的，本项不得分。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1.最低评标价为评标基准价，得20分。 2.按（评标基准价/评标价×20）的公式计算价格得分。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详见附件：法定代表人身份证明.docx</w:t>
      </w:r>
    </w:p>
    <w:p>
      <w:pPr>
        <w:pStyle w:val="null3"/>
        <w:ind w:firstLine="960"/>
      </w:pPr>
      <w:r>
        <w:rPr>
          <w:rFonts w:ascii="仿宋_GB2312" w:hAnsi="仿宋_GB2312" w:cs="仿宋_GB2312" w:eastAsia="仿宋_GB2312"/>
        </w:rPr>
        <w:t>详见附件：供应商无重大违法记录的书面声明格式.docx</w:t>
      </w:r>
    </w:p>
    <w:p>
      <w:pPr>
        <w:pStyle w:val="null3"/>
        <w:ind w:firstLine="960"/>
      </w:pPr>
      <w:r>
        <w:rPr>
          <w:rFonts w:ascii="仿宋_GB2312" w:hAnsi="仿宋_GB2312" w:cs="仿宋_GB2312" w:eastAsia="仿宋_GB2312"/>
        </w:rPr>
        <w:t>详见附件：陕西省政府采购供应商拒接政府采购领域商业贿赂承诺书.docx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详见附件：法定代表人身份证明.docx</w:t>
      </w:r>
    </w:p>
    <w:p>
      <w:pPr>
        <w:pStyle w:val="null3"/>
        <w:ind w:firstLine="960"/>
      </w:pPr>
      <w:r>
        <w:rPr>
          <w:rFonts w:ascii="仿宋_GB2312" w:hAnsi="仿宋_GB2312" w:cs="仿宋_GB2312" w:eastAsia="仿宋_GB2312"/>
        </w:rPr>
        <w:t>详见附件：供应商无重大违法记录的书面声明格式.docx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详见附件：陕西省政府采购供应商拒接政府采购领域商业贿赂承诺书.docx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详见附件：供应商无重大违法记录的书面声明格式.docx</w:t>
      </w:r>
    </w:p>
    <w:p>
      <w:pPr>
        <w:pStyle w:val="null3"/>
        <w:ind w:firstLine="960"/>
      </w:pPr>
      <w:r>
        <w:rPr>
          <w:rFonts w:ascii="仿宋_GB2312" w:hAnsi="仿宋_GB2312" w:cs="仿宋_GB2312" w:eastAsia="仿宋_GB2312"/>
        </w:rPr>
        <w:t>详见附件：陕西省政府采购供应商拒接政府采购领域商业贿赂承诺书.docx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