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版本号：HXCG-2026-HZ-05-0520260519001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佛坪县中学新建教学楼、逸夫楼改造及配套设施设计服务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HXCG-2026-HZ-05-05</w:t>
      </w:r>
      <w:r>
        <w:br/>
      </w:r>
      <w:r>
        <w:br/>
      </w:r>
      <w:r>
        <w:br/>
      </w:r>
    </w:p>
    <w:p>
      <w:pPr>
        <w:pStyle w:val="null3"/>
        <w:jc w:val="center"/>
        <w:outlineLvl w:val="2"/>
      </w:pPr>
      <w:r>
        <w:rPr>
          <w:rFonts w:ascii="仿宋_GB2312" w:hAnsi="仿宋_GB2312" w:cs="仿宋_GB2312" w:eastAsia="仿宋_GB2312"/>
          <w:sz w:val="28"/>
          <w:b/>
        </w:rPr>
        <w:t>佛坪县中学（佛坪县职业中学）</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佛坪县中学（佛坪县职业中学）</w:t>
      </w:r>
      <w:r>
        <w:rPr>
          <w:rFonts w:ascii="仿宋_GB2312" w:hAnsi="仿宋_GB2312" w:cs="仿宋_GB2312" w:eastAsia="仿宋_GB2312"/>
        </w:rPr>
        <w:t>委托，拟对</w:t>
      </w:r>
      <w:r>
        <w:rPr>
          <w:rFonts w:ascii="仿宋_GB2312" w:hAnsi="仿宋_GB2312" w:cs="仿宋_GB2312" w:eastAsia="仿宋_GB2312"/>
        </w:rPr>
        <w:t>佛坪县中学新建教学楼、逸夫楼改造及配套设施设计服务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HXCG-2026-HZ-05-05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佛坪县中学新建教学楼、逸夫楼改造及配套设施设计服务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包含新建与提升改造两大核心工程，核心目标为优化校园教学设施、提升建筑安全性与协调性，完善教学配套功能，为师生营造优质、安全、现代化的教学办公环境，为教育教学工作的有序开展提供坚实支撑。 一、新建工程：建筑面积约4629.8m²，局部地下室4.5m，层高一层3.8m、二至五层3.6m、六层5.4m（多功能报告厅）；建筑高度25.25m，防火高度23.95m，建筑等级、耐火等级均为二级。 二、改建工程（逸夫楼提升改造）改造建筑面积约1401m²，主要技术经济指标如下：层数5层，层高一层3.9m、二至五层3.6m；建筑高度20.1m，防火高度18.8m；屋面防水等级Ⅰ级； 三、室外配套工程：包含新建工程的场地总平布局、道路及硬化工程、给排水管网（含雨污分流）、供电及照明系统、消防通道优化、无障碍设施、室外附属构筑物等； 四、直饮水工程：包含本项目建设范围内直饮水系统的方案设计、设备选型优化、管线布置、控制系统等； 本次采购内容为佛坪县中学新建教学楼、逸夫楼改造及配套设施项目设计工作(含初步设计、方案及施工图设计)，应根据国家及相关行业规范、标准，开展设计工作。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采购包1（佛坪县中学新建教学楼、逸夫楼改造及配套设施设计服务）：属于专门面向中小企业采购。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证明书及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须具备建设行政主管部门颁发的工程设计综合资质甲级资质或建筑行业工程设计乙级及以上资质或建筑行业（建筑工程）乙级及以上资质，供应商资质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4、供应商拟派项目设计负责人要求：拟派设计项目负责人须具备须具备国家二级注册建筑师及以上执业资格，设计项目负责人信息应在“陕西省住房和城乡建设厅网（http://js.shaanxi.gov.cn/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6、其他要求：本项目不接受联合体磋商（提供非联合体声明）。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佛坪县中学（佛坪县职业中学）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佛坪县袁家庄街道办黄家湾村85号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佛坪县中学（佛坪县职业中学）经办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18391667661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采购包1：657,400.00元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开户名称：横信项目管理有限公司汉中分公司</w:t>
            </w:r>
          </w:p>
          <w:p>
            <w:pPr>
              <w:pStyle w:val="null3"/>
            </w:pPr>
            <w:r>
              <w:rPr>
                <w:rFonts w:ascii="仿宋_GB2312" w:hAnsi="仿宋_GB2312" w:cs="仿宋_GB2312" w:eastAsia="仿宋_GB2312"/>
              </w:rPr>
              <w:t>开户银行：中国农业银行股份有限公司汉中东一环路支行</w:t>
            </w:r>
          </w:p>
          <w:p>
            <w:pPr>
              <w:pStyle w:val="null3"/>
            </w:pPr>
            <w:r>
              <w:rPr>
                <w:rFonts w:ascii="仿宋_GB2312" w:hAnsi="仿宋_GB2312" w:cs="仿宋_GB2312" w:eastAsia="仿宋_GB2312"/>
              </w:rPr>
              <w:t>银行账号：26650401040002274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佛坪县中学（佛坪县职业中学）</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佛坪县中学（佛坪县职业中学）</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佛坪县中学（佛坪县职业中学）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1.技术验收：设计成果符合国家规范及合同要求，文件完整准确、深度达标，完成全部技术服务，相关资料齐全可归档。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联系人：陈越</w:t>
      </w:r>
    </w:p>
    <w:p>
      <w:pPr>
        <w:pStyle w:val="null3"/>
      </w:pPr>
      <w:r>
        <w:rPr>
          <w:rFonts w:ascii="仿宋_GB2312" w:hAnsi="仿宋_GB2312" w:cs="仿宋_GB2312" w:eastAsia="仿宋_GB2312"/>
        </w:rPr>
        <w:t>联系电话：18391667661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一、项目概况 本次项目包含新建与提升改造两大核心工程，核心目标为优化校园教学设施、提升建筑安全性与协调性，完善教学配套功能，为师生营造优质、安全、现代化的教学办公环境，为教育教学工作的有序开展提供坚实支撑。 一、新建工程：建筑面积约4629.8m²，局部地下室4.5m，层高一层3.8m、二至五层3.6m、六层5.4m（多功能报告厅）；建筑高度25.25m，防火高度23.95m，建筑等级、耐火等级均为二级。 二、改建工程（逸夫楼提升改造）改造建筑面积约1401m²，主要技术经济指标如下：层数5层，层高一层3.9m、二至五层3.6m；建筑高度20.1m，防火高度18.8m；屋面防水等级Ⅰ级； 三、室外配套工程：包含新建工程的场地总平布局、道路及硬化工程、给排水管网（含雨污分流）、供电及照明系统、消防通道优化、无障碍设施、室外附属构筑物等； 四、直饮水工程：包含本项目建设范围内直饮水系统的方案设计、设备选型优化、管线布置、控制系统等； 本次采购内容为佛坪县中学新建教学楼、逸夫楼改造及配套设施项目设计工作(含初步设计、方案及施工图设计)，应根据国家及相关行业规范、标准，开展设计工作。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657,400.00</w:t>
      </w:r>
    </w:p>
    <w:p>
      <w:pPr>
        <w:pStyle w:val="null3"/>
      </w:pPr>
      <w:r>
        <w:rPr>
          <w:rFonts w:ascii="仿宋_GB2312" w:hAnsi="仿宋_GB2312" w:cs="仿宋_GB2312" w:eastAsia="仿宋_GB2312"/>
        </w:rPr>
        <w:t>采购包最高限价（元）: 657,400.00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新建教学楼及逸夫楼改造配套设施工程设计服务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657,400.00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标的名称：新建教学楼及逸夫楼改造配套设施工程设计服务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佛坪县中学新建教学楼、逸夫楼改造及配套设施</w:t>
            </w:r>
            <w:r>
              <w:rPr>
                <w:rFonts w:ascii="仿宋_GB2312" w:hAnsi="仿宋_GB2312" w:cs="仿宋_GB2312" w:eastAsia="仿宋_GB2312"/>
                <w:sz w:val="28"/>
                <w:b/>
              </w:rPr>
              <w:t>建设项目</w:t>
            </w:r>
            <w:r>
              <w:rPr>
                <w:rFonts w:ascii="仿宋_GB2312" w:hAnsi="仿宋_GB2312" w:cs="仿宋_GB2312" w:eastAsia="仿宋_GB2312"/>
                <w:sz w:val="28"/>
                <w:b/>
              </w:rPr>
              <w:t>设计</w:t>
            </w:r>
          </w:p>
          <w:p>
            <w:pPr>
              <w:pStyle w:val="null3"/>
              <w:jc w:val="center"/>
            </w:pPr>
            <w:r>
              <w:rPr>
                <w:rFonts w:ascii="仿宋_GB2312" w:hAnsi="仿宋_GB2312" w:cs="仿宋_GB2312" w:eastAsia="仿宋_GB2312"/>
                <w:sz w:val="28"/>
                <w:b/>
              </w:rPr>
              <w:t>服务</w:t>
            </w:r>
            <w:r>
              <w:rPr>
                <w:rFonts w:ascii="仿宋_GB2312" w:hAnsi="仿宋_GB2312" w:cs="仿宋_GB2312" w:eastAsia="仿宋_GB2312"/>
                <w:sz w:val="28"/>
                <w:b/>
              </w:rPr>
              <w:t>要求</w:t>
            </w:r>
          </w:p>
          <w:p>
            <w:pPr>
              <w:pStyle w:val="null3"/>
              <w:ind w:firstLine="482"/>
              <w:jc w:val="both"/>
            </w:pPr>
            <w:r>
              <w:rPr>
                <w:rFonts w:ascii="仿宋_GB2312" w:hAnsi="仿宋_GB2312" w:cs="仿宋_GB2312" w:eastAsia="仿宋_GB2312"/>
                <w:sz w:val="21"/>
                <w:b/>
              </w:rPr>
              <w:t xml:space="preserve"> </w:t>
            </w: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本次项目包含</w:t>
            </w:r>
            <w:r>
              <w:rPr>
                <w:rFonts w:ascii="仿宋_GB2312" w:hAnsi="仿宋_GB2312" w:cs="仿宋_GB2312" w:eastAsia="仿宋_GB2312"/>
                <w:sz w:val="24"/>
              </w:rPr>
              <w:t>新建</w:t>
            </w:r>
            <w:r>
              <w:rPr>
                <w:rFonts w:ascii="仿宋_GB2312" w:hAnsi="仿宋_GB2312" w:cs="仿宋_GB2312" w:eastAsia="仿宋_GB2312"/>
                <w:sz w:val="24"/>
              </w:rPr>
              <w:t>与提升改造两大核心工程，核心目标为优化校园教学设施、提升建筑安全性与协调性，完善教学配套功能，为师生营造优质、安全、现代化的教学办公环境，为教育教学工作的有序开展提供坚实支撑。</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一、新建工程：建筑面积约</w:t>
            </w:r>
            <w:r>
              <w:rPr>
                <w:rFonts w:ascii="仿宋_GB2312" w:hAnsi="仿宋_GB2312" w:cs="仿宋_GB2312" w:eastAsia="仿宋_GB2312"/>
                <w:sz w:val="24"/>
              </w:rPr>
              <w:t>4629.8m²，局部地下室4.5m，层高一层3.8m、二至五层3.6m、六层5.4m（多功能报告厅）；建筑高度25.25m，防火高度23.95m，建筑等级、耐火等级均为二级。</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二、</w:t>
            </w:r>
            <w:r>
              <w:rPr>
                <w:rFonts w:ascii="仿宋_GB2312" w:hAnsi="仿宋_GB2312" w:cs="仿宋_GB2312" w:eastAsia="仿宋_GB2312"/>
                <w:sz w:val="24"/>
              </w:rPr>
              <w:t>改建工程（</w:t>
            </w:r>
            <w:r>
              <w:rPr>
                <w:rFonts w:ascii="仿宋_GB2312" w:hAnsi="仿宋_GB2312" w:cs="仿宋_GB2312" w:eastAsia="仿宋_GB2312"/>
                <w:sz w:val="24"/>
              </w:rPr>
              <w:t>逸夫楼提升改造</w:t>
            </w:r>
            <w:r>
              <w:rPr>
                <w:rFonts w:ascii="仿宋_GB2312" w:hAnsi="仿宋_GB2312" w:cs="仿宋_GB2312" w:eastAsia="仿宋_GB2312"/>
                <w:sz w:val="24"/>
              </w:rPr>
              <w:t>）</w:t>
            </w:r>
            <w:r>
              <w:rPr>
                <w:rFonts w:ascii="仿宋_GB2312" w:hAnsi="仿宋_GB2312" w:cs="仿宋_GB2312" w:eastAsia="仿宋_GB2312"/>
                <w:sz w:val="24"/>
              </w:rPr>
              <w:t>改造建筑面积约</w:t>
            </w:r>
            <w:r>
              <w:rPr>
                <w:rFonts w:ascii="仿宋_GB2312" w:hAnsi="仿宋_GB2312" w:cs="仿宋_GB2312" w:eastAsia="仿宋_GB2312"/>
                <w:sz w:val="24"/>
              </w:rPr>
              <w:t>1401m²，主要技术经济指标如下：层数5层，层高一层3.9m、二至五层3.6m；建筑高度20.1m，防火高度18.8m；屋面防水等级Ⅰ级</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三、</w:t>
            </w:r>
            <w:r>
              <w:rPr>
                <w:rFonts w:ascii="仿宋_GB2312" w:hAnsi="仿宋_GB2312" w:cs="仿宋_GB2312" w:eastAsia="仿宋_GB2312"/>
                <w:sz w:val="24"/>
              </w:rPr>
              <w:t>室外配套工程</w:t>
            </w:r>
            <w:r>
              <w:rPr>
                <w:rFonts w:ascii="仿宋_GB2312" w:hAnsi="仿宋_GB2312" w:cs="仿宋_GB2312" w:eastAsia="仿宋_GB2312"/>
                <w:sz w:val="24"/>
              </w:rPr>
              <w:t>：包含新建工程的场地总平布局、道路及硬化工程、给排水管网（含雨污分流）、供电及照明系统、消防通道优化、无障碍设施、室外附属构筑物等；</w:t>
            </w:r>
          </w:p>
          <w:p>
            <w:pPr>
              <w:pStyle w:val="null3"/>
              <w:ind w:firstLine="720"/>
              <w:jc w:val="both"/>
            </w:pPr>
            <w:r>
              <w:rPr>
                <w:rFonts w:ascii="仿宋_GB2312" w:hAnsi="仿宋_GB2312" w:cs="仿宋_GB2312" w:eastAsia="仿宋_GB2312"/>
                <w:sz w:val="24"/>
              </w:rPr>
              <w:t>四、</w:t>
            </w:r>
            <w:r>
              <w:rPr>
                <w:rFonts w:ascii="仿宋_GB2312" w:hAnsi="仿宋_GB2312" w:cs="仿宋_GB2312" w:eastAsia="仿宋_GB2312"/>
                <w:sz w:val="24"/>
              </w:rPr>
              <w:t>直饮水工程</w:t>
            </w:r>
            <w:r>
              <w:rPr>
                <w:rFonts w:ascii="仿宋_GB2312" w:hAnsi="仿宋_GB2312" w:cs="仿宋_GB2312" w:eastAsia="仿宋_GB2312"/>
                <w:sz w:val="24"/>
              </w:rPr>
              <w:t>：</w:t>
            </w:r>
            <w:r>
              <w:rPr>
                <w:rFonts w:ascii="仿宋_GB2312" w:hAnsi="仿宋_GB2312" w:cs="仿宋_GB2312" w:eastAsia="仿宋_GB2312"/>
                <w:sz w:val="24"/>
              </w:rPr>
              <w:t>包含本项目</w:t>
            </w:r>
            <w:r>
              <w:rPr>
                <w:rFonts w:ascii="仿宋_GB2312" w:hAnsi="仿宋_GB2312" w:cs="仿宋_GB2312" w:eastAsia="仿宋_GB2312"/>
                <w:sz w:val="24"/>
              </w:rPr>
              <w:t>建设范围内</w:t>
            </w:r>
            <w:r>
              <w:rPr>
                <w:rFonts w:ascii="仿宋_GB2312" w:hAnsi="仿宋_GB2312" w:cs="仿宋_GB2312" w:eastAsia="仿宋_GB2312"/>
                <w:sz w:val="24"/>
              </w:rPr>
              <w:t>直饮水系统的方案设计、设备选型优化、管线布置、控制系统</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本次采购内容为佛坪县中学新建教学楼、逸夫楼改造及配套设施项目设计工作</w:t>
            </w:r>
            <w:r>
              <w:rPr>
                <w:rFonts w:ascii="仿宋_GB2312" w:hAnsi="仿宋_GB2312" w:cs="仿宋_GB2312" w:eastAsia="仿宋_GB2312"/>
                <w:sz w:val="24"/>
              </w:rPr>
              <w:t>(含初步设计、方案及施工图设计)，应根据国家及相关行业规范、标准，开展设计工作。</w:t>
            </w:r>
          </w:p>
          <w:p>
            <w:pPr>
              <w:pStyle w:val="null3"/>
              <w:numPr>
                <w:ilvl w:val="0"/>
                <w:numId w:val="1"/>
              </w:numPr>
              <w:jc w:val="both"/>
            </w:pP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、设计总则</w:t>
            </w:r>
          </w:p>
          <w:p>
            <w:pPr>
              <w:pStyle w:val="null3"/>
              <w:ind w:firstLine="480"/>
              <w:jc w:val="both"/>
            </w:pPr>
            <w:r>
              <w:rPr>
                <w:rFonts w:ascii="仿宋_GB2312" w:hAnsi="仿宋_GB2312" w:cs="仿宋_GB2312" w:eastAsia="仿宋_GB2312"/>
                <w:sz w:val="24"/>
              </w:rPr>
              <w:t>严格依据项目立项批复、规划设计条件、《佛坪县中学规划图》及汉中市、陕西省相关规划管理规定进行设计。</w:t>
            </w:r>
          </w:p>
          <w:p>
            <w:pPr>
              <w:pStyle w:val="null3"/>
              <w:ind w:firstLine="480"/>
              <w:jc w:val="both"/>
            </w:pPr>
            <w:r>
              <w:rPr>
                <w:rFonts w:ascii="仿宋_GB2312" w:hAnsi="仿宋_GB2312" w:cs="仿宋_GB2312" w:eastAsia="仿宋_GB2312"/>
                <w:sz w:val="24"/>
              </w:rPr>
              <w:t>遵循国家现行相关规范标准，重点符合《建筑防火通用规范》《民用建筑设计统一标准》《屋面工程技术规范》等核心规范要求。</w:t>
            </w:r>
          </w:p>
          <w:p>
            <w:pPr>
              <w:pStyle w:val="null3"/>
              <w:ind w:firstLine="480"/>
              <w:jc w:val="both"/>
            </w:pPr>
            <w:r>
              <w:rPr>
                <w:rFonts w:ascii="仿宋_GB2312" w:hAnsi="仿宋_GB2312" w:cs="仿宋_GB2312" w:eastAsia="仿宋_GB2312"/>
                <w:sz w:val="24"/>
              </w:rPr>
              <w:t>设计需兼顾实用性、安全性与协调性，贴合校园教学使用需求，确保与校园整体风貌统一。</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、教学楼重建工程设计要求</w:t>
            </w:r>
          </w:p>
          <w:p>
            <w:pPr>
              <w:pStyle w:val="null3"/>
              <w:ind w:firstLine="480"/>
              <w:jc w:val="both"/>
            </w:pPr>
            <w:r>
              <w:rPr>
                <w:rFonts w:ascii="仿宋_GB2312" w:hAnsi="仿宋_GB2312" w:cs="仿宋_GB2312" w:eastAsia="仿宋_GB2312"/>
                <w:sz w:val="24"/>
              </w:rPr>
              <w:t>结构设计：采用框架结构，严格按照抗震设防烈度六度三组（设计基本地震加速度值</w:t>
            </w:r>
            <w:r>
              <w:rPr>
                <w:rFonts w:ascii="仿宋_GB2312" w:hAnsi="仿宋_GB2312" w:cs="仿宋_GB2312" w:eastAsia="仿宋_GB2312"/>
                <w:sz w:val="24"/>
              </w:rPr>
              <w:t>0.05g）设计，建筑等级、耐火等级均为二级。</w:t>
            </w:r>
          </w:p>
          <w:p>
            <w:pPr>
              <w:pStyle w:val="null3"/>
              <w:ind w:firstLine="480"/>
              <w:jc w:val="both"/>
            </w:pPr>
            <w:r>
              <w:rPr>
                <w:rFonts w:ascii="仿宋_GB2312" w:hAnsi="仿宋_GB2312" w:cs="仿宋_GB2312" w:eastAsia="仿宋_GB2312"/>
                <w:sz w:val="24"/>
              </w:rPr>
              <w:t>尺寸设计：严格遵循层数</w:t>
            </w:r>
            <w:r>
              <w:rPr>
                <w:rFonts w:ascii="仿宋_GB2312" w:hAnsi="仿宋_GB2312" w:cs="仿宋_GB2312" w:eastAsia="仿宋_GB2312"/>
                <w:sz w:val="24"/>
              </w:rPr>
              <w:t>6层、建筑面积4629.8㎡、对应层高及建筑高度要求，布局符合教学功能需求。</w:t>
            </w:r>
          </w:p>
          <w:p>
            <w:pPr>
              <w:pStyle w:val="null3"/>
              <w:ind w:firstLine="480"/>
              <w:jc w:val="both"/>
            </w:pPr>
            <w:r>
              <w:rPr>
                <w:rFonts w:ascii="仿宋_GB2312" w:hAnsi="仿宋_GB2312" w:cs="仿宋_GB2312" w:eastAsia="仿宋_GB2312"/>
                <w:sz w:val="24"/>
              </w:rPr>
              <w:t>屋面设计：按</w:t>
            </w:r>
            <w:r>
              <w:rPr>
                <w:rFonts w:ascii="仿宋_GB2312" w:hAnsi="仿宋_GB2312" w:cs="仿宋_GB2312" w:eastAsia="仿宋_GB2312"/>
                <w:sz w:val="24"/>
              </w:rPr>
              <w:t>Ⅰ级三道防水标准设计，确保防水耐用性，无渗漏隐患。</w:t>
            </w:r>
          </w:p>
          <w:p>
            <w:pPr>
              <w:pStyle w:val="null3"/>
              <w:ind w:firstLine="480"/>
              <w:jc w:val="both"/>
            </w:pPr>
            <w:r>
              <w:rPr>
                <w:rFonts w:ascii="仿宋_GB2312" w:hAnsi="仿宋_GB2312" w:cs="仿宋_GB2312" w:eastAsia="仿宋_GB2312"/>
                <w:sz w:val="24"/>
              </w:rPr>
              <w:t>配套设计：给排水、电气、通风系统设计符合规范，适配教学场景使用需求。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、逸夫楼提升改造工程设计要求</w:t>
            </w:r>
          </w:p>
          <w:p>
            <w:pPr>
              <w:pStyle w:val="null3"/>
              <w:ind w:firstLine="480"/>
              <w:jc w:val="both"/>
            </w:pPr>
            <w:r>
              <w:rPr>
                <w:rFonts w:ascii="仿宋_GB2312" w:hAnsi="仿宋_GB2312" w:cs="仿宋_GB2312" w:eastAsia="仿宋_GB2312"/>
                <w:sz w:val="24"/>
              </w:rPr>
              <w:t>外立面设计：外墙采用真石漆，与新建教学楼风格统一，门窗按塑钢窗、成品钢质门（带观察窗）标准设计，兼顾保温、隔音、安全性能。</w:t>
            </w:r>
          </w:p>
          <w:p>
            <w:pPr>
              <w:pStyle w:val="null3"/>
              <w:ind w:firstLine="480"/>
              <w:jc w:val="both"/>
            </w:pPr>
            <w:r>
              <w:rPr>
                <w:rFonts w:ascii="仿宋_GB2312" w:hAnsi="仿宋_GB2312" w:cs="仿宋_GB2312" w:eastAsia="仿宋_GB2312"/>
                <w:sz w:val="24"/>
              </w:rPr>
              <w:t>内部设计：按教学需求优化空间布局，地面、内墙翻新设计贴合使用功能；预留直饮水机、空调电源，增设相关设施点位。</w:t>
            </w:r>
          </w:p>
          <w:p>
            <w:pPr>
              <w:pStyle w:val="null3"/>
              <w:ind w:firstLine="480"/>
              <w:jc w:val="both"/>
            </w:pPr>
            <w:r>
              <w:rPr>
                <w:rFonts w:ascii="仿宋_GB2312" w:hAnsi="仿宋_GB2312" w:cs="仿宋_GB2312" w:eastAsia="仿宋_GB2312"/>
                <w:sz w:val="24"/>
              </w:rPr>
              <w:t>消防设计：按现行消防规范设计，完善消防给水、火灾自动报警、疏散系统，确保达标。</w:t>
            </w:r>
          </w:p>
          <w:p>
            <w:pPr>
              <w:pStyle w:val="null3"/>
              <w:ind w:firstLine="480"/>
              <w:jc w:val="both"/>
            </w:pPr>
            <w:r>
              <w:rPr>
                <w:rFonts w:ascii="仿宋_GB2312" w:hAnsi="仿宋_GB2312" w:cs="仿宋_GB2312" w:eastAsia="仿宋_GB2312"/>
                <w:sz w:val="24"/>
              </w:rPr>
              <w:t>屋面设计：按</w:t>
            </w:r>
            <w:r>
              <w:rPr>
                <w:rFonts w:ascii="仿宋_GB2312" w:hAnsi="仿宋_GB2312" w:cs="仿宋_GB2312" w:eastAsia="仿宋_GB2312"/>
                <w:sz w:val="24"/>
              </w:rPr>
              <w:t>Ⅰ级三道防水标准设计，耐用年限≥20年，符合《屋面工程技术规范》要求。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、通用设计要求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、设计理念先进；</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、设计方案应充分与现场实际情况相符合，方案科学、合理；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、各阶段服务成果应满足国家及地方现行规范规定及采购人要求。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4）、设计需考虑节能、环保、无障碍要求，符合相关通用规范。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5）、材料、设备选型设计需符合质量标准，便于施工及后期维护。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6）、设计文件需完整规范，满足施工、验收相关要求，衔接各专业施工环节。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、适用规范标准</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.1设计过程和成果必须符合国家有关工程建设标准强制性条文和现行的标准、规范、规程、定额、办法、示例以及招标项目所在地关于设计方面的文件、规定。</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.2供应商在设计工作中使用标准、规范以外的技术标准、规范时，应征得采购人的同意。</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.3设计过程中，如果国家或有关部门颁布了新的技术标准或规范，则投标供应商应采用新的标准或规范进行设计。</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.4供应商在设计工作中必须使用中华人民共和国《工程建设标准强制性条文》。</w:t>
            </w:r>
          </w:p>
          <w:p>
            <w:pPr>
              <w:pStyle w:val="null3"/>
              <w:numPr>
                <w:ilvl w:val="0"/>
                <w:numId w:val="1"/>
              </w:numPr>
            </w:pPr>
            <w:r>
              <w:rPr>
                <w:rFonts w:ascii="仿宋_GB2312" w:hAnsi="仿宋_GB2312" w:cs="仿宋_GB2312" w:eastAsia="仿宋_GB2312"/>
                <w:sz w:val="24"/>
                <w:b/>
              </w:rPr>
              <w:t>成果要求</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1、设计服务：供应商必须自行完成本项目所需的设计服务，严禁转包、分包，拟派设计负责人应在服务周期内保持稳定。</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2、总体规划设计方案：设计单位必须清楚了解设计范围及采购方功能定位、进度及造价控制等方面的相关要求；设计单位在概念设计阶段需对设计理念、构思、表现手法特点进行阐述；对空间功能、人流组织、平面布局等提供分析图、效果图；设计单位就概念设计方案提供相应的设计估算。</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3.成果要求：方案设计和初步设计成果通过住建等相关部门审查。</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4.成果提交：按照行业规范提交经采购人及相关部门审查通过的设计成果，提供审定后的相关报告及图纸纸质文件、电子文档。</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5.安全要求：本项目自签订合同之日起至服务完成之日止，供应商将负责该项目实施过程中的人身安全、财产安全等一切安全责任，在项目实施过程中造成的直接或间接损失，均由供应商自行承担；</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6.保密要求：成交供应商对本次服务内容应严格履行保密义务，不得未经采购人允许向第三方提供本项目的所有相关资料；</w:t>
            </w:r>
          </w:p>
          <w:p>
            <w:pPr>
              <w:pStyle w:val="null3"/>
              <w:ind w:firstLine="480"/>
            </w:pPr>
            <w:r>
              <w:rPr>
                <w:rFonts w:ascii="仿宋_GB2312" w:hAnsi="仿宋_GB2312" w:cs="仿宋_GB2312" w:eastAsia="仿宋_GB2312"/>
                <w:sz w:val="24"/>
              </w:rPr>
              <w:t xml:space="preserve"> </w:t>
            </w:r>
            <w:r>
              <w:rPr>
                <w:rFonts w:ascii="仿宋_GB2312" w:hAnsi="仿宋_GB2312" w:cs="仿宋_GB2312" w:eastAsia="仿宋_GB2312"/>
                <w:sz w:val="24"/>
              </w:rPr>
              <w:t>7.后续服务要求：成交供应商需在签订合同后，随时做好与本</w:t>
            </w:r>
            <w:r>
              <w:rPr>
                <w:rFonts w:ascii="仿宋_GB2312" w:hAnsi="仿宋_GB2312" w:cs="仿宋_GB2312" w:eastAsia="仿宋_GB2312"/>
                <w:sz w:val="21"/>
              </w:rPr>
              <w:t>项目后续的承接工作。</w:t>
            </w:r>
          </w:p>
          <w:p>
            <w:pPr>
              <w:pStyle w:val="null3"/>
              <w:ind w:firstLine="422"/>
            </w:pPr>
            <w:r>
              <w:rPr>
                <w:rFonts w:ascii="仿宋_GB2312" w:hAnsi="仿宋_GB2312" w:cs="仿宋_GB2312" w:eastAsia="仿宋_GB2312"/>
                <w:sz w:val="21"/>
                <w:b/>
              </w:rPr>
              <w:t>四、其他要求</w:t>
            </w:r>
          </w:p>
          <w:p>
            <w:pPr>
              <w:pStyle w:val="null3"/>
              <w:ind w:firstLine="480"/>
              <w:jc w:val="left"/>
            </w:pPr>
            <w:r>
              <w:rPr>
                <w:rFonts w:ascii="仿宋_GB2312" w:hAnsi="仿宋_GB2312" w:cs="仿宋_GB2312" w:eastAsia="仿宋_GB2312"/>
                <w:sz w:val="24"/>
              </w:rPr>
              <w:t>1.设计需兼顾施工可行性，便于后期维护，控制工程成本。</w:t>
            </w:r>
          </w:p>
          <w:p>
            <w:pPr>
              <w:pStyle w:val="null3"/>
              <w:ind w:firstLine="480"/>
              <w:jc w:val="left"/>
            </w:pPr>
            <w:r>
              <w:rPr>
                <w:rFonts w:ascii="仿宋_GB2312" w:hAnsi="仿宋_GB2312" w:cs="仿宋_GB2312" w:eastAsia="仿宋_GB2312"/>
                <w:sz w:val="24"/>
              </w:rPr>
              <w:t>2.设计需响应校园整体规划，与周边建筑、环境协调统一。</w:t>
            </w:r>
          </w:p>
          <w:p>
            <w:pPr>
              <w:pStyle w:val="null3"/>
              <w:ind w:firstLine="480"/>
              <w:jc w:val="left"/>
            </w:pPr>
            <w:r>
              <w:rPr>
                <w:rFonts w:ascii="仿宋_GB2312" w:hAnsi="仿宋_GB2312" w:cs="仿宋_GB2312" w:eastAsia="仿宋_GB2312"/>
                <w:sz w:val="24"/>
              </w:rPr>
              <w:t>3.需配合项目各环节对接，及时优化调整设计内容，满足相关部门审核要求。</w:t>
            </w:r>
          </w:p>
          <w:p>
            <w:pPr>
              <w:pStyle w:val="null3"/>
              <w:ind w:firstLine="480"/>
              <w:jc w:val="left"/>
            </w:pPr>
            <w:r>
              <w:rPr>
                <w:rFonts w:ascii="仿宋_GB2312" w:hAnsi="仿宋_GB2312" w:cs="仿宋_GB2312" w:eastAsia="仿宋_GB2312"/>
                <w:sz w:val="24"/>
              </w:rPr>
              <w:t>4、服务期限：45日历天</w:t>
            </w:r>
          </w:p>
          <w:p>
            <w:pPr>
              <w:pStyle w:val="null3"/>
              <w:ind w:firstLine="480"/>
              <w:jc w:val="left"/>
            </w:pPr>
            <w:r>
              <w:rPr>
                <w:rFonts w:ascii="仿宋_GB2312" w:hAnsi="仿宋_GB2312" w:cs="仿宋_GB2312" w:eastAsia="仿宋_GB2312"/>
                <w:sz w:val="24"/>
              </w:rPr>
              <w:t>5、 成交人未按合同要求履行，不符合采购技术要求，成交人必须无条件更换人员或设备，提高技术，完善质量，否则，采购人有权终止合同，并对成交人的违约行为进行追究并依法向成交人进行经济索赔。</w:t>
            </w:r>
          </w:p>
          <w:p>
            <w:pPr>
              <w:pStyle w:val="null3"/>
              <w:ind w:firstLine="422"/>
              <w:jc w:val="left"/>
            </w:pPr>
            <w:r>
              <w:rPr>
                <w:rFonts w:ascii="仿宋_GB2312" w:hAnsi="仿宋_GB2312" w:cs="仿宋_GB2312" w:eastAsia="仿宋_GB2312"/>
                <w:sz w:val="21"/>
                <w:b/>
              </w:rPr>
              <w:t>五、结算方式</w:t>
            </w:r>
          </w:p>
          <w:p>
            <w:pPr>
              <w:pStyle w:val="null3"/>
              <w:ind w:firstLine="480"/>
              <w:jc w:val="left"/>
            </w:pPr>
            <w:r>
              <w:rPr>
                <w:rFonts w:ascii="仿宋_GB2312" w:hAnsi="仿宋_GB2312" w:cs="仿宋_GB2312" w:eastAsia="仿宋_GB2312"/>
                <w:sz w:val="24"/>
              </w:rPr>
              <w:t>设计费最终结算金额计算方式</w:t>
            </w:r>
          </w:p>
          <w:p>
            <w:pPr>
              <w:pStyle w:val="null3"/>
              <w:ind w:firstLine="480"/>
              <w:jc w:val="left"/>
            </w:pPr>
            <w:r>
              <w:rPr>
                <w:rFonts w:ascii="仿宋_GB2312" w:hAnsi="仿宋_GB2312" w:cs="仿宋_GB2312" w:eastAsia="仿宋_GB2312"/>
                <w:sz w:val="24"/>
              </w:rPr>
              <w:t>结合本项目相关约定及行业规范，设计费最终结算金额严格遵循</w:t>
            </w:r>
            <w:r>
              <w:rPr>
                <w:rFonts w:ascii="仿宋_GB2312" w:hAnsi="仿宋_GB2312" w:cs="仿宋_GB2312" w:eastAsia="仿宋_GB2312"/>
                <w:sz w:val="24"/>
              </w:rPr>
              <w:t>“合规、据实、按约”原则计算，具体方式如下：</w:t>
            </w:r>
          </w:p>
          <w:p>
            <w:pPr>
              <w:pStyle w:val="null3"/>
              <w:ind w:firstLine="480"/>
              <w:jc w:val="left"/>
            </w:pPr>
            <w:r>
              <w:rPr>
                <w:rFonts w:ascii="仿宋_GB2312" w:hAnsi="仿宋_GB2312" w:cs="仿宋_GB2312" w:eastAsia="仿宋_GB2312"/>
                <w:sz w:val="24"/>
              </w:rPr>
              <w:t>核心计算公式：最终结算金额</w:t>
            </w:r>
            <w:r>
              <w:rPr>
                <w:rFonts w:ascii="仿宋_GB2312" w:hAnsi="仿宋_GB2312" w:cs="仿宋_GB2312" w:eastAsia="仿宋_GB2312"/>
                <w:sz w:val="24"/>
              </w:rPr>
              <w:t>= 本项目最终审定建安工程费×合同约定设计费率（本项目设计费招标最高限价费率2.6%，对应金额657400.00元，即本次拟定的招标最高限价）。</w:t>
            </w:r>
          </w:p>
          <w:p>
            <w:pPr>
              <w:pStyle w:val="null3"/>
              <w:ind w:firstLine="422"/>
              <w:jc w:val="left"/>
            </w:pPr>
            <w:r>
              <w:rPr>
                <w:rFonts w:ascii="仿宋_GB2312" w:hAnsi="仿宋_GB2312" w:cs="仿宋_GB2312" w:eastAsia="仿宋_GB2312"/>
                <w:sz w:val="21"/>
                <w:b/>
              </w:rPr>
              <w:t>六、报价方式</w:t>
            </w:r>
          </w:p>
          <w:p>
            <w:pPr>
              <w:pStyle w:val="null3"/>
              <w:ind w:firstLine="480"/>
              <w:jc w:val="left"/>
            </w:pPr>
            <w:r>
              <w:rPr>
                <w:rFonts w:ascii="仿宋_GB2312" w:hAnsi="仿宋_GB2312" w:cs="仿宋_GB2312" w:eastAsia="仿宋_GB2312"/>
                <w:sz w:val="24"/>
              </w:rPr>
              <w:t>项目采用总价折算费率的报价方式：供应商以总价形式进行报价，报价总价不得超过本次招标最高限价</w:t>
            </w:r>
            <w:r>
              <w:rPr>
                <w:rFonts w:ascii="仿宋_GB2312" w:hAnsi="仿宋_GB2312" w:cs="仿宋_GB2312" w:eastAsia="仿宋_GB2312"/>
                <w:sz w:val="24"/>
              </w:rPr>
              <w:t>657400.00元（对应费率 2.6%）；供应商需根据投标总价折算计取费率（费率 =投标总价÷对应建安工程费基数×100%，保留两位小数），折算费率即为合同约定的结算计取费率，最终结算金额按“最终审定建安工程费 ×合同约定费率”计算，且不超过投标总价。</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见详细评审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成果须符合国家及行业现行规范、标准及强制性条文，满足合同约定的设计范围与深度，内容完整、数据准确、图纸规范；施工图须通过施工图审查或发包人验收合格；设计人按要求完成设计交底、现场配合、变更及答疑等全部服务，且成果无知识产权瑕疵。</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设计人向发包人提交初步设计文件后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施工图设计文件完成并通过审查后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工程竣工验收后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成交供应商在成交结果公示结束后5个工作日内向代理机构提供纸质版响应文件，响应文件为正本1份，副本1份、电子版 1份(U盘注明单位名称)编辑目录和页码(响应文件内容须与电子交易平台上传文件内容保持一致)。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建设行政主管部门颁发的工程设计综合资质甲级资质或建筑行业工程设计乙级及以上资质或建筑行业（建筑工程）乙级及以上资质，供应商资质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供应商拟派项目设计负责人要求</w:t>
            </w:r>
          </w:p>
        </w:tc>
        <w:tc>
          <w:tcPr>
            <w:tcW w:type="dxa" w:w="3322"/>
          </w:tcPr>
          <w:p>
            <w:pPr>
              <w:pStyle w:val="null3"/>
            </w:pPr>
            <w:r>
              <w:rPr>
                <w:rFonts w:ascii="仿宋_GB2312" w:hAnsi="仿宋_GB2312" w:cs="仿宋_GB2312" w:eastAsia="仿宋_GB2312"/>
              </w:rPr>
              <w:t>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供应商认为有必要补充说明的事项 服务内容及服务邀请应答表 报价表 报价一览表（首次）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 报价一览表（首次）</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报价一览表（首次）</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响应文件封面 中小企业声明函 残疾人福利性单位声明函 报价表 报价一览表（首次）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一、评审内容：供应商提供2022年1月1日至响应文件递交截止日前的建筑工程相关业绩。 二、评审标准：1. 业绩真实有效（若经查实虚假业绩，取消评审资格）；2. 需提供合同复印件或扫描件，且加盖供应商公章，复印件需清晰可辨；3. 时间以合同签订时间为准，超出规定时间段的业绩不计入有效业绩。 三、赋分标准： （1）提供1项有效业绩得2.5分；（2）提供2项及以上有效业绩得5分；（3）未提供业绩、业绩材料无效3得0分。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1.类似业绩</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一、评审内容：拟派项目负责人1名及专业技术人员，专业需覆盖建筑、结构、给排水、暖通、电气 5个专业。 二、评审标准： （1）项目负责人：具备中级及以上工程师职称，职称专业与本项目设计专业相关，需提供职称证书复印件（加盖公章）； （2）专业技术人员：每个专业至少配备1名人员，需具备对应专业国家注册执业资格，提供资格证书复印件。 三、赋分标准： （1）项目负责人：提供有效、相关的中级及以上工程师职称证书，得1分；未提供、证书无效或专业不符的，得0分； （2）专业技术人员：每满足1个专业配备要求（提供对应资格证书）得1分，满分5分；同一人员满足多个专业条件的，仅按1个专业计分，不重复赋分；未配备或人员不合格的，该专业不计分。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2.项目团队配备</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一、评审内容：包括但不限于①项目理解；②设计依据符合规范；③设计内容科学合理；④项目重点、难点分析及应对措施等内容。 二、评审标准： 1、完整性:方案必须全面，对评审内容中的各项要求有详细描述;2、可实施性:切合本项目实际情况，提出步骤清晰、合理的方案;3、针对性:方案能够紧扣项目实际情况，内容科学合理。 三、赋分标准： ①-④项评审内容分别独立计分，每项每完全满足1项评审标准得2分，每项最多满足3项评审标准，最高得6分； 4项内容累计得分，最高得24分。未提供对应内容、内容缺失或未满足任何一项评审标准的，该项得0分；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3.整体服务方案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一、评审内容：①质量保证体系；②质量保障方案；③质量目标及主体责任承诺；④成果文件质量控制措施等，需全面覆盖。 二、评审标准： 1、完整性:方案必须全面，对评审内容中的各项要求有详细描述;2、可实施性:切合本项目实际情况，提出步骤清晰、合理的方案;3、针对性:方案能够紧扣项目实际情况，内容科学合理。 三、赋分标准： ①-④项评审内容分别独立计分，每项每完全满足1项评审标准得1分，每项最多满足3项评审标准，最高得3分； 未提供对应内容、内容缺失或未满足任何一项评审标准的，该项得0分； 4项内容累计得分，最高得12分。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一、评审内容：包含但不限于①总体计划安排；②各专项任务的衔接；③提供成果时间节点等进度计划；④进度保证措施等。 二、评审标准： 1、完整性:方案必须全面，对评审内容中的各项要求有详细描述;2、可实施性:切合本项目实际情况，提出步骤清晰、合理的方案;3、针对性:方案能够紧扣项目实际情况，内容科学合理。 三、赋分标准： ①-④项评审内容分别独立计分，每项每完全满足1项评审标准得1分，每项最多满足3项评审标准，最高得3分； 4项内容累计得分，最高得12分。，未提供对应内容、内容缺失或未满足任何一项评审标准的，该项得0分；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5.进度保证措施</w:t>
            </w:r>
          </w:p>
        </w:tc>
      </w:tr>
      <w:tr>
        <w:tc>
          <w:tcPr>
            <w:tcW w:type="dxa" w:w="831"/>
            <w:vMerge/>
          </w:tcPr>
          <w:p/>
        </w:tc>
        <w:tc>
          <w:tcPr>
            <w:tcW w:type="dxa" w:w="1661"/>
          </w:tcPr>
          <w:p>
            <w:pPr>
              <w:pStyle w:val="null3"/>
            </w:pPr>
            <w:r>
              <w:rPr>
                <w:rFonts w:ascii="仿宋_GB2312" w:hAnsi="仿宋_GB2312" w:cs="仿宋_GB2312" w:eastAsia="仿宋_GB2312"/>
              </w:rPr>
              <w:t>工程造价设计控制措施</w:t>
            </w:r>
          </w:p>
        </w:tc>
        <w:tc>
          <w:tcPr>
            <w:tcW w:type="dxa" w:w="2492"/>
          </w:tcPr>
          <w:p>
            <w:pPr>
              <w:pStyle w:val="null3"/>
            </w:pPr>
            <w:r>
              <w:rPr>
                <w:rFonts w:ascii="仿宋_GB2312" w:hAnsi="仿宋_GB2312" w:cs="仿宋_GB2312" w:eastAsia="仿宋_GB2312"/>
              </w:rPr>
              <w:t>供应商提供工程限额设计控制措施。工程限额设计控制措施详细、可行，程序完善、合理，措施有力，可行性强得10分； 工程限额设计控制较合理，可行性一般得8分； 工程限额设计控制措施基本合理可行得5分； 有工程限额设计控制措施，具有可行性得3分； 工程限额设计控制措施内容空泛，无实质意义得1分；此项未提供者不得分。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6.工程造价设计控制措施</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一、评审内容、针对本项目提供管理制度，包含①内部管理制度②日常工作制度③人员培训制度④岗位职责。 二、评审标准：1、完整性:方案必须全面，对评审内容中的各项要求有详细描述;2、可实施性:切合本项目实际情况，提出步骤清晰、合理的方案;3、针对性:方案能够紧扣项目实际情况，内容科学合理。 三、赋分标准： ①-④项评审内容分别独立计分，每项每完全满足1项评审标准得1分，每项最多满足3项评审标准，最高得3分； 4项内容累计得分，最高得12分。，未提供对应内容、内容缺失或未满足任何一项评审标准的，该项得0分；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7.管理制度</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一、评审内容：针对本项目提供后期配合服务，包含①配合服务工作计划；②内部团队人员之间的配合；③与采购人之间的配合及服务承诺； 二、评审标准： 1、完整性:方案必须全面，对评审内容中的各项要求有详细描述;2、可实施性:切合本项目实际情况，提出步骤清晰、合理的方案;3、针对性:方案能够紧扣项目实际情况，内容科学合理。 三、赋分标准： ①-③项评审内容分别独立计分，每项每完全满足1项评审标准得1分，每项最多满足3项评审标准，最高得3分； 3项内容累计得分，最高得9分，未提供对应内容、内容缺失或未满足任何一项评审标准的，该项得0分；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8.后期服务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报价一览表（最终）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报价一览表（最终）</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详见附件：供应商认为有必要补充说明的事项</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详见附件：报价一览表（首次）</w:t>
      </w:r>
    </w:p>
    <w:p>
      <w:pPr>
        <w:pStyle w:val="null3"/>
        <w:ind w:firstLine="960"/>
      </w:pPr>
      <w:r>
        <w:rPr>
          <w:rFonts w:ascii="仿宋_GB2312" w:hAnsi="仿宋_GB2312" w:cs="仿宋_GB2312" w:eastAsia="仿宋_GB2312"/>
        </w:rPr>
        <w:t>详见附件：1.类似业绩</w:t>
      </w:r>
    </w:p>
    <w:p>
      <w:pPr>
        <w:pStyle w:val="null3"/>
        <w:ind w:firstLine="960"/>
      </w:pPr>
      <w:r>
        <w:rPr>
          <w:rFonts w:ascii="仿宋_GB2312" w:hAnsi="仿宋_GB2312" w:cs="仿宋_GB2312" w:eastAsia="仿宋_GB2312"/>
        </w:rPr>
        <w:t>详见附件：2.项目团队配备</w:t>
      </w:r>
    </w:p>
    <w:p>
      <w:pPr>
        <w:pStyle w:val="null3"/>
        <w:ind w:firstLine="960"/>
      </w:pPr>
      <w:r>
        <w:rPr>
          <w:rFonts w:ascii="仿宋_GB2312" w:hAnsi="仿宋_GB2312" w:cs="仿宋_GB2312" w:eastAsia="仿宋_GB2312"/>
        </w:rPr>
        <w:t>详见附件：3.整体服务方案</w:t>
      </w:r>
    </w:p>
    <w:p>
      <w:pPr>
        <w:pStyle w:val="null3"/>
        <w:ind w:firstLine="960"/>
      </w:pPr>
      <w:r>
        <w:rPr>
          <w:rFonts w:ascii="仿宋_GB2312" w:hAnsi="仿宋_GB2312" w:cs="仿宋_GB2312" w:eastAsia="仿宋_GB2312"/>
        </w:rPr>
        <w:t>详见附件：4.质量保证措施</w:t>
      </w:r>
    </w:p>
    <w:p>
      <w:pPr>
        <w:pStyle w:val="null3"/>
        <w:ind w:firstLine="960"/>
      </w:pPr>
      <w:r>
        <w:rPr>
          <w:rFonts w:ascii="仿宋_GB2312" w:hAnsi="仿宋_GB2312" w:cs="仿宋_GB2312" w:eastAsia="仿宋_GB2312"/>
        </w:rPr>
        <w:t>详见附件：5.进度保证措施</w:t>
      </w:r>
    </w:p>
    <w:p>
      <w:pPr>
        <w:pStyle w:val="null3"/>
        <w:ind w:firstLine="960"/>
      </w:pPr>
      <w:r>
        <w:rPr>
          <w:rFonts w:ascii="仿宋_GB2312" w:hAnsi="仿宋_GB2312" w:cs="仿宋_GB2312" w:eastAsia="仿宋_GB2312"/>
        </w:rPr>
        <w:t>详见附件：6.工程造价设计控制措施</w:t>
      </w:r>
    </w:p>
    <w:p>
      <w:pPr>
        <w:pStyle w:val="null3"/>
        <w:ind w:firstLine="960"/>
      </w:pPr>
      <w:r>
        <w:rPr>
          <w:rFonts w:ascii="仿宋_GB2312" w:hAnsi="仿宋_GB2312" w:cs="仿宋_GB2312" w:eastAsia="仿宋_GB2312"/>
        </w:rPr>
        <w:t>详见附件：7.管理制度</w:t>
      </w:r>
    </w:p>
    <w:p>
      <w:pPr>
        <w:pStyle w:val="null3"/>
        <w:ind w:firstLine="960"/>
      </w:pPr>
      <w:r>
        <w:rPr>
          <w:rFonts w:ascii="仿宋_GB2312" w:hAnsi="仿宋_GB2312" w:cs="仿宋_GB2312" w:eastAsia="仿宋_GB2312"/>
        </w:rPr>
        <w:t>详见附件：8.后期服务</w:t>
      </w:r>
    </w:p>
    <w:p>
      <w:pPr>
        <w:pStyle w:val="null3"/>
        <w:ind w:firstLine="960"/>
      </w:pPr>
      <w:r>
        <w:rPr>
          <w:rFonts w:ascii="仿宋_GB2312" w:hAnsi="仿宋_GB2312" w:cs="仿宋_GB2312" w:eastAsia="仿宋_GB2312"/>
        </w:rPr>
        <w:t>详见附件：报价一览表（最终）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