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版本号：ZDJ125∕054ZSA（⼆次）20260807001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心脏康复心肺测试系统采购项目（二次）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ZDJ125∕054ZSA（⼆次）</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心脏康复心肺测试系统采购项目（二次）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ZDJ125∕054ZSA（⼆次）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心脏康复心肺测试系统采购项目（二次）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陕西中医药大学第二附属医院心脏康复运动心肺测试系统采购（包括心肺数据管理系统、负荷运动训练系统、抗阻训练系统），具体内容以招标文件要求为准。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为代理商的需提供《医疗器械经营备案凭证或备案编号》或《医疗器械经营许可证》和生产厂商的《医疗器械⽣产许可证》及投标产品的《医疗器械注册证》复印件；供应商为生产厂商的需提供《医疗器械⽣产许可证》及投标产品《医疗器械注册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卓腾、王亚妮、杨东华、王树森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代理服务费收费标准：依据《招标代理服务收费管理暂行办法》（计价格[2002]1980号）规定标准下浮50%收取，由中标单位在领取成交通知书前一次性支付代理服务费。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地址：陕西省西安市雁塔区南二环东段22号凯森盛世1号A座27层经营一部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陕西中医药大学第二附属医院心脏康复运动心肺测试系统采购（包括心肺数据管理系统、负荷运动训练系统、抗阻训练系统），具体内容以招标文件要求为准。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1,328,400.00</w:t>
      </w:r>
    </w:p>
    <w:p>
      <w:pPr>
        <w:pStyle w:val="null3"/>
      </w:pPr>
      <w:r>
        <w:rPr>
          <w:rFonts w:ascii="仿宋_GB2312" w:hAnsi="仿宋_GB2312" w:cs="仿宋_GB2312" w:eastAsia="仿宋_GB2312"/>
        </w:rPr>
        <w:t>采购包最高限价（元）: 1,328,400.00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运动心肺测试系统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心肺数据管理系统负荷运动训练测试系统抗阻训练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标的名称：运动心肺测试系统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235"/>
              <w:gridCol w:w="1804"/>
              <w:gridCol w:w="279"/>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运动心肺测试系统</w:t>
                  </w:r>
                  <w:r>
                    <w:rPr>
                      <w:rFonts w:ascii="仿宋_GB2312" w:hAnsi="仿宋_GB2312" w:cs="仿宋_GB2312" w:eastAsia="仿宋_GB2312"/>
                      <w:sz w:val="19"/>
                    </w:rPr>
                    <w:t>（</w:t>
                  </w:r>
                  <w:r>
                    <w:rPr>
                      <w:rFonts w:ascii="仿宋_GB2312" w:hAnsi="仿宋_GB2312" w:cs="仿宋_GB2312" w:eastAsia="仿宋_GB2312"/>
                      <w:sz w:val="19"/>
                    </w:rPr>
                    <w:t>二类医疗器械</w:t>
                  </w:r>
                  <w:r>
                    <w:rPr>
                      <w:rFonts w:ascii="仿宋_GB2312" w:hAnsi="仿宋_GB2312" w:cs="仿宋_GB2312" w:eastAsia="仿宋_GB2312"/>
                      <w:sz w:val="19"/>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3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1、硬件要求</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运动心电设备</w:t>
                  </w:r>
                  <w:r>
                    <w:rPr>
                      <w:rFonts w:ascii="仿宋_GB2312" w:hAnsi="仿宋_GB2312" w:cs="仿宋_GB2312" w:eastAsia="仿宋_GB2312"/>
                      <w:sz w:val="20"/>
                    </w:rPr>
                    <w:t>1套，运动肺功能主机1台，血氧饱和监护仪1套，负荷运动血压仪1套，彩色激光打印机1台，运动踏车1套。</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2、设备参数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2.1主机系统：中英文操作系统，中文报告输出。</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2.2采样率：≥10000Hz。</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2.3时间常数：≥3.5s。</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2.4共模抑制比：≥90DB。</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2.5频率：0.05-150Hz，ST段等低频信号不失真，测量准确。</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2.6St段分析：自动分析12导St段波形，实现st段对比与St斜率分析， 并且提供趋势图。</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2.7具有实时十二导运动前静止心电图自动分析诊断功能。</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2.8具有25Hz低通滤波和40Hz高通滤波功能。</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2.9心肺同步分析，心电界面可实时显示肺功能代谢指标。</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3、运动肺功能测试参数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3.1流量测量范围：0-15L/s。</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3.2气体采样: 一口气法采样。</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3.3二氧化碳分析器：测试范围：0-17%。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3.4通气功能：最大肺活量VCmax、潮气量VT,、呼吸频率BF, 每分通气量MV、深吸气量IC等。</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3.5流量容积环和用力时间肺活量：用力肺活量FVC、一秒量FEV1、峰值呼气流速PEF、25%呼气流量MEF25、MEF50、MEF75、中段呼气流量MEF25-75、一秒率等。</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3.6提供≥4种无氧阈值评估方法，均可按照设置自动评估无氧阈值，并且可以手动进行调整，调整后的内容可保存并形成报告；可评估无氧阈值和自动评估呼吸补偿点。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3.7具备≥10次测试参数进行对比分析功能。</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3.8校正：具有环境压力自动补偿校准功能，自动对流速进行系统零点和增益校正。</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3.9软件功能：自动分析检测结果，可以观察选择最佳测定结果。</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4、运动血压性能参数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4.1运动血压具有独立注册证。</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4.2心肺软件可直接控制运动血压计自动或手动测量。</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4.3测量范围：收缩压：≥50 ~ 250 mmHg，舒张压：≥30 ~ 150 mmHg。</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4.4脉率测量范围：40-210bpm</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5、运动踏车参数</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5.1踏车主机：具有内置控制主机。</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5.2功率调节范围：1-900w。精度≤1W</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5.3屏幕车头旋转180°，方便医生查看患者信息。</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5.4功率车承重≥150kg。</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5.5运动踏车具有注册证或与主机一体化注册</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6、血氧饱和度</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6.1测量范围：≥70-100%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6.2精度：≤2%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7、整机要求</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7.1整机设备提供医疗器械注册证，运动心电图和肺功能模块为同一品牌。</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7.2软件需能控制其他运动附属部件，如运动踏车，运动血压等设备，同时控制肺功能软件实现同步数据的采集。</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35"/>
                  <w:vMerge/>
                  <w:tcBorders>
                    <w:top w:val="none" w:color="000000" w:sz="4"/>
                    <w:left w:val="none" w:color="000000" w:sz="4"/>
                    <w:bottom w:val="single" w:color="000000" w:sz="4"/>
                    <w:right w:val="single" w:color="000000" w:sz="4"/>
                  </w:tcBorders>
                </w:tcP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7.3心电软件软件能够实时的将心率、血压、运动功率的数据传送到肺功能测试系统中，与气体代谢数据实时同步。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标的名称：心肺数据管理系统负荷运动训练测试系统抗阻训练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246"/>
              <w:gridCol w:w="1799"/>
              <w:gridCol w:w="274"/>
            </w:tblGrid>
            <w:tr>
              <w:tc>
                <w:tcPr>
                  <w:tcW w:type="dxa" w:w="255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一、心肺数据管理系统（二类医疗器械）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1、患者基本信息读取及管理</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1.1同步读取已存在的患者数据，也可新建和编辑现有患者信息</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1.2可以按照患者的姓名、性别、年龄段、疾病、诊断关键词、建档时间进行快速检索</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1.3可对当日和本周的患者新增数量进行统计分析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2、运动心肺系统对接及原始数据获取</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2.1能够通过网络连接方式无缝对接运动心肺测试系统，快速准确读取原始数据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2.2使用医院内部局域网时，配备独立服务器</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2.3可直接从心肺软件数据库读取运动心肺测试数据、通气功能测试数据、最大通气功能测试数据，并可对同一患者的三项测试数据进行组合，可根据预设模板形成标准化整合报告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3、报告的合并和编辑</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心电图模块：包含静态心电图、运动心电图以及心电图评估。静态心电图可以显示12导心电波形、结论及详细测量值；运动心电图可以显示CPET全过程的心电波形详细测量值及任意时间点的12导心电波形，也可以快速获取重要时间点的12导心电波形；心电图评估可评定运动负荷试验前、中、后的心电图异常情况，也可对异常心电图的恢复情况和运动负荷试验的整体情况进行评定，系统提供参考选项；静息心电波形、运动心电波形及评估结果等可上传至心肺报告模板中</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 可显示静息肺功能测试数据，包括IVC、IRV、ERV、VT、FVC、FEV1/FVC、FEV1、MEF75-85、MEF75、MEF50等</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 心肺功能智能辅助评估：可自动读取心肺运动试验的运动方式、运动方案、热身时间、测试前血压等基本信息；对心肺运动试验中的重要参数，如无氧阈、运动耐量、氧脉曲线等，提供辅助诊断功能，医生可根据实际情况选择评价结果。评估数据完成后，可根据评估结果智能化生成参考结论，也可对不同疾病的预后及危险分层进行智能辅助评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4.报告模板</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4.1内置多种心肺运动试验报告模板供临床医生选择，医生可以在该模板的基础上进行参数的增减，形成医院及科室自有模板上传。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4.2根据医生需求，选择在心肺报告中添加简易运动处方、Borg评分表、九宫图。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5.医学量表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5.1多种与心脏康复相关的医学量表，至少包含心理学常用量表、戒烟常用量表等。</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5.2根据医生需求进行量表的增补</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46"/>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5.3可在移动端进行量表的填写，并查看测评记录</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6.患者健康档案管理</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可根据卫健委</w:t>
                  </w:r>
                  <w:r>
                    <w:rPr>
                      <w:rFonts w:ascii="仿宋_GB2312" w:hAnsi="仿宋_GB2312" w:cs="仿宋_GB2312" w:eastAsia="仿宋_GB2312"/>
                      <w:sz w:val="20"/>
                    </w:rPr>
                    <w:t>“WS 365-2011城乡居民健康档案基本数据集”标准创建患者的健康档案，同时还可以对已有的健康档案进行修改可详细记录慢病患者病史，作为临床诊断依据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7、心肺数据管理软件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具有医疗器械注册证或软件著作权证书</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4"/>
              <w:gridCol w:w="251"/>
              <w:gridCol w:w="1795"/>
              <w:gridCol w:w="273"/>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二、负荷运动训练系统（二类医疗器械）</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 PC中央工作站</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 配备PC端中央工作站，可同时下发多个训练任务至不同的运动设备，支持多个患者同时进行运动训练，同步实时显示每个患者的数据</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 中央工作站和运动设备之间通过无线网络进行数据通讯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 可以下发并执行多种不同的运动训练方案，根据不同的训练目的和患者情况，可协助医生编辑并实施心率恒定、心率递增、心率脉冲、功率恒定、功率递增、功率脉冲等多种个性化的训练方案</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 每种训练测试方案都能够以图形或趋势图的方式实时显示运动过程中心电波形、心率、血压、血氧的变化</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 可根据患者个体情况预设心率、血氧、收缩压及舒张压报警值，运动训练过程中出现异常值，智能报警提示。</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 运动结束后，可回放全部测量数据</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1.7 具有全面的运动训练数据报告，报告显示热身阶段、运动阶段、恢复阶段和全部运动过程的心率、血压、血氧、持续时间信息，以及运动负荷、代谢当量METS、能量消耗、摄氧量等数据统计，提供运动全过程心率、血氧、运动负荷强度的变化趋势图和血压数据</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1.8系统具有离线功能，PC中央工作站与运动设备不在同一网络环境时，可下发离线任务，训练结束后可回传报告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1.9 支持投屏功能，可同屏显示≥8个患者的训练信息，实时显示心率、血压、血氧生理参数和训练完成情况，监控过程中具备报警提示功能</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 六分钟步行试验</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2.1具有六分钟步行试验模块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2.2默认测试时间为6分钟，也可按照实际需求自定义测试时间，测试开始后自动倒计时，计时完成后自动结束。</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2.3可根据被测者个体情况设置心率、血氧等参数的预设值，测试过程中达到预设值系统会智能提示，以保证被测者的安全，训练记录趋势图和报告中也会显示该时间点的报警提示图标。</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2.4按照6分钟步行试验场地的实际长度设置单圈长度，不影响步行距离计算。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2.5患者移动端可自动记录步行圈数， PC端可同步显示和调整。</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2.6患者移动端可连接心电图、血压、血氧设备，可自动或手动控制血压的测量。</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 立式运动训练功率车</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3.1 功率控制范围：0-999W</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 功率控制精度：≤1W/分钟</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 有效功率转速范围：30-130转/分钟</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 踏车控制采用独立系统，高清显示屏，所有运动过程中的参数都能直接在显示屏上实时显示，如运动负荷、转速、血压、血氧、心率、心电波形等</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 血压计</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4.1具有双管袖带测量</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4.2示波测量法</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4.3测量范围：压力:0mmHg-299mmHg(0kPa-39.9kPa)</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4.4精度：压力:±3mmHg；心率:误差±5%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4.5可测量上臂周长：22cm-32cm</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5.脉搏血氧仪</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5.1血氧饱和度：测量范围：70%-100%，分辨率：≤1％，测量精度：±2%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5.2腕式，智能蓝牙数据传输</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6.心率计</w:t>
                  </w: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6.1 具有注册证</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6.2 心率胸带可调节范围：580-950毫米</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51"/>
                  <w:vMerge/>
                  <w:tcBorders>
                    <w:top w:val="none" w:color="000000" w:sz="4"/>
                    <w:left w:val="none" w:color="000000" w:sz="4"/>
                    <w:bottom w:val="singl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6.3 支持蓝牙4.0/5.0连接</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9"/>
              <w:gridCol w:w="251"/>
              <w:gridCol w:w="1799"/>
              <w:gridCol w:w="274"/>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三、抗阻训练系统（二类医疗器械）</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1.下肢训练器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 该器材用于下肢的内收与外展运动,同时强化主动肌与拮抗肌肌肉链。在保证患者安全的前提下，进行高效的训练；</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1"/>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1.3双向液压阻尼，≥10档阻力调节</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1"/>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1.4承重：≥150KG</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2.肩部训练器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 该器材在垂直面上训练上肢的推拉运动, 同时强化主动肌与拮抗肌肌肉链。在保证患者安全的前提下，进行高效的训练；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1"/>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 双向液压阻尼，≥10档阻力调节</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1"/>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 承重：≥150KG</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3.上肢训练器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 该器材在垂直面上进行上肢的推拉运动,同时强化主动肌与拮抗肌肌肉链。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1"/>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3.3双向液压阻尼，≥10档阻力调节</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1"/>
                  <w:vMerge/>
                  <w:tcBorders>
                    <w:top w:val="none" w:color="000000" w:sz="4"/>
                    <w:left w:val="non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 承重：≥150KG</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合同签订且接采购人通知后 30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进度款，货到安装调试验收合格办理入库后，乙方于 3 个工作日内持全额正式税务发票向甲方提出支付申请，达到付款条件起30个工作日内，支付合同总金额的65.0%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进度款，设备办理入库并正常运行3个月后，乙方提供的商品无故障等各种情况发生，达到付款条件起30个工作日内，支付合同总金额的30.0%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进度款，设备正常运转1年后，乙方就合同约定义务全部履行完毕后，达到付款条件起30个工作日内，支付合同总金额的5.0%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1、乙方必须具有完善的售后服务体系，高水平的技术维修人员和良好的设备备件供应能力。2、乙方同意该产品自安装、调试、验收合格并正常使用之日起免费保修，保质期（保修期）为 3 年，在保修、保质期内出现的任何质量问题，乙方保证在接到甲方维修通知之日起24小时内派专业维修人员赶赴现场（即甲方指定地点）进行维修，并于3日内使设备恢复正常使用。3、保修、保质期内，要确保该产品系统正常运行，开机率不得低于95%，如经过两次维修后仍达不到此标准，乙方应于7日内负责调换部分或整个产品设备，保修、保质期作相应延长，并承担自产品出现故障之日起至产品再次正常运行使用之日期间给甲方造成的所有经济损失。若更换后产品还达不到此标准，视为乙方根本违约，甲方有权单方解除合同，解除合同的通知达到乙方之日视为合同已解除，乙方应无条件退货，并承担给甲方造成的所有经济损失。4、保修、保质期内，维修费用、乙方维修人员的差旅费及其他相关费用均由乙方承担。5、保修、保质期满后，乙方负责终身优质服务，检修更换的产品配置零件按标准报价 8 折的优惠价向甲方提供，免人工费、差旅费及工时费，只收取更换的零配件成本费。6、乙方负责产品机型系统错误改进，在保修、保质期内对该机型的软件免费更换或升级。7、如以后该产品升级换代，乙方愿意以优惠价格向甲方提供。8、如因产品本身的隐蔽瑕疵而出现的质量问题，乙方应全面负责维修调试或更新更换并承担全部费用。9、乙方必须严格依据合同约定及投标文件中的售后服务承诺履行售后服务义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提供核心产品相同品牌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 3.5.3设备使用年限：设备≥8年，软件≥5年，软件在使用年限内提供免费升级服务。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或包含社会保障资金的完税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报告（供应商提供的经审计的财务报告应具有注册会计师行业统一监管平台赋予的验证码，并可通过统一监管平台或手机“扫一扫”等方式进行查验），包括“四表一注”（即《资产负债表》《利润表》《现金流量表》《所有者权益变动表》）及其附注或者提供响应文件递交截止时间6个月内其基本账户开户银行出具的资信证明；供应商成立不到1年的，可提供企业任意时段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代理商的需提供《医疗器械经营备案凭证或备案编号》或《医疗器械经营许可证》和生产厂商的《医疗器械⽣产许可证》及投标产品的《医疗器械注册证》复印件；供应商为生产厂商的需提供《医疗器械⽣产许可证》及投标产品《医疗器械注册证》复印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合同条款偏离表 投标函 中小企业声明函 残疾人福利性单位声明函 技术文件 标的清单 关于符合本国产品标准的声明函 投标文件封面 产品技术参数、商务响应表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投标文件封面 产品技术参数、商务响应表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保修期限满足文件最低要求(合格)，保修期限不满足文件最低要求(不合格)</w:t>
            </w:r>
          </w:p>
        </w:tc>
        <w:tc>
          <w:tcPr>
            <w:tcW w:type="dxa" w:w="1661"/>
          </w:tcPr>
          <w:p>
            <w:pPr>
              <w:pStyle w:val="null3"/>
            </w:pPr>
            <w:r>
              <w:rPr>
                <w:rFonts w:ascii="仿宋_GB2312" w:hAnsi="仿宋_GB2312" w:cs="仿宋_GB2312" w:eastAsia="仿宋_GB2312"/>
              </w:rPr>
              <w:t>投标文件封面 产品技术参数、商务响应表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合同条款偏离表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设备使用年限</w:t>
            </w:r>
          </w:p>
        </w:tc>
        <w:tc>
          <w:tcPr>
            <w:tcW w:type="dxa" w:w="3322"/>
          </w:tcPr>
          <w:p>
            <w:pPr>
              <w:pStyle w:val="null3"/>
            </w:pPr>
            <w:r>
              <w:rPr>
                <w:rFonts w:ascii="仿宋_GB2312" w:hAnsi="仿宋_GB2312" w:cs="仿宋_GB2312" w:eastAsia="仿宋_GB2312"/>
              </w:rPr>
              <w:t>设备≥8年，软件≥5年</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投标文件封面 产品技术参数、商务响应表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技术指标的响应程度</w:t>
            </w:r>
          </w:p>
        </w:tc>
        <w:tc>
          <w:tcPr>
            <w:tcW w:type="dxa" w:w="2492"/>
          </w:tcPr>
          <w:p>
            <w:pPr>
              <w:pStyle w:val="null3"/>
            </w:pPr>
            <w:r>
              <w:rPr>
                <w:rFonts w:ascii="仿宋_GB2312" w:hAnsi="仿宋_GB2312" w:cs="仿宋_GB2312" w:eastAsia="仿宋_GB2312"/>
              </w:rPr>
              <w:t>评标委员会根据投标文件中对技术指标的应答，并结合投标人提供的证明资料（官方网站截图或产品白皮书或说明书或第三方机构检验报告或其他相关证明材料）对技术响应进行综合评价；产品技术参数清楚、明确，满足或优于招标文件要求得34分。 产品参数项共87项。其中，“★”5项，“▲”4项，其他项78项。 “★”项每有一项不满足其投标将被拒绝，“▲”每有一项不满足扣0.7分，其他项每有一项不满足扣0.4分，扣完为止。 注：招标文件第三章标明需提供证明资料的参数项须提供证明资料，未提供证明资料的为不响应招标文件要求，“★”项每有一项不满足其投标将被拒绝，“▲”与其他项每有一项不满足相应项将不计得分。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产品技术参数、商务响应表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一、评审内容：实施方案包含①组织生产、供货运输方案及安装调试方案；②接受采购人对项目实施方案、生产进度、货物质量、货款支付与结算审核等方面监督和管理等。 二、评审标准： （1）完整性：内容全面详尽，对各方面有详细的描述和说明。 （2）合理性：项目切合实际，进度控制合理、思路清晰，科学合理。 （3）针对性：方案编制紧扣项目特点和采购需求，针对性强，整体性高。 三、赋分标准（满分6分） ①组织生产、供货运输方案及安装调试方案：此评审满分3分，每完全满足一项评审标准得1分，针对每条评审标准，如存在不合理的方面扣0.2分，针对每条评审标准，内容与本项目无关或未提供得0分； ②接受采购人对项目实施方案、生产进度、货物质量、货款支付与结算审核等方面监督和管理等：此评审满分3分，每完全满足一项评审标准得1分，针对每条评审标准，如存在不合理的方面扣0.2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一、评审内容：投标产品符合国家相关质量标准，质量管理体系健全，质量保证措施有效可靠，符合招标人要求。 二、评审标准： （1）完整性：内容全面详尽，对各方面有详细的描述和说明。 （2）合理性：项目切合实际，进度控制合理、思路清晰，科学合理。 （3）针对性：方案编制紧扣项目特点和采购需求，针对性强，整体性高。 三、赋分标准（满分4.5分） 此评审满分4.5分，每完全满足一项评审标准得1.5分，针对每条评审标准，如存在不合理的方面扣0.3分，针对每条评审标准，内容与本项目无关或未提供得0分；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产品来源证明资料</w:t>
            </w:r>
          </w:p>
        </w:tc>
        <w:tc>
          <w:tcPr>
            <w:tcW w:type="dxa" w:w="2492"/>
          </w:tcPr>
          <w:p>
            <w:pPr>
              <w:pStyle w:val="null3"/>
            </w:pPr>
            <w:r>
              <w:rPr>
                <w:rFonts w:ascii="仿宋_GB2312" w:hAnsi="仿宋_GB2312" w:cs="仿宋_GB2312" w:eastAsia="仿宋_GB2312"/>
              </w:rPr>
              <w:t>投标人应提供所投产品来源渠道的合法证明资料，包括但不限于产品制造商授权/销售协议、代理协议、生产厂家出具的相应功能证明材料或第三方检测机构出具的检测/检验报告等。 证明资料完整计2.5分，不完整或未提供本项不计得分。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一、评审内容：培训方案包括培训计划及内容、培训人员、培训时间安排、地点等，保证采购人能够安全、正常、熟练的使用投标产品。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此评审满分3分，每完全满足一项评审标准得1分，针对每条评审标准，如存在不合理的方面扣0.2分，针对每条评审标准，内容与本项目无关或未提供得0分。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一、评审内容；根据投标人针对本项目配备专业的售后服务机构及服务团队进行评审，包括送货、安装调试人员、售后服务人员、技术支持人员。 二、赋分标准（满分5分） 投标人提供的人员中①送货②安装调试人员③售后服务人员④技术支持人员类别齐全（每类别至少1人）得4分，不齐全不得分，每增加一名人员得1分，本项最高得5分。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售后服务方案及保障力度</w:t>
            </w:r>
          </w:p>
        </w:tc>
        <w:tc>
          <w:tcPr>
            <w:tcW w:type="dxa" w:w="2492"/>
          </w:tcPr>
          <w:p>
            <w:pPr>
              <w:pStyle w:val="null3"/>
            </w:pPr>
            <w:r>
              <w:rPr>
                <w:rFonts w:ascii="仿宋_GB2312" w:hAnsi="仿宋_GB2312" w:cs="仿宋_GB2312" w:eastAsia="仿宋_GB2312"/>
              </w:rPr>
              <w:t>一、评审内容：售后服务方案及保障力度包括①质保期内的维护保养、相关技术支持方案②产品出现故障响应时间承诺、解决故障时间承诺、补救措施等。 二、评审标准： （1）完整性：内容全面详尽，对各方面有详细的描述和说明。 （2）合理性：项目切合实际，进度控制合理、思路清晰，科学合理。 （3）针对性：方案编制紧扣项目特点和采购需求，针对性强，整体性高。 三、赋分标准（满分6分） ①质保期内的维护保养、相关技术支持方案，此评审满分3分，每完全满足一项评审标准得1分，针对每条评审标准，如存在不合理的方面扣0.2分，针对每条评审标准，内容与本项目无关或未提供得0分； ②产品出现故障响应时间承诺、解决故障时间承诺、补救措施等，此评审满分3分，每完全满足一项评审标准得1分，针对每条评审标准，如存在不合理的方面扣0.2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每提供一份（2023年1月1日至今）核心产品清晰完整的业绩合同复印件得1.5分，最高得9分。 注：时间以合同签订时间为准，完整是指合同文本须完整，金额可不体现，未按照要求提供不得分。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详见附件：产品技术参数、商务响应表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