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BD4D95">
      <w:pPr>
        <w:pStyle w:val="4"/>
        <w:jc w:val="center"/>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采购需求</w:t>
      </w:r>
    </w:p>
    <w:p w14:paraId="73DB8558">
      <w:pPr>
        <w:pStyle w:val="4"/>
        <w:jc w:val="both"/>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一、采购需求及要求</w:t>
      </w:r>
    </w:p>
    <w:p w14:paraId="3B2507B6">
      <w:pPr>
        <w:pStyle w:val="4"/>
        <w:ind w:firstLine="42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1.1需求清单一览表中标★的重要技术条款，</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须提供对应证明材料予以支撑。证明材料包含但不限于：制造商官方网站截图、产品彩页、产品白皮书、第三方检验/测试报告等。证明材料所体现产品型号须与所投产品型号保持一致，若为系列型号，能够明确覆盖所投产品型号的，视为有效</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rPr>
        <w:t>。证明材料应当能够对应响应的技术指标，未提供证明材料或证明材料无法支撑的，或响应内容无法满足采购需求存在负偏离的，均按无效响应处理。</w:t>
      </w:r>
    </w:p>
    <w:p w14:paraId="301C74A3">
      <w:pPr>
        <w:pStyle w:val="4"/>
        <w:ind w:firstLine="42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若提供第三方检验报告、测试报告作为证明材料的，报告应能够对应响应技术指标；涉及硬件类指标的检测报告，应当包含送检样品照片；</w:t>
      </w:r>
      <w:r>
        <w:rPr>
          <w:rFonts w:hint="eastAsia" w:ascii="宋体" w:hAnsi="宋体" w:eastAsia="宋体" w:cs="宋体"/>
          <w:color w:val="auto"/>
          <w:sz w:val="21"/>
          <w:szCs w:val="21"/>
          <w:highlight w:val="none"/>
          <w:lang w:val="en-US" w:eastAsia="zh-CN"/>
        </w:rPr>
        <w:t>涉及</w:t>
      </w:r>
      <w:r>
        <w:rPr>
          <w:rFonts w:hint="eastAsia" w:ascii="宋体" w:hAnsi="宋体" w:eastAsia="宋体" w:cs="宋体"/>
          <w:color w:val="auto"/>
          <w:sz w:val="21"/>
          <w:szCs w:val="21"/>
          <w:highlight w:val="none"/>
        </w:rPr>
        <w:t>软件功能类指标的检测报告，应当包含软件界面截图。</w:t>
      </w:r>
    </w:p>
    <w:p w14:paraId="0FACAFA0">
      <w:pPr>
        <w:pStyle w:val="4"/>
        <w:ind w:firstLine="42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1.2.所附材料应清晰可辨，供应商自行承担资料模糊不清、无法辨认的不利后果。</w:t>
      </w:r>
    </w:p>
    <w:p w14:paraId="7C831D47">
      <w:pPr>
        <w:pStyle w:val="4"/>
        <w:ind w:firstLine="42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1.3以下参数中“支持...；具备...；配备...”等描述，为已具备的功能要求，且后期使用费用包含在响应报价中。</w:t>
      </w:r>
    </w:p>
    <w:p w14:paraId="47FB154A">
      <w:pPr>
        <w:pStyle w:val="4"/>
        <w:ind w:firstLine="42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1.4响应时所提供的第三方资料内容真实、完整、准确；如有相关第三方书面声明、相关检测报告等资料虚假，监管部门有权根据调查情形认定其是否属于提供虚假材料谋取中标（成交），并严肃处理。</w:t>
      </w:r>
    </w:p>
    <w:p w14:paraId="6C16F0C5">
      <w:pPr>
        <w:pStyle w:val="4"/>
        <w:ind w:firstLine="422"/>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1.5产品“三包”要求：货物（产品）属于国家规定的“三包产品”，产品制造商、经销代理商应遵守“三包”的规定，在产品发生质量问题时，及时对所提供产品实行“包退、包换、保修”服务。</w:t>
      </w:r>
    </w:p>
    <w:p w14:paraId="0BF1FED1">
      <w:pPr>
        <w:pStyle w:val="4"/>
        <w:ind w:firstLine="422"/>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安全要求：认真贯彻执行国家及省、市有关安全文明生产的法律法规规章和强制性标准、安全操作规程等，所有设备（产品）应符合国家相关安全标准，所有货物（产品）能够承受频繁使用和可能的不当操作，结构稳定，不易倾倒或损坏；货物（产品）无锐利边角、无毒无害、不易造成意外伤害，部分尺寸可调节的产品应与实际使用场地相匹配；建立健全安装现场安全文明生产保证体系，落实各项具体措施，切实履行安全文明生产责任和义务，保护教职工和学生的身体健康和生命安全，以及社会公众安全，保持安装现场整齐有序。</w:t>
      </w:r>
    </w:p>
    <w:p w14:paraId="57EC7874">
      <w:pPr>
        <w:pStyle w:val="4"/>
        <w:ind w:firstLine="422"/>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1.7质量标准及要求：（1）所有货物（产品）、服务符合国家、省、市（行业）强制性标准及采购人要求的合格标准；</w:t>
      </w:r>
    </w:p>
    <w:p w14:paraId="5BCB0998">
      <w:pPr>
        <w:pStyle w:val="4"/>
        <w:ind w:firstLine="422"/>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货物（产品）制造商、经销代理商应严格遵守《中华人民共和国产品质量法》，确保提供的产品符合质量标准，达到合格产品的要求。可能危及人体健康和人身、财产安全的工业产品，必须符合保障人体健康和人身、财产安全的国家标准、行业标准；未制定国家标准、行业标准的，必须符合保障人体健康和人身、财产安全的要求。</w:t>
      </w:r>
    </w:p>
    <w:p w14:paraId="52CABDB7">
      <w:pPr>
        <w:pStyle w:val="4"/>
        <w:ind w:firstLine="422"/>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货物（产品）、服务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p>
    <w:p w14:paraId="4B5037A6">
      <w:pPr>
        <w:pStyle w:val="4"/>
        <w:ind w:firstLine="42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1.8售后服务要求：</w:t>
      </w:r>
    </w:p>
    <w:p w14:paraId="7E9B4A5E">
      <w:pPr>
        <w:pStyle w:val="4"/>
        <w:ind w:firstLine="42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（1）成交供应商指派专人负责与采购人联系售后服务事宜</w:t>
      </w:r>
    </w:p>
    <w:p w14:paraId="5B547E87">
      <w:pPr>
        <w:pStyle w:val="4"/>
        <w:ind w:firstLine="42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（2）货物故障报修的响应时间为：7x24小时免费上门服务；</w:t>
      </w:r>
    </w:p>
    <w:p w14:paraId="06232537">
      <w:pPr>
        <w:pStyle w:val="4"/>
        <w:ind w:firstLine="42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（3）采购人原有的设备如发生故障，由成交供应商根据商务技术文件备选产品配件报价表中所报备选产品配件的价格进行维修处理，此费用由采购人承担。</w:t>
      </w:r>
    </w:p>
    <w:p w14:paraId="10722037">
      <w:pPr>
        <w:pStyle w:val="4"/>
        <w:ind w:firstLine="42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（4）成交供应商负责对其所提供的设备、材料等备品配件供应，提供质保期外维修，并提供技术咨询等服务，所有维修记录交由采购人的现场技术人员一份，并详细说明问题所在、解决办法及注意事项；</w:t>
      </w:r>
    </w:p>
    <w:p w14:paraId="5DB59473">
      <w:pPr>
        <w:pStyle w:val="4"/>
        <w:ind w:firstLine="42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u w:val="single"/>
        </w:rPr>
        <w:t>质保期内，</w:t>
      </w:r>
      <w:r>
        <w:rPr>
          <w:rFonts w:hint="eastAsia" w:ascii="宋体" w:hAnsi="宋体" w:eastAsia="宋体" w:cs="宋体"/>
          <w:color w:val="auto"/>
          <w:sz w:val="21"/>
          <w:szCs w:val="21"/>
          <w:highlight w:val="none"/>
        </w:rPr>
        <w:t>所有货物服务方式均为成交供应商上门服务，即由成交供应商派人到货物使用现场维修，由此产生的一切费用均由成交供应商承担，对系统进行定期的检修、保养工作，并与用户进行沟通，定期开展技术交流活动，预防故障发生，保证系统的正常运行；</w:t>
      </w:r>
    </w:p>
    <w:p w14:paraId="4E24F2C7">
      <w:pPr>
        <w:pStyle w:val="4"/>
        <w:ind w:firstLine="42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（6）质保期结束后的维修、维护等由双方协商再定。</w:t>
      </w:r>
    </w:p>
    <w:p w14:paraId="1C57FCA2">
      <w:pPr>
        <w:pStyle w:val="4"/>
        <w:jc w:val="both"/>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二、其他要求或说明</w:t>
      </w:r>
    </w:p>
    <w:p w14:paraId="5ADB4ED2">
      <w:pPr>
        <w:pStyle w:val="4"/>
        <w:ind w:right="90" w:firstLine="422"/>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2.1人员配置要求：供应商根据采购项目特性及要求，自行组织实施与管理，建立以负责人为核心的人员团队，相关人员经过严格培训，有相关工作经验，能够胜任项目工作，保证项目顺利实施。</w:t>
      </w:r>
    </w:p>
    <w:p w14:paraId="53BE45A9">
      <w:pPr>
        <w:pStyle w:val="4"/>
        <w:ind w:right="90" w:firstLine="422"/>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2.2设施设备要求：供应商根据采购项目特性及要求，自行配置各类设施设备（不限于专业设备、辅助设备、工具、软件等），保证项目顺利实施。</w:t>
      </w:r>
    </w:p>
    <w:p w14:paraId="2EE1C733">
      <w:pPr>
        <w:pStyle w:val="4"/>
        <w:ind w:firstLine="422"/>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2.3核心产品的名称：</w:t>
      </w:r>
      <w:r>
        <w:rPr>
          <w:rFonts w:hint="eastAsia" w:ascii="宋体" w:hAnsi="宋体" w:eastAsia="宋体" w:cs="宋体"/>
          <w:b/>
          <w:color w:val="auto"/>
          <w:sz w:val="21"/>
          <w:szCs w:val="21"/>
          <w:highlight w:val="none"/>
          <w:u w:val="single"/>
        </w:rPr>
        <w:t xml:space="preserve"> 智慧黑板(评审标准详见采购文件第二章：充分、公平竞争保障措施)。 </w:t>
      </w:r>
    </w:p>
    <w:tbl>
      <w:tblPr>
        <w:tblStyle w:val="2"/>
        <w:tblW w:w="4998"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559"/>
        <w:gridCol w:w="1323"/>
        <w:gridCol w:w="5363"/>
        <w:gridCol w:w="654"/>
        <w:gridCol w:w="614"/>
      </w:tblGrid>
      <w:tr w14:paraId="452E082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28"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E02FAF7">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777"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32CA37B">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设备名称</w:t>
            </w:r>
          </w:p>
        </w:tc>
        <w:tc>
          <w:tcPr>
            <w:tcW w:w="3149"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6399A6F">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技术参数</w:t>
            </w:r>
          </w:p>
        </w:tc>
        <w:tc>
          <w:tcPr>
            <w:tcW w:w="384"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E964AD7">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360"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28D9E80">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w:t>
            </w:r>
          </w:p>
        </w:tc>
      </w:tr>
      <w:tr w14:paraId="0FB31B5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28"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93C0608">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D71B2AC">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智慧黑板</w:t>
            </w:r>
          </w:p>
        </w:tc>
        <w:tc>
          <w:tcPr>
            <w:tcW w:w="314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6CCAE14">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1.设备采用全金属外壳，三拼接平面一体化设计，屏幕边缘采用圆角包边防护，整机背板采用金属材质，整体尺寸：宽≥4200mm，高≥1200mm。</w:t>
            </w:r>
          </w:p>
          <w:p w14:paraId="40C57329">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2.设备采用≥86寸超高清LED液晶显示屏，显示比例16:9，分辨率≥3840×2160。整机中间主屏及两侧副屏支持多种媒介进行板书书写。</w:t>
            </w:r>
          </w:p>
          <w:p w14:paraId="7F551BE2">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3.支持在Windows及Android系统中进行50点或以上触控。</w:t>
            </w:r>
          </w:p>
          <w:p w14:paraId="7CFD9BA0">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★4.设备内置2.2声道扬声器，最大功率≥80W。</w:t>
            </w:r>
          </w:p>
          <w:p w14:paraId="3FB190CD">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5.设备扬声器在100%音量下，可做到1米处声压级≥87db，10米处声压级≥80dB。</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6.设备支持空间感知、标准、听力等音效模式，空间感知音效模式可通过麦克风采集环境声音，生成符合当前环境的音量、音效、频段。</w:t>
            </w:r>
            <w:r>
              <w:rPr>
                <w:rFonts w:hint="eastAsia" w:ascii="宋体" w:hAnsi="宋体" w:eastAsia="宋体" w:cs="宋体"/>
                <w:b/>
                <w:color w:val="auto"/>
                <w:sz w:val="21"/>
                <w:szCs w:val="21"/>
                <w:highlight w:val="none"/>
              </w:rPr>
              <w:t>（提供演示）</w:t>
            </w:r>
          </w:p>
          <w:p w14:paraId="4043059F">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7.设备内置非独立外扩展的8阵列麦克风，拾音角度≥180°，拾音距离≥12m。</w:t>
            </w:r>
          </w:p>
          <w:p w14:paraId="47D816C0">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★8.设备符合国家标准GB 4943.1-2022《音视频、信息技术和通信技术设备》 第1部分：安全要求中的“抗电强度试验”相关规定，“试验电压施加部位”如下：</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（1）电源两极(L/N)与金属外壳（接地之间）；</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（2）电源两极(LN)与显示屏；</w:t>
            </w:r>
          </w:p>
          <w:p w14:paraId="7D532538">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bookmarkStart w:id="0" w:name="_GoBack"/>
            <w:bookmarkEnd w:id="0"/>
            <w:r>
              <w:rPr>
                <w:rFonts w:hint="eastAsia" w:ascii="宋体" w:hAnsi="宋体" w:eastAsia="宋体" w:cs="宋体"/>
                <w:color w:val="auto"/>
                <w:sz w:val="21"/>
                <w:szCs w:val="21"/>
                <w:highlight w:val="none"/>
              </w:rPr>
              <w:t>9.内置语音助手，通过整机麦克风以唤醒词调起语音助手，支持语音交互的方式调节整机音量、亮度，语音操控打开系统已安装应用如：教学白板、浏览器、计算器、画板，语音搜索指定网页内容，支持选择网页中的视频进行播放或暂停。</w:t>
            </w:r>
          </w:p>
          <w:p w14:paraId="2D1E24E2">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★10.内置麦克风声源定位算法，声源定位精度≤5度，可识别回答问题的学生方位。</w:t>
            </w:r>
          </w:p>
          <w:p w14:paraId="5A59547F">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11.设备背光系统支持多级亮度调节，支持白颜色背景下最暗亮度≤100nit。</w:t>
            </w:r>
          </w:p>
          <w:p w14:paraId="36DB1061">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12.可根据屏幕内容自动调节画质参数，自动调整对比度、饱和度、高光、色调色相值等。</w:t>
            </w:r>
          </w:p>
          <w:p w14:paraId="560E5326">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13.设备采用硬件低蓝光背光技术，蓝光占比≤50%，低蓝光保护显示不偏色、不泛黄。</w:t>
            </w:r>
          </w:p>
          <w:p w14:paraId="5EB43A11">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14.支持设置类纸质护眼显示，实现纹理调整。</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★15.内置全视角背光增光膜，整机屏幕中心亮度三分之一的亮度观看视角≥130°，亮度可视角≥120°。</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16.内置非独立摄像头，采用一体化集成设计，≥5000万像素。</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17.摄像头支持人脸识别。</w:t>
            </w:r>
          </w:p>
          <w:p w14:paraId="2B518F94">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18.摄像头支持环境色温判断，根据环境调节合适的显示图像效果。</w:t>
            </w:r>
            <w:r>
              <w:rPr>
                <w:rFonts w:hint="eastAsia" w:ascii="宋体" w:hAnsi="宋体" w:eastAsia="宋体" w:cs="宋体"/>
                <w:b/>
                <w:color w:val="auto"/>
                <w:sz w:val="21"/>
                <w:szCs w:val="21"/>
                <w:highlight w:val="none"/>
              </w:rPr>
              <w:t>（提供演示）</w:t>
            </w:r>
          </w:p>
          <w:p w14:paraId="23A8C8C3">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★19.整机听力模式下具备AI人声语言增强功能，扩声系统语言传输指数（STIPA）≥0.75。</w:t>
            </w:r>
          </w:p>
          <w:p w14:paraId="43FF5798">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设备触摸支持动态压力感应，支持非电子书写笔书写或点压时，屏幕能感应压力变化，书写或点压过程的笔迹呈现粗细变化，自带AI书写美化能力，智能识别批注的书写轨迹，进行笔锋智能美化，模拟纸上书写的起笔、行笔和收笔效果。</w:t>
            </w:r>
          </w:p>
          <w:p w14:paraId="18DCAFDF">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21.设备书写触控延迟≤25ms。</w:t>
            </w:r>
          </w:p>
          <w:p w14:paraId="543ECEFB">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22.设备内置双Wi-Fi 6无线网卡，在Android和Windows系统下，可实现Wi-Fi无线上网连接、AP无线热点发射。</w:t>
            </w:r>
          </w:p>
          <w:p w14:paraId="011CE0D2">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23.具备恢复出厂设置功能。</w:t>
            </w:r>
          </w:p>
          <w:p w14:paraId="5FBDF50A">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24.设备全通道侧边栏可以展示学校名称、班级、场地信息等内容。</w:t>
            </w:r>
          </w:p>
          <w:p w14:paraId="64A07811">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25.教学桌面支持自定义壁纸。</w:t>
            </w:r>
          </w:p>
          <w:p w14:paraId="72691FEE">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★26.设备支持在无任何外部设备的情况下，实时录制用户朗读内容，识别用户声纹并进行统一身份登录，登录后自动获取个人云端教学课件列表，打开教学白板软件时可跳过软件自带登录步骤。</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★27.安卓系统版本不低于Android 15.0，CPU≥4核，存储空间≥32GB。</w:t>
            </w:r>
          </w:p>
          <w:p w14:paraId="40A7A275">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★28.整机CPU芯片，WIFI与蓝牙芯片、摄像头图像处理芯片，均采用国产自主芯片。</w:t>
            </w:r>
          </w:p>
          <w:p w14:paraId="5AC78700">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29.设备内置朗读工具，通过麦克风检测算法监测教室中学生的朗读情况。</w:t>
            </w:r>
          </w:p>
          <w:p w14:paraId="27CB2481">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30.设备内置自习工具，通过麦克风检测算法监测教室中学生音量大小，当学生音量大于一定标准时，自动弹窗提醒。</w:t>
            </w:r>
          </w:p>
          <w:p w14:paraId="76858790">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31.采用模块可抽拉式插入整机，可实现无单独接线的插拔。按压式卡扣，无需工具即可快速拆卸电脑模块。</w:t>
            </w:r>
            <w:r>
              <w:rPr>
                <w:rFonts w:hint="eastAsia" w:ascii="宋体" w:hAnsi="宋体" w:eastAsia="宋体" w:cs="宋体"/>
                <w:b/>
                <w:color w:val="auto"/>
                <w:sz w:val="21"/>
                <w:szCs w:val="21"/>
                <w:highlight w:val="none"/>
              </w:rPr>
              <w:t>（提供演示）</w:t>
            </w:r>
          </w:p>
          <w:p w14:paraId="6A74F14D">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32.处理器≥8核8线程，内存：≥8 GB DDR4，硬盘：≥256 GB SSD固态硬盘。</w:t>
            </w:r>
          </w:p>
          <w:p w14:paraId="694301EF">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33.具备供电保护模块。</w:t>
            </w:r>
          </w:p>
        </w:tc>
        <w:tc>
          <w:tcPr>
            <w:tcW w:w="384"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9736355">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40</w:t>
            </w:r>
          </w:p>
        </w:tc>
        <w:tc>
          <w:tcPr>
            <w:tcW w:w="360"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6BFD760">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r>
      <w:tr w14:paraId="66C62DD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28"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EA1422E">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1C3A062">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白板软件</w:t>
            </w:r>
          </w:p>
        </w:tc>
        <w:tc>
          <w:tcPr>
            <w:tcW w:w="314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7C0B00F">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1.具有备课模式及授课模式，且操作界面根据备课和授课使用场景设计。</w:t>
            </w:r>
          </w:p>
          <w:p w14:paraId="03AC8305">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2.为使用方全体教师配备个人账号，形成一体的信息化教学账号体系；根据教师账号信息将教师云空间匹配至对应学校、学科校本资源库。</w:t>
            </w:r>
          </w:p>
          <w:p w14:paraId="0C76CF1C">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3.支持通过数字账号、微信二维码、硬件密钥方式登录教师个人账号。</w:t>
            </w:r>
          </w:p>
          <w:p w14:paraId="387F5464">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★4.支持为教师提供可扩展至≥10TB的云存储空间，教师可在个人云空间上传存储互动课件、云教案和其他教学资源。</w:t>
            </w:r>
          </w:p>
          <w:p w14:paraId="717B7938">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5.可在备课平台直接编写教案，教案为云端存储，支持文本、图片、视频、公式的插入。可将教案关联至教师课件，支持课件同时关联多份教案，关联后教师可在备课界面调用查看教案，便于教研工作开展。</w:t>
            </w:r>
          </w:p>
          <w:p w14:paraId="7AE4C1B5">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在备课场景中支持搜索课件库课件资源，支持整份课件或按照课件页插入课件中。支持按照教学环节筛选对应课件页一键插入课件中，可导入新课、作者简介。支持按照元素类型思维导图、课堂活动选取需要的部分补充课件缺失的部分。支持在查看部分课件的同时查看对应整份课件，了解作者整体教学思路。</w:t>
            </w:r>
          </w:p>
          <w:p w14:paraId="7FAED8D1">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7.具备集体备课功能，支持上传教案、课件等资源发起集体备课研讨，除本校老师可参与外，通过手机号邀请外校老师，进行跨校教研。</w:t>
            </w:r>
          </w:p>
          <w:p w14:paraId="5726FC23">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8.集体备课的参备人可发表观点，评论实时提醒，对教案可进行批注，完成研讨后，可生成集体备课报告，参备人可查看并下载报告，支持查看研讨过程全数据。</w:t>
            </w:r>
          </w:p>
          <w:p w14:paraId="02AD5403">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视频研讨：支持在线发起多人视频研讨，研讨过程中可邀请校内外老师共同参与，会议主持人可对会议进行参会人员的管理，包括邀请发言/开启禁言，共享屏幕等操作，系统自动录制视频研讨全过程，会议结束后可自动形成视频回放记录。</w:t>
            </w:r>
          </w:p>
          <w:p w14:paraId="5AE8C93C">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10.支持提供在线课堂功能，无需额外安装部署直播软件，可实现语音直播、课件同步、互动工具等远程教学功能。</w:t>
            </w:r>
          </w:p>
          <w:p w14:paraId="5403DAA7">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11.支持将互动课件导出为pptx、pdf、H5或web链接，在多终端（包含windows、iOS、安卓、国产操作系统等）可再次编辑。</w:t>
            </w:r>
          </w:p>
          <w:p w14:paraId="7E653F1B">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12.互动教学课件支持定向精准分享：分享者可将互动课件、课件组精准推送至指定接收方账号云空间，接收方可在云空间接收并打开分享课件。</w:t>
            </w:r>
          </w:p>
          <w:p w14:paraId="2F48F6EF">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13.提供古诗词、古文教学资源：包括但不限于原文、白话翻译、作者介绍、朗诵音频等。支持直接搜索诗词、古文名称或作者名称查找。</w:t>
            </w:r>
          </w:p>
          <w:p w14:paraId="3564D0EB">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14.软件内置英文智能语义分析模块，可对英文文本的拼写、句型、语法等进行错误检查，并可一键纠错。</w:t>
            </w:r>
          </w:p>
          <w:p w14:paraId="09724F0A">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★15.提供化学方程式快速编辑工具。</w:t>
            </w:r>
          </w:p>
          <w:p w14:paraId="7D8051B6">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提供物理线图：支持自由绘制物理线图，提供元件库和模板库≥30个组件，支持自动吸附连接线，画布可无限漫游。绘制后的线图可一键插入到备课课件中并支持二次编辑。老师可将常用的线图保存至个人云盘方便二次调用。</w:t>
            </w:r>
          </w:p>
          <w:p w14:paraId="28F7FA63">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17.支持浏览和插入国际音标表，可直接点击发音，支持整表和单个音标卡片插入。支持将字母、单词、句子转写为音标，并可插入到课件中形成文本。</w:t>
            </w:r>
          </w:p>
          <w:p w14:paraId="638239B3">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16E40BAE">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党建微课视频：提供≥80节党建微课视频，包含革命篇、建设篇、改革篇、复兴篇≥4个篇章。微课内容可在线点播，下载至课件播放。微课视频支持视频关键帧打点标记，播放过程中可一键跳转至标记位置，同时支持一键对视频内容进行截图插入课件。</w:t>
            </w:r>
          </w:p>
        </w:tc>
        <w:tc>
          <w:tcPr>
            <w:tcW w:w="384"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6F1AFD2">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40</w:t>
            </w:r>
          </w:p>
        </w:tc>
        <w:tc>
          <w:tcPr>
            <w:tcW w:w="360"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E1149A5">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r>
      <w:tr w14:paraId="491206E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28"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5E62B85">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77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1801587">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视频展台</w:t>
            </w:r>
          </w:p>
        </w:tc>
        <w:tc>
          <w:tcPr>
            <w:tcW w:w="314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9CA28B2">
            <w:pPr>
              <w:pStyle w:val="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1.采用≥800万像素摄像头；采用 USB五伏电源直接供电，无需额外配置电源适配器，环保无辐射；箱内USB连线采用隐藏式设计，箱内无可见连线且USB口下出，有效防止积尘，且方便布线和返修；</w:t>
            </w:r>
          </w:p>
          <w:p w14:paraId="45709964">
            <w:pPr>
              <w:pStyle w:val="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2.A4大小拍摄幅面，≥1080P动态视频预览达到30帧/秒；托板及挂墙部分采用金属加强，整机壁挂式安装；</w:t>
            </w:r>
          </w:p>
          <w:p w14:paraId="4DCD8619">
            <w:pPr>
              <w:pStyle w:val="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3.支持展台成像画面实时批注，预设多种笔划粗细及颜色供选择，且支持对展台成像画面联同批注内容进行同步缩放、移动；</w:t>
            </w:r>
          </w:p>
          <w:p w14:paraId="5D1CC0EF">
            <w:pPr>
              <w:pStyle w:val="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4.展示托板正上方具备LED补光灯，保证展示区域的亮度及展示效果；</w:t>
            </w:r>
          </w:p>
          <w:p w14:paraId="72BAAE89">
            <w:pPr>
              <w:pStyle w:val="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5.支持对展台画面进行放大、缩小、旋转、自适应、冻结画面等操作。</w:t>
            </w:r>
          </w:p>
          <w:p w14:paraId="5C3A9719">
            <w:pPr>
              <w:pStyle w:val="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6.支持故障自动检测，检测故障原因，并给出解决方案。 </w:t>
            </w:r>
          </w:p>
        </w:tc>
        <w:tc>
          <w:tcPr>
            <w:tcW w:w="384"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0D15EB8">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40</w:t>
            </w:r>
          </w:p>
        </w:tc>
        <w:tc>
          <w:tcPr>
            <w:tcW w:w="360"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B89BDAB">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r>
      <w:tr w14:paraId="76AF06A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28"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7E50D49">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77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50E2DCA">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集控管理平台</w:t>
            </w:r>
          </w:p>
        </w:tc>
        <w:tc>
          <w:tcPr>
            <w:tcW w:w="314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B65876C">
            <w:pPr>
              <w:pStyle w:val="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1.系统布局：系统基于SaaS布局，应用界面采用B/S架构设计，支持学校管理员在多种不同的操作系统上通过网页浏览器登录进行所有管理指令操作。</w:t>
            </w:r>
          </w:p>
          <w:p w14:paraId="6DE2B42E">
            <w:pPr>
              <w:pStyle w:val="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专属工作台：支持老师根据管理习惯设置显隐组件来定制专属工作台。支持通过设备总览组件快捷查看学校所有设备实时状态及达标情况，以掌握设备应用于教学过程的流畅状态；支持通过设备巡视组件实时了解教室和设备的情况，满足纪律监管、教研评课等场景；支持通过设备使用情况组件了解设备活跃分布及长时间未使用的设备情况，设置智能策略来达到减缓设备寿命衰减的目的。</w:t>
            </w:r>
          </w:p>
          <w:p w14:paraId="3ABED662">
            <w:pPr>
              <w:pStyle w:val="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数据中心：支持自定义设备类型及数量，掌握校内设备资产分布情况；支持根据老师、学科、设备三大维度查看设备使用排行，并提供信息化设备利用率提升指南；支持查看本校常用软件、网址访问排行、全校设备画面截图；支持查看设备网络负载、硬件负载情况，并提供网络优化、硬件升级指南。</w:t>
            </w:r>
          </w:p>
          <w:p w14:paraId="75947EB7">
            <w:pPr>
              <w:pStyle w:val="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设备巡视：支持同时最多查看20个教室的实时摄像头画面、设备屏幕画面；支持在一个显示界面同时查看单个教室内所有屏幕、所有摄像头的实时画面，以及所有麦克风的声音，其中摄像头画面可直接使用班班通自带摄像头，也支持批量将学校已有网络摄像头导入系统内，同场地下的班班通设备会主动和网络摄像头建立连接，巡视时可调用网络摄像头查看教室实时画面；支持自定义切换巡视画面的清晰度，支持在标清/高清/超清等清晰度之间进行切换。单台设备巡视时，支持远程发送文本消息、语音消息、记录备注、听课评价；支持回溯所有管理员的巡视记录。</w:t>
            </w:r>
          </w:p>
          <w:p w14:paraId="32B28413">
            <w:pPr>
              <w:pStyle w:val="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支持分析解读教师使用数据，提供信息化素养提升建议；支持根据各学科/设备/老师使用数据分析经验丰富的老师，并提供信息化素养提升建议；支持根据不同类型软件的使用明细分析本校常用软件，并提供软件普及、替换或拦截建议。</w:t>
            </w:r>
          </w:p>
          <w:p w14:paraId="0A51F43A">
            <w:pPr>
              <w:pStyle w:val="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手机看班：支持管理者开启看班服务，开启/关闭看班的管控功能；拥有看班权限的老师可在移动端或PC客户端实时巡班，并进行基础远程管控，方便管理班级。支持管理者为普通老师直接分配、普通老师自行申请后由管理者在平台审核开通的2种方式管理看班的班级权限，所有权限调整均配备操作日志，便于出现问题后回溯原因；支持通过教师、设备维度查看拥有看班的权限明细，并支持快速调整权限。</w:t>
            </w:r>
          </w:p>
          <w:p w14:paraId="21526AB1">
            <w:pPr>
              <w:pStyle w:val="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设备概览：支持实时查看设备当前在离线状态、监管率、联网率、达标率；支持通过五大维度，科学合理监测评估基建设备的稳定性。支持通过网络达标情况了解设备是否常态化联网，网络速率是否满足教学需要；支持通过硬件达标情况了解设备使用年限、CPU/内存/磁盘等硬件的配置；支持通过流畅度达标情况了解设备CPU占用/温度、内存占用、系统盘容量占用的情况，以判断设备是否可以流畅应用于教学环节；支持通过安全达标情况了解设备启用安全防护服务的情况；支持通过设备应用情况来了解设备、教师在教学中的使用情况，包含使用率、软件使用情况、网址访问情况，以辅助判断教师信息化设备利用水平的高低。</w:t>
            </w:r>
          </w:p>
          <w:p w14:paraId="72A09709">
            <w:pPr>
              <w:pStyle w:val="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设备盘点：支持快速筛选全校所有设备网络、硬件、流畅度、安全四大指标的达标状态，快速定位和识别问题设备；支持自定义配置四项指标的达标阈值；支持快速导出全校所有设备的达标明细，方便学校盘点设备使用；</w:t>
            </w:r>
          </w:p>
          <w:p w14:paraId="2D0C5E8D">
            <w:pPr>
              <w:pStyle w:val="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支持实时强制转播时事新闻，设备执行播放任务过程中可由学校老师扫码验证身份后退出本次转播服务执行；支持新闻界面、视频文件等转播方式；支持立即、定时、周循环3种循环模式；支持指定设备定向发布内容；支持查看执行结果和计划列表。</w:t>
            </w:r>
          </w:p>
          <w:p w14:paraId="4EB140D1">
            <w:pPr>
              <w:pStyle w:val="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批量磁盘清理：支持远程批量清理设备磁盘，保障设备磁盘可用空间最大化，从而提升设备运行流畅性、桌面整洁性；支持清理指定磁盘的指定文件夹；支持清理系统盘备份、缓存、日志等垃圾文件；支持迁移系统盘视频、图片、音乐、文档等空间占用较大的文件；支持格式化非系统盘磁盘。</w:t>
            </w:r>
          </w:p>
          <w:p w14:paraId="20922514">
            <w:pPr>
              <w:pStyle w:val="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冰点还原及穿透：支持远程批量设置设备的冰冻状态，支持实时监测设备冰点存在的风险。支持远程向已冰冻的设备发送指令、安装软件，设备接收到后会立即执行，并在设备正常关机时触发穿透动作，穿透完成后，设备即可使用已安装软件、执行已接收指令，且穿透过程中无需人为解冻。</w:t>
            </w:r>
          </w:p>
        </w:tc>
        <w:tc>
          <w:tcPr>
            <w:tcW w:w="384"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63C34BE">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40</w:t>
            </w:r>
          </w:p>
        </w:tc>
        <w:tc>
          <w:tcPr>
            <w:tcW w:w="360"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EC7D360">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r>
      <w:tr w14:paraId="6B3E819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28"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19F7A67">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77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4D3264F">
            <w:pPr>
              <w:pStyle w:val="4"/>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安装调试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此项不适用中小企业，中小声明函无需填写</w:t>
            </w:r>
            <w:r>
              <w:rPr>
                <w:rFonts w:hint="eastAsia" w:ascii="宋体" w:hAnsi="宋体" w:eastAsia="宋体" w:cs="宋体"/>
                <w:color w:val="auto"/>
                <w:sz w:val="21"/>
                <w:szCs w:val="21"/>
                <w:highlight w:val="none"/>
                <w:lang w:eastAsia="zh-CN"/>
              </w:rPr>
              <w:t>）</w:t>
            </w:r>
          </w:p>
        </w:tc>
        <w:tc>
          <w:tcPr>
            <w:tcW w:w="314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D23E309">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1.硬件设备安装调试及旧设备拆除；</w:t>
            </w:r>
          </w:p>
          <w:p w14:paraId="5D989274">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2.软件系统安装和调试。</w:t>
            </w:r>
          </w:p>
        </w:tc>
        <w:tc>
          <w:tcPr>
            <w:tcW w:w="384"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60EAC9B">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360"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6E87DB6">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40</w:t>
            </w:r>
          </w:p>
        </w:tc>
      </w:tr>
    </w:tbl>
    <w:p w14:paraId="482A6013">
      <w:pPr>
        <w:pStyle w:val="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2.4演示要求：</w:t>
      </w:r>
    </w:p>
    <w:p w14:paraId="3BF03341">
      <w:pPr>
        <w:pStyle w:val="4"/>
        <w:ind w:firstLine="42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1.各供应商仅能派一名技术人员进行</w:t>
      </w:r>
      <w:r>
        <w:rPr>
          <w:rFonts w:hint="eastAsia" w:ascii="宋体" w:hAnsi="宋体" w:eastAsia="宋体" w:cs="宋体"/>
          <w:color w:val="auto"/>
          <w:sz w:val="21"/>
          <w:szCs w:val="21"/>
          <w:highlight w:val="none"/>
          <w:lang w:val="en-US" w:eastAsia="zh-CN"/>
        </w:rPr>
        <w:t>线下</w:t>
      </w:r>
      <w:r>
        <w:rPr>
          <w:rFonts w:hint="eastAsia" w:ascii="宋体" w:hAnsi="宋体" w:eastAsia="宋体" w:cs="宋体"/>
          <w:color w:val="auto"/>
          <w:sz w:val="21"/>
          <w:szCs w:val="21"/>
          <w:highlight w:val="none"/>
        </w:rPr>
        <w:t>现场实物演示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演示时间不超过15分钟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若供应商使用非真机实景操作演示的，视为无效响应</w:t>
      </w:r>
      <w:r>
        <w:rPr>
          <w:rFonts w:hint="eastAsia" w:ascii="宋体" w:hAnsi="宋体" w:eastAsia="宋体" w:cs="宋体"/>
          <w:color w:val="auto"/>
          <w:sz w:val="21"/>
          <w:szCs w:val="21"/>
          <w:highlight w:val="none"/>
        </w:rPr>
        <w:t>；</w:t>
      </w:r>
    </w:p>
    <w:p w14:paraId="1714B4F9">
      <w:pPr>
        <w:pStyle w:val="4"/>
        <w:ind w:firstLine="42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2.供应商不演示或功能演示不完整的，视为无效响应；</w:t>
      </w:r>
    </w:p>
    <w:p w14:paraId="47179BD5">
      <w:pPr>
        <w:pStyle w:val="4"/>
        <w:ind w:firstLine="42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3.演示样机须为投标拟供货型号整机，若使用高配样机、工程样机替代批量供货机型等，视为无效响应。</w:t>
      </w:r>
    </w:p>
    <w:p w14:paraId="72D7085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2.5合同履行期限：自合同签订之日起至质保期结束。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A923A6"/>
    <w:rsid w:val="04A923A6"/>
    <w:rsid w:val="7BA60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3064</Words>
  <Characters>3299</Characters>
  <Lines>0</Lines>
  <Paragraphs>0</Paragraphs>
  <TotalTime>0</TotalTime>
  <ScaleCrop>false</ScaleCrop>
  <LinksUpToDate>false</LinksUpToDate>
  <CharactersWithSpaces>3309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2026-08-23T08:22:00Z</dcterms:created>
  <dc:creator>Summer</dc:creator>
  <cp:lastModifiedBy>Summer</cp:lastModifiedBy>
  <dcterms:modified xsi:type="dcterms:W3CDTF">2026-08-23T08:32:43Z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B57FEA1AB7144204BCB3F05ACEF52AD1_11</vt:lpwstr>
  </property>
  <property fmtid="{D5CDD505-2E9C-101B-9397-08002B2CF9AE}" pid="4" name="KSOTemplateDocerSaveRecord">
    <vt:lpwstr>eyJoZGlkIjoiMWY3Nzc4MGZiNjQzMTVmMDc1OWRhZDhiOTgyM2ViOGIiLCJ1c2VySWQiOiIyMzczOTcxMTEifQ==</vt:lpwstr>
  </property>
</Properties>
</file>