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A0843">
      <w:pPr>
        <w:spacing w:line="360" w:lineRule="auto"/>
        <w:jc w:val="center"/>
        <w:rPr>
          <w:rFonts w:hint="eastAsia" w:ascii="仿宋" w:hAnsi="仿宋" w:eastAsia="仿宋" w:cs="仿宋"/>
          <w:sz w:val="24"/>
          <w:szCs w:val="24"/>
        </w:rPr>
      </w:pPr>
      <w:r>
        <w:rPr>
          <w:rFonts w:hint="eastAsia" w:ascii="仿宋" w:hAnsi="仿宋" w:eastAsia="仿宋" w:cs="仿宋"/>
          <w:b/>
          <w:bCs/>
          <w:sz w:val="28"/>
          <w:szCs w:val="28"/>
        </w:rPr>
        <w:t>商务、合同条款偏差表</w:t>
      </w:r>
    </w:p>
    <w:tbl>
      <w:tblPr>
        <w:tblStyle w:val="6"/>
        <w:tblW w:w="486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94"/>
        <w:gridCol w:w="1179"/>
        <w:gridCol w:w="5879"/>
        <w:gridCol w:w="1882"/>
        <w:gridCol w:w="1519"/>
        <w:gridCol w:w="3241"/>
      </w:tblGrid>
      <w:tr w14:paraId="73846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208" w:type="pct"/>
            <w:vAlign w:val="top"/>
          </w:tcPr>
          <w:p w14:paraId="17B9F198">
            <w:pPr>
              <w:pStyle w:val="5"/>
              <w:spacing w:before="114" w:line="360" w:lineRule="auto"/>
              <w:jc w:val="center"/>
              <w:rPr>
                <w:rFonts w:hint="eastAsia" w:ascii="仿宋" w:hAnsi="仿宋" w:eastAsia="仿宋" w:cs="仿宋"/>
                <w:sz w:val="21"/>
                <w:szCs w:val="21"/>
                <w:lang w:eastAsia="zh-CN"/>
              </w:rPr>
            </w:pPr>
            <w:r>
              <w:rPr>
                <w:rFonts w:hint="eastAsia" w:ascii="仿宋" w:hAnsi="仿宋" w:eastAsia="仿宋" w:cs="仿宋"/>
                <w:spacing w:val="-9"/>
                <w:sz w:val="21"/>
                <w:szCs w:val="21"/>
                <w:lang w:val="en-US" w:eastAsia="zh-CN"/>
              </w:rPr>
              <w:t>序号</w:t>
            </w:r>
          </w:p>
        </w:tc>
        <w:tc>
          <w:tcPr>
            <w:tcW w:w="412" w:type="pct"/>
            <w:vAlign w:val="top"/>
          </w:tcPr>
          <w:p w14:paraId="7ABABE99">
            <w:pPr>
              <w:pStyle w:val="5"/>
              <w:spacing w:before="115" w:line="360" w:lineRule="auto"/>
              <w:jc w:val="center"/>
              <w:rPr>
                <w:rFonts w:hint="default" w:ascii="仿宋" w:hAnsi="仿宋" w:eastAsia="仿宋" w:cs="仿宋"/>
                <w:sz w:val="21"/>
                <w:szCs w:val="21"/>
                <w:lang w:val="en-US" w:eastAsia="zh-CN"/>
              </w:rPr>
            </w:pPr>
            <w:r>
              <w:rPr>
                <w:rFonts w:hint="eastAsia" w:cs="仿宋"/>
                <w:sz w:val="21"/>
                <w:szCs w:val="21"/>
                <w:lang w:val="en-US" w:eastAsia="zh-CN"/>
              </w:rPr>
              <w:t>条目</w:t>
            </w:r>
          </w:p>
        </w:tc>
        <w:tc>
          <w:tcPr>
            <w:tcW w:w="2055" w:type="pct"/>
            <w:vAlign w:val="top"/>
          </w:tcPr>
          <w:p w14:paraId="056FA30D">
            <w:pPr>
              <w:pStyle w:val="5"/>
              <w:spacing w:before="115" w:line="360" w:lineRule="auto"/>
              <w:jc w:val="center"/>
              <w:rPr>
                <w:rFonts w:hint="eastAsia" w:ascii="仿宋" w:hAnsi="仿宋" w:eastAsia="仿宋" w:cs="仿宋"/>
                <w:spacing w:val="-3"/>
                <w:sz w:val="21"/>
                <w:szCs w:val="21"/>
              </w:rPr>
            </w:pPr>
            <w:r>
              <w:rPr>
                <w:rFonts w:hint="eastAsia" w:ascii="仿宋" w:hAnsi="仿宋" w:eastAsia="仿宋" w:cs="仿宋"/>
                <w:spacing w:val="-3"/>
                <w:sz w:val="21"/>
                <w:szCs w:val="21"/>
              </w:rPr>
              <w:t>招标文件要求</w:t>
            </w:r>
          </w:p>
        </w:tc>
        <w:tc>
          <w:tcPr>
            <w:tcW w:w="658" w:type="pct"/>
            <w:vAlign w:val="top"/>
          </w:tcPr>
          <w:p w14:paraId="36F9A7E6">
            <w:pPr>
              <w:pStyle w:val="5"/>
              <w:spacing w:before="115" w:line="360" w:lineRule="auto"/>
              <w:jc w:val="center"/>
              <w:rPr>
                <w:rFonts w:hint="eastAsia" w:ascii="仿宋" w:hAnsi="仿宋" w:eastAsia="仿宋" w:cs="仿宋"/>
                <w:sz w:val="21"/>
                <w:szCs w:val="21"/>
              </w:rPr>
            </w:pPr>
            <w:r>
              <w:rPr>
                <w:rFonts w:hint="eastAsia" w:ascii="仿宋" w:hAnsi="仿宋" w:eastAsia="仿宋" w:cs="仿宋"/>
                <w:spacing w:val="-3"/>
                <w:sz w:val="21"/>
                <w:szCs w:val="21"/>
              </w:rPr>
              <w:t>投标文件响应</w:t>
            </w:r>
          </w:p>
        </w:tc>
        <w:tc>
          <w:tcPr>
            <w:tcW w:w="531" w:type="pct"/>
            <w:vAlign w:val="top"/>
          </w:tcPr>
          <w:p w14:paraId="3B9A6DD5">
            <w:pPr>
              <w:pStyle w:val="5"/>
              <w:spacing w:before="115" w:line="360" w:lineRule="auto"/>
              <w:jc w:val="center"/>
              <w:rPr>
                <w:rFonts w:hint="eastAsia" w:ascii="仿宋" w:hAnsi="仿宋" w:eastAsia="仿宋" w:cs="仿宋"/>
                <w:sz w:val="21"/>
                <w:szCs w:val="21"/>
              </w:rPr>
            </w:pPr>
            <w:r>
              <w:rPr>
                <w:rFonts w:hint="eastAsia" w:ascii="仿宋" w:hAnsi="仿宋" w:eastAsia="仿宋" w:cs="仿宋"/>
                <w:spacing w:val="-5"/>
                <w:sz w:val="21"/>
                <w:szCs w:val="21"/>
              </w:rPr>
              <w:t>偏离情况</w:t>
            </w:r>
          </w:p>
        </w:tc>
        <w:tc>
          <w:tcPr>
            <w:tcW w:w="1133" w:type="pct"/>
            <w:vAlign w:val="top"/>
          </w:tcPr>
          <w:p w14:paraId="3100277A">
            <w:pPr>
              <w:pStyle w:val="5"/>
              <w:spacing w:before="114" w:line="360" w:lineRule="auto"/>
              <w:jc w:val="center"/>
              <w:rPr>
                <w:rFonts w:hint="eastAsia" w:ascii="仿宋" w:hAnsi="仿宋" w:eastAsia="仿宋" w:cs="仿宋"/>
                <w:sz w:val="21"/>
                <w:szCs w:val="21"/>
                <w:lang w:val="en-US" w:eastAsia="zh-CN"/>
              </w:rPr>
            </w:pPr>
            <w:r>
              <w:rPr>
                <w:rFonts w:hint="eastAsia" w:ascii="仿宋" w:hAnsi="仿宋" w:eastAsia="仿宋" w:cs="仿宋"/>
                <w:spacing w:val="-9"/>
                <w:sz w:val="21"/>
                <w:szCs w:val="21"/>
                <w:lang w:val="en-US" w:eastAsia="zh-CN"/>
              </w:rPr>
              <w:t>偏离简述</w:t>
            </w:r>
          </w:p>
        </w:tc>
      </w:tr>
      <w:tr w14:paraId="53B5C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9" w:hRule="atLeast"/>
        </w:trPr>
        <w:tc>
          <w:tcPr>
            <w:tcW w:w="208" w:type="pct"/>
            <w:vAlign w:val="center"/>
          </w:tcPr>
          <w:p w14:paraId="0ED83D6A">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1</w:t>
            </w:r>
          </w:p>
        </w:tc>
        <w:tc>
          <w:tcPr>
            <w:tcW w:w="412" w:type="pct"/>
            <w:vAlign w:val="center"/>
          </w:tcPr>
          <w:p w14:paraId="593380B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服务响应</w:t>
            </w:r>
          </w:p>
        </w:tc>
        <w:tc>
          <w:tcPr>
            <w:tcW w:w="2055" w:type="pct"/>
            <w:vAlign w:val="center"/>
          </w:tcPr>
          <w:p w14:paraId="7EDD80B3">
            <w:pPr>
              <w:keepNext w:val="0"/>
              <w:keepLines w:val="0"/>
              <w:pageBreakBefore w:val="0"/>
              <w:tabs>
                <w:tab w:val="left" w:pos="0"/>
              </w:tabs>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bCs/>
                <w:sz w:val="21"/>
                <w:szCs w:val="21"/>
              </w:rPr>
              <w:t>配合采购人进行施工技术交底、施工现场指导，现场解决问题不少于6次（施工进场前1次、基础改造阶段2次、布展阶段2次、竣工验收前1次）。此外，若施工中出现重大设计变更或突发技术问题，供应商需在收到</w:t>
            </w:r>
            <w:r>
              <w:rPr>
                <w:rFonts w:hint="eastAsia" w:ascii="仿宋" w:hAnsi="仿宋" w:eastAsia="仿宋" w:cs="仿宋"/>
                <w:bCs/>
                <w:sz w:val="21"/>
                <w:szCs w:val="21"/>
                <w:lang w:eastAsia="zh"/>
                <w:woUserID w:val="4"/>
              </w:rPr>
              <w:t>采购人</w:t>
            </w:r>
            <w:r>
              <w:rPr>
                <w:rFonts w:hint="eastAsia" w:ascii="仿宋" w:hAnsi="仿宋" w:eastAsia="仿宋" w:cs="仿宋"/>
                <w:bCs/>
                <w:sz w:val="21"/>
                <w:szCs w:val="21"/>
              </w:rPr>
              <w:t>通知后2个工作日内到场提供技术指导。​</w:t>
            </w:r>
          </w:p>
        </w:tc>
        <w:tc>
          <w:tcPr>
            <w:tcW w:w="658" w:type="pct"/>
            <w:vAlign w:val="top"/>
          </w:tcPr>
          <w:p w14:paraId="66055A2C">
            <w:pPr>
              <w:spacing w:line="360" w:lineRule="auto"/>
              <w:rPr>
                <w:rFonts w:hint="eastAsia" w:ascii="仿宋" w:hAnsi="仿宋" w:eastAsia="仿宋" w:cs="仿宋"/>
                <w:sz w:val="21"/>
                <w:szCs w:val="21"/>
              </w:rPr>
            </w:pPr>
          </w:p>
        </w:tc>
        <w:tc>
          <w:tcPr>
            <w:tcW w:w="531" w:type="pct"/>
            <w:vAlign w:val="top"/>
          </w:tcPr>
          <w:p w14:paraId="466A0F7F">
            <w:pPr>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正/负/无</w:t>
            </w:r>
          </w:p>
        </w:tc>
        <w:tc>
          <w:tcPr>
            <w:tcW w:w="1133" w:type="pct"/>
            <w:vAlign w:val="top"/>
          </w:tcPr>
          <w:p w14:paraId="32293599">
            <w:pPr>
              <w:spacing w:line="360" w:lineRule="auto"/>
              <w:rPr>
                <w:rFonts w:hint="eastAsia" w:ascii="仿宋" w:hAnsi="仿宋" w:eastAsia="仿宋" w:cs="仿宋"/>
                <w:sz w:val="21"/>
                <w:szCs w:val="21"/>
              </w:rPr>
            </w:pPr>
          </w:p>
        </w:tc>
      </w:tr>
      <w:tr w14:paraId="02935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2" w:hRule="atLeast"/>
        </w:trPr>
        <w:tc>
          <w:tcPr>
            <w:tcW w:w="208" w:type="pct"/>
            <w:vAlign w:val="center"/>
          </w:tcPr>
          <w:p w14:paraId="77175514">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2</w:t>
            </w:r>
          </w:p>
        </w:tc>
        <w:tc>
          <w:tcPr>
            <w:tcW w:w="412" w:type="pct"/>
            <w:vAlign w:val="center"/>
          </w:tcPr>
          <w:p w14:paraId="667500A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服务期限、服务地点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施工地点</w:t>
            </w:r>
          </w:p>
        </w:tc>
        <w:tc>
          <w:tcPr>
            <w:tcW w:w="2055" w:type="pct"/>
            <w:vAlign w:val="center"/>
          </w:tcPr>
          <w:p w14:paraId="20FBAF0A">
            <w:pPr>
              <w:keepNext w:val="0"/>
              <w:keepLines w:val="0"/>
              <w:pageBreakBefore w:val="0"/>
              <w:tabs>
                <w:tab w:val="left" w:pos="0"/>
              </w:tabs>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1.服务期</w:t>
            </w:r>
            <w:r>
              <w:rPr>
                <w:rFonts w:hint="eastAsia" w:ascii="仿宋" w:hAnsi="仿宋" w:eastAsia="仿宋" w:cs="仿宋"/>
                <w:bCs/>
                <w:sz w:val="21"/>
                <w:szCs w:val="21"/>
                <w:lang w:val="en-US" w:eastAsia="zh"/>
                <w:woUserID w:val="2"/>
              </w:rPr>
              <w:t>限</w:t>
            </w:r>
            <w:r>
              <w:rPr>
                <w:rFonts w:hint="eastAsia" w:ascii="仿宋" w:hAnsi="仿宋" w:eastAsia="仿宋" w:cs="仿宋"/>
                <w:bCs/>
                <w:sz w:val="21"/>
                <w:szCs w:val="21"/>
                <w:highlight w:val="none"/>
                <w:lang w:val="en-US" w:eastAsia="zh"/>
                <w:woUserID w:val="2"/>
              </w:rPr>
              <w:t>：自合同签订之日起</w:t>
            </w:r>
            <w:r>
              <w:rPr>
                <w:rFonts w:hint="eastAsia" w:ascii="仿宋" w:hAnsi="仿宋" w:eastAsia="仿宋" w:cs="仿宋"/>
                <w:bCs/>
                <w:sz w:val="21"/>
                <w:szCs w:val="21"/>
                <w:highlight w:val="none"/>
                <w:lang w:val="en-US" w:eastAsia="zh-CN"/>
              </w:rPr>
              <w:t>90</w:t>
            </w:r>
            <w:r>
              <w:rPr>
                <w:rFonts w:hint="eastAsia" w:ascii="仿宋" w:hAnsi="仿宋" w:eastAsia="仿宋" w:cs="仿宋"/>
                <w:bCs/>
                <w:sz w:val="21"/>
                <w:szCs w:val="21"/>
                <w:highlight w:val="none"/>
                <w:lang w:eastAsia="zh"/>
                <w:woUserID w:val="2"/>
              </w:rPr>
              <w:t>日</w:t>
            </w:r>
            <w:r>
              <w:rPr>
                <w:rFonts w:hint="eastAsia" w:ascii="仿宋" w:hAnsi="仿宋" w:eastAsia="仿宋" w:cs="仿宋"/>
                <w:bCs/>
                <w:sz w:val="21"/>
                <w:szCs w:val="21"/>
                <w:highlight w:val="none"/>
                <w:lang w:eastAsia="zh-CN"/>
              </w:rPr>
              <w:t>历天（包含</w:t>
            </w:r>
            <w:r>
              <w:rPr>
                <w:rFonts w:hint="eastAsia" w:ascii="仿宋" w:hAnsi="仿宋" w:eastAsia="仿宋" w:cs="仿宋"/>
                <w:sz w:val="21"/>
                <w:szCs w:val="21"/>
                <w:highlight w:val="none"/>
                <w:lang w:eastAsia="zh-CN"/>
              </w:rPr>
              <w:t>深化设计</w:t>
            </w:r>
            <w:r>
              <w:rPr>
                <w:rFonts w:hint="eastAsia" w:ascii="仿宋" w:hAnsi="仿宋" w:eastAsia="仿宋" w:cs="仿宋"/>
                <w:bCs/>
                <w:sz w:val="21"/>
                <w:szCs w:val="21"/>
                <w:lang w:eastAsia="zh-CN"/>
              </w:rPr>
              <w:t>、装修及布展等）。其中：签订合同后7日内供应商需按</w:t>
            </w:r>
            <w:r>
              <w:rPr>
                <w:rFonts w:hint="eastAsia" w:ascii="仿宋" w:hAnsi="仿宋" w:eastAsia="仿宋" w:cs="仿宋"/>
                <w:bCs/>
                <w:sz w:val="21"/>
                <w:szCs w:val="21"/>
                <w:lang w:val="en-US" w:eastAsia="zh-CN"/>
              </w:rPr>
              <w:t>招标</w:t>
            </w:r>
            <w:r>
              <w:rPr>
                <w:rFonts w:hint="eastAsia" w:ascii="仿宋" w:hAnsi="仿宋" w:eastAsia="仿宋" w:cs="仿宋"/>
                <w:bCs/>
                <w:sz w:val="21"/>
                <w:szCs w:val="21"/>
                <w:lang w:eastAsia="zh-CN"/>
              </w:rPr>
              <w:t>文件及响应内容结合采购人审核意见，提供细化的设计方案（含效果图），并经采购人审核通过后，</w:t>
            </w:r>
            <w:r>
              <w:rPr>
                <w:rFonts w:hint="eastAsia" w:ascii="仿宋" w:hAnsi="仿宋" w:eastAsia="仿宋" w:cs="仿宋"/>
                <w:bCs/>
                <w:sz w:val="21"/>
                <w:szCs w:val="21"/>
                <w:lang w:val="en-US" w:eastAsia="zh-CN"/>
              </w:rPr>
              <w:t>7日内</w:t>
            </w:r>
            <w:r>
              <w:rPr>
                <w:rFonts w:hint="eastAsia" w:ascii="仿宋" w:hAnsi="仿宋" w:eastAsia="仿宋" w:cs="仿宋"/>
                <w:bCs/>
                <w:sz w:val="21"/>
                <w:szCs w:val="21"/>
                <w:lang w:eastAsia="zh-CN"/>
              </w:rPr>
              <w:t>提供详实的施工方案、技术说明及分部分项工程工程量清单明细</w:t>
            </w:r>
            <w:r>
              <w:rPr>
                <w:rFonts w:hint="eastAsia" w:ascii="仿宋" w:hAnsi="仿宋" w:eastAsia="仿宋" w:cs="仿宋"/>
                <w:bCs/>
                <w:sz w:val="21"/>
                <w:szCs w:val="21"/>
                <w:lang w:val="en-US" w:eastAsia="zh-CN"/>
              </w:rPr>
              <w:t>及造价</w:t>
            </w:r>
            <w:r>
              <w:rPr>
                <w:rFonts w:hint="eastAsia" w:ascii="仿宋" w:hAnsi="仿宋" w:eastAsia="仿宋" w:cs="仿宋"/>
                <w:bCs/>
                <w:sz w:val="21"/>
                <w:szCs w:val="21"/>
                <w:lang w:eastAsia="zh-CN"/>
              </w:rPr>
              <w:t>，经采购人及其委托的全过程造价咨询机构共同审定后明确工程量清单及造价</w:t>
            </w:r>
            <w:r>
              <w:rPr>
                <w:rFonts w:hint="eastAsia" w:ascii="仿宋" w:hAnsi="仿宋" w:eastAsia="仿宋" w:cs="仿宋"/>
                <w:bCs/>
                <w:sz w:val="21"/>
                <w:szCs w:val="21"/>
                <w:lang w:val="en-US" w:eastAsia="zh-CN"/>
              </w:rPr>
              <w:t>后</w:t>
            </w:r>
            <w:r>
              <w:rPr>
                <w:rFonts w:hint="eastAsia" w:ascii="仿宋" w:hAnsi="仿宋" w:eastAsia="仿宋" w:cs="仿宋"/>
                <w:bCs/>
                <w:sz w:val="21"/>
                <w:szCs w:val="21"/>
                <w:lang w:eastAsia="zh-CN"/>
              </w:rPr>
              <w:t>方可按审定后的设计图、效果图、施工图和施工方案分部分项工程工程量清单明细</w:t>
            </w:r>
            <w:r>
              <w:rPr>
                <w:rFonts w:hint="eastAsia" w:ascii="仿宋" w:hAnsi="仿宋" w:eastAsia="仿宋" w:cs="仿宋"/>
                <w:bCs/>
                <w:sz w:val="21"/>
                <w:szCs w:val="21"/>
                <w:lang w:val="en-US" w:eastAsia="zh-CN"/>
              </w:rPr>
              <w:t>及造价进行施工</w:t>
            </w: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施工竣工验收前完成空气治理任务，</w:t>
            </w:r>
            <w:r>
              <w:rPr>
                <w:rFonts w:hint="eastAsia" w:ascii="仿宋" w:hAnsi="仿宋" w:eastAsia="仿宋" w:cs="仿宋"/>
                <w:bCs/>
                <w:sz w:val="21"/>
                <w:szCs w:val="21"/>
                <w:lang w:eastAsia="zh-CN"/>
              </w:rPr>
              <w:t>2026年9月2</w:t>
            </w:r>
            <w:r>
              <w:rPr>
                <w:rFonts w:hint="eastAsia" w:ascii="仿宋" w:hAnsi="仿宋" w:eastAsia="仿宋" w:cs="仿宋"/>
                <w:bCs/>
                <w:sz w:val="21"/>
                <w:szCs w:val="21"/>
                <w:lang w:val="en-US" w:eastAsia="zh-CN"/>
              </w:rPr>
              <w:t>5</w:t>
            </w:r>
            <w:r>
              <w:rPr>
                <w:rFonts w:hint="eastAsia" w:ascii="仿宋" w:hAnsi="仿宋" w:eastAsia="仿宋" w:cs="仿宋"/>
                <w:bCs/>
                <w:sz w:val="21"/>
                <w:szCs w:val="21"/>
                <w:lang w:eastAsia="zh-CN"/>
              </w:rPr>
              <w:t>日前竣工验收合格并交付使用。（经采购人及其委托的全过程造价咨询机构共同审定后明确工程量清单及造价</w:t>
            </w:r>
            <w:r>
              <w:rPr>
                <w:rFonts w:hint="eastAsia" w:ascii="仿宋" w:hAnsi="仿宋" w:eastAsia="仿宋" w:cs="仿宋"/>
                <w:bCs/>
                <w:sz w:val="21"/>
                <w:szCs w:val="21"/>
                <w:lang w:val="en-US" w:eastAsia="zh-CN"/>
              </w:rPr>
              <w:t>将作为结算依据</w:t>
            </w:r>
            <w:r>
              <w:rPr>
                <w:rFonts w:hint="eastAsia" w:ascii="仿宋" w:hAnsi="仿宋" w:eastAsia="仿宋" w:cs="仿宋"/>
                <w:bCs/>
                <w:sz w:val="21"/>
                <w:szCs w:val="21"/>
                <w:lang w:eastAsia="zh-CN"/>
              </w:rPr>
              <w:t>）</w:t>
            </w:r>
          </w:p>
          <w:p w14:paraId="650536DB">
            <w:pPr>
              <w:keepNext w:val="0"/>
              <w:keepLines w:val="0"/>
              <w:pageBreakBefore w:val="0"/>
              <w:tabs>
                <w:tab w:val="left" w:pos="0"/>
              </w:tabs>
              <w:overflowPunct/>
              <w:topLinePunct w:val="0"/>
              <w:autoSpaceDE w:val="0"/>
              <w:autoSpaceDN w:val="0"/>
              <w:bidi w:val="0"/>
              <w:adjustRightInd w:val="0"/>
              <w:spacing w:line="360" w:lineRule="auto"/>
              <w:ind w:firstLine="0" w:firstLineChars="0"/>
              <w:jc w:val="both"/>
              <w:rPr>
                <w:rFonts w:hint="eastAsia" w:ascii="仿宋" w:hAnsi="仿宋" w:eastAsia="仿宋" w:cs="仿宋"/>
                <w:bCs/>
                <w:sz w:val="21"/>
                <w:szCs w:val="21"/>
              </w:rPr>
            </w:pPr>
            <w:r>
              <w:rPr>
                <w:rFonts w:hint="eastAsia" w:ascii="仿宋" w:hAnsi="仿宋" w:eastAsia="仿宋" w:cs="仿宋"/>
                <w:bCs/>
                <w:sz w:val="21"/>
                <w:szCs w:val="21"/>
              </w:rPr>
              <w:t>2.服务地点：西安石油大学</w:t>
            </w:r>
            <w:r>
              <w:rPr>
                <w:rFonts w:hint="eastAsia" w:ascii="仿宋" w:hAnsi="仿宋" w:eastAsia="仿宋" w:cs="仿宋"/>
                <w:bCs/>
                <w:sz w:val="21"/>
                <w:szCs w:val="21"/>
                <w:lang w:val="en-US" w:eastAsia="zh-CN"/>
              </w:rPr>
              <w:t>指定地点</w:t>
            </w:r>
            <w:r>
              <w:rPr>
                <w:rFonts w:hint="eastAsia" w:ascii="仿宋" w:hAnsi="仿宋" w:eastAsia="仿宋" w:cs="仿宋"/>
                <w:bCs/>
                <w:sz w:val="21"/>
                <w:szCs w:val="21"/>
              </w:rPr>
              <w:t>。</w:t>
            </w:r>
          </w:p>
          <w:p w14:paraId="3DCECC34">
            <w:pPr>
              <w:keepNext w:val="0"/>
              <w:keepLines w:val="0"/>
              <w:pageBreakBefore w:val="0"/>
              <w:tabs>
                <w:tab w:val="left" w:pos="0"/>
              </w:tabs>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bCs/>
                <w:sz w:val="21"/>
                <w:szCs w:val="21"/>
                <w:highlight w:val="none"/>
                <w:lang w:val="en-US" w:eastAsia="zh-CN"/>
              </w:rPr>
              <w:t>3.施工地点：西</w:t>
            </w:r>
            <w:r>
              <w:rPr>
                <w:rFonts w:hint="eastAsia" w:ascii="仿宋" w:hAnsi="仿宋" w:eastAsia="仿宋" w:cs="仿宋"/>
                <w:kern w:val="0"/>
                <w:sz w:val="21"/>
                <w:szCs w:val="21"/>
                <w:highlight w:val="none"/>
              </w:rPr>
              <w:t>安石油大学鄠邑校区</w:t>
            </w:r>
            <w:r>
              <w:rPr>
                <w:rFonts w:hint="eastAsia" w:ascii="仿宋" w:hAnsi="仿宋" w:eastAsia="仿宋" w:cs="仿宋"/>
                <w:bCs/>
                <w:sz w:val="21"/>
                <w:szCs w:val="21"/>
                <w:highlight w:val="none"/>
              </w:rPr>
              <w:t>。</w:t>
            </w:r>
          </w:p>
        </w:tc>
        <w:tc>
          <w:tcPr>
            <w:tcW w:w="658" w:type="pct"/>
            <w:vAlign w:val="top"/>
          </w:tcPr>
          <w:p w14:paraId="78723571">
            <w:pPr>
              <w:spacing w:line="360" w:lineRule="auto"/>
              <w:rPr>
                <w:rFonts w:hint="eastAsia" w:ascii="仿宋" w:hAnsi="仿宋" w:eastAsia="仿宋" w:cs="仿宋"/>
                <w:sz w:val="21"/>
                <w:szCs w:val="21"/>
              </w:rPr>
            </w:pPr>
          </w:p>
        </w:tc>
        <w:tc>
          <w:tcPr>
            <w:tcW w:w="531" w:type="pct"/>
            <w:vAlign w:val="top"/>
          </w:tcPr>
          <w:p w14:paraId="7B7BB0BA">
            <w:pPr>
              <w:spacing w:line="360" w:lineRule="auto"/>
              <w:rPr>
                <w:rFonts w:hint="eastAsia" w:ascii="仿宋" w:hAnsi="仿宋" w:eastAsia="仿宋" w:cs="仿宋"/>
                <w:sz w:val="21"/>
                <w:szCs w:val="21"/>
              </w:rPr>
            </w:pPr>
          </w:p>
        </w:tc>
        <w:tc>
          <w:tcPr>
            <w:tcW w:w="1133" w:type="pct"/>
            <w:vAlign w:val="top"/>
          </w:tcPr>
          <w:p w14:paraId="3B839FED">
            <w:pPr>
              <w:spacing w:line="360" w:lineRule="auto"/>
              <w:rPr>
                <w:rFonts w:hint="eastAsia" w:ascii="仿宋" w:hAnsi="仿宋" w:eastAsia="仿宋" w:cs="仿宋"/>
                <w:sz w:val="21"/>
                <w:szCs w:val="21"/>
              </w:rPr>
            </w:pPr>
          </w:p>
        </w:tc>
      </w:tr>
      <w:tr w14:paraId="71355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9" w:hRule="atLeast"/>
        </w:trPr>
        <w:tc>
          <w:tcPr>
            <w:tcW w:w="208" w:type="pct"/>
            <w:vAlign w:val="center"/>
          </w:tcPr>
          <w:p w14:paraId="6D746B82">
            <w:pPr>
              <w:pStyle w:val="5"/>
              <w:spacing w:before="78"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3</w:t>
            </w:r>
          </w:p>
        </w:tc>
        <w:tc>
          <w:tcPr>
            <w:tcW w:w="412" w:type="pct"/>
            <w:vAlign w:val="center"/>
          </w:tcPr>
          <w:p w14:paraId="577192FC">
            <w:pPr>
              <w:spacing w:line="360" w:lineRule="auto"/>
              <w:jc w:val="center"/>
              <w:rPr>
                <w:rFonts w:hint="eastAsia" w:ascii="仿宋" w:hAnsi="仿宋" w:eastAsia="仿宋" w:cs="仿宋"/>
                <w:sz w:val="21"/>
                <w:szCs w:val="21"/>
              </w:rPr>
            </w:pPr>
            <w:r>
              <w:rPr>
                <w:rFonts w:hint="eastAsia" w:ascii="仿宋" w:hAnsi="仿宋" w:eastAsia="仿宋" w:cs="仿宋"/>
                <w:sz w:val="21"/>
                <w:szCs w:val="21"/>
              </w:rPr>
              <w:t>付款</w:t>
            </w:r>
            <w:r>
              <w:rPr>
                <w:rFonts w:hint="eastAsia" w:ascii="仿宋" w:hAnsi="仿宋" w:eastAsia="仿宋" w:cs="仿宋"/>
                <w:sz w:val="21"/>
                <w:szCs w:val="21"/>
                <w:lang w:val="en-US" w:eastAsia="zh-CN"/>
              </w:rPr>
              <w:t>方式</w:t>
            </w:r>
          </w:p>
        </w:tc>
        <w:tc>
          <w:tcPr>
            <w:tcW w:w="2055" w:type="pct"/>
            <w:vAlign w:val="center"/>
          </w:tcPr>
          <w:p w14:paraId="4832748D">
            <w:pPr>
              <w:keepNext w:val="0"/>
              <w:keepLines w:val="0"/>
              <w:pageBreakBefore w:val="0"/>
              <w:numPr>
                <w:ilvl w:val="-1"/>
                <w:numId w:val="0"/>
              </w:numPr>
              <w:tabs>
                <w:tab w:val="left" w:pos="0"/>
              </w:tabs>
              <w:overflowPunct/>
              <w:topLinePunct w:val="0"/>
              <w:autoSpaceDE w:val="0"/>
              <w:autoSpaceDN w:val="0"/>
              <w:bidi w:val="0"/>
              <w:adjustRightInd w:val="0"/>
              <w:spacing w:line="360" w:lineRule="auto"/>
              <w:ind w:firstLine="0"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按分期付款方式进行结算，分期进行支付。</w:t>
            </w:r>
          </w:p>
          <w:p w14:paraId="5D25895A">
            <w:pPr>
              <w:keepNext w:val="0"/>
              <w:keepLines w:val="0"/>
              <w:pageBreakBefore w:val="0"/>
              <w:numPr>
                <w:ilvl w:val="-1"/>
                <w:numId w:val="0"/>
              </w:numPr>
              <w:tabs>
                <w:tab w:val="left" w:pos="0"/>
              </w:tabs>
              <w:overflowPunct/>
              <w:topLinePunct w:val="0"/>
              <w:autoSpaceDE w:val="0"/>
              <w:autoSpaceDN w:val="0"/>
              <w:bidi w:val="0"/>
              <w:adjustRightInd w:val="0"/>
              <w:spacing w:line="360" w:lineRule="auto"/>
              <w:ind w:firstLine="0"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第一次在设计方案定稿后，10个工作日内支付合同总价款的10%；第二次在工程施工完毕，经采购人验收合格后，10个工作日内支付合同总价款的50%;第三次在审计结束后，10个工作日内留</w:t>
            </w:r>
            <w:r>
              <w:rPr>
                <w:rFonts w:hint="eastAsia" w:ascii="仿宋" w:hAnsi="仿宋" w:eastAsia="仿宋" w:cs="仿宋"/>
                <w:sz w:val="21"/>
                <w:szCs w:val="21"/>
                <w:lang w:eastAsia="zh-CN"/>
              </w:rPr>
              <w:t>竣工决算价款</w:t>
            </w:r>
            <w:r>
              <w:rPr>
                <w:rFonts w:hint="eastAsia" w:ascii="仿宋" w:hAnsi="仿宋" w:eastAsia="仿宋" w:cs="仿宋"/>
                <w:sz w:val="21"/>
                <w:szCs w:val="21"/>
                <w:lang w:val="en-US" w:eastAsia="zh-CN"/>
              </w:rPr>
              <w:t>3%作为质保金，其余款项一次性支付；第四次在竣工验收之日起两年后无工程质量问题（质保金清退），10个工作日内支付</w:t>
            </w:r>
            <w:r>
              <w:rPr>
                <w:rFonts w:hint="eastAsia" w:ascii="仿宋" w:hAnsi="仿宋" w:eastAsia="仿宋" w:cs="仿宋"/>
                <w:sz w:val="21"/>
                <w:szCs w:val="21"/>
                <w:lang w:eastAsia="zh-CN"/>
              </w:rPr>
              <w:t>竣工决算价款</w:t>
            </w:r>
            <w:r>
              <w:rPr>
                <w:rFonts w:hint="eastAsia" w:ascii="仿宋" w:hAnsi="仿宋" w:eastAsia="仿宋" w:cs="仿宋"/>
                <w:sz w:val="21"/>
                <w:szCs w:val="21"/>
                <w:lang w:val="en-US" w:eastAsia="zh-CN"/>
              </w:rPr>
              <w:t>3%。</w:t>
            </w:r>
          </w:p>
          <w:p w14:paraId="0937F49C">
            <w:pPr>
              <w:keepNext w:val="0"/>
              <w:keepLines w:val="0"/>
              <w:pageBreakBefore w:val="0"/>
              <w:numPr>
                <w:ilvl w:val="-1"/>
                <w:numId w:val="0"/>
              </w:numPr>
              <w:tabs>
                <w:tab w:val="left" w:pos="0"/>
              </w:tabs>
              <w:overflowPunct/>
              <w:topLinePunct w:val="0"/>
              <w:autoSpaceDE w:val="0"/>
              <w:autoSpaceDN w:val="0"/>
              <w:bidi w:val="0"/>
              <w:adjustRightInd w:val="0"/>
              <w:spacing w:line="360" w:lineRule="auto"/>
              <w:ind w:firstLine="0"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注：1.采购人</w:t>
            </w:r>
            <w:r>
              <w:rPr>
                <w:rFonts w:hint="eastAsia" w:ascii="仿宋" w:hAnsi="仿宋" w:eastAsia="仿宋" w:cs="仿宋"/>
                <w:sz w:val="21"/>
                <w:szCs w:val="21"/>
              </w:rPr>
              <w:t>按工程竣工审定结算造价的0.5%与</w:t>
            </w:r>
            <w:r>
              <w:rPr>
                <w:rFonts w:hint="eastAsia" w:ascii="仿宋" w:hAnsi="仿宋" w:eastAsia="仿宋" w:cs="仿宋"/>
                <w:sz w:val="21"/>
                <w:szCs w:val="21"/>
                <w:lang w:val="en-US" w:eastAsia="zh-CN"/>
              </w:rPr>
              <w:t>供应商</w:t>
            </w:r>
            <w:r>
              <w:rPr>
                <w:rFonts w:hint="eastAsia" w:ascii="仿宋" w:hAnsi="仿宋" w:eastAsia="仿宋" w:cs="仿宋"/>
                <w:sz w:val="21"/>
                <w:szCs w:val="21"/>
              </w:rPr>
              <w:t>办理水电费结算</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2.供应商申请支付款项时应提供等额增值税专用发票给采购人（</w:t>
            </w:r>
            <w:r>
              <w:rPr>
                <w:rFonts w:hint="eastAsia" w:ascii="仿宋" w:hAnsi="仿宋" w:eastAsia="仿宋" w:cs="仿宋"/>
                <w:sz w:val="21"/>
                <w:szCs w:val="21"/>
                <w:lang w:val="en-GB"/>
              </w:rPr>
              <w:t>发票与合同的银行账户信息应保持一致</w:t>
            </w:r>
            <w:r>
              <w:rPr>
                <w:rFonts w:hint="eastAsia" w:ascii="仿宋" w:hAnsi="仿宋" w:eastAsia="仿宋" w:cs="仿宋"/>
                <w:sz w:val="21"/>
                <w:szCs w:val="21"/>
                <w:lang w:val="en-US" w:eastAsia="zh-CN"/>
              </w:rPr>
              <w:t>）。3.竣工验收之日起两年后无工程质量问题，供应商填报西安石油大学工程质量保证金退还申请单，经采购人相关部门签认后退还。同时接受采购人审价机制。</w:t>
            </w:r>
          </w:p>
          <w:p w14:paraId="58FD5907">
            <w:pPr>
              <w:keepNext w:val="0"/>
              <w:keepLines w:val="0"/>
              <w:pageBreakBefore w:val="0"/>
              <w:numPr>
                <w:ilvl w:val="-1"/>
                <w:numId w:val="0"/>
              </w:numPr>
              <w:tabs>
                <w:tab w:val="left" w:pos="0"/>
              </w:tabs>
              <w:overflowPunct/>
              <w:topLinePunct w:val="0"/>
              <w:autoSpaceDE w:val="0"/>
              <w:autoSpaceDN w:val="0"/>
              <w:bidi w:val="0"/>
              <w:adjustRightInd w:val="0"/>
              <w:spacing w:line="360" w:lineRule="auto"/>
              <w:ind w:left="0" w:leftChars="0" w:firstLine="0" w:firstLineChars="0"/>
              <w:jc w:val="left"/>
              <w:rPr>
                <w:rFonts w:hint="eastAsia" w:ascii="仿宋" w:hAnsi="仿宋" w:eastAsia="仿宋" w:cs="仿宋"/>
                <w:sz w:val="21"/>
                <w:szCs w:val="21"/>
              </w:rPr>
            </w:pPr>
            <w:r>
              <w:rPr>
                <w:rFonts w:hint="eastAsia" w:ascii="仿宋" w:hAnsi="仿宋" w:eastAsia="仿宋" w:cs="仿宋"/>
                <w:sz w:val="21"/>
                <w:szCs w:val="21"/>
                <w:lang w:val="en-US" w:eastAsia="zh-CN"/>
              </w:rPr>
              <w:t>审价机制：供应商应按要求向采购人递交竣工结算报告及完整的结算资料，并对递交的报告及资料的完整性负全责。若出现漏报，损失由供应商承担。工程竣工验收合格，采购人在收到竣工结算报告及完整的结算资料后，按相关要求对供应商提供的竣工结算资料进行审计。采购人委托有资质的造价咨询机构进行审计，基本审计费由采购人承担，审减额在5%以内（含5%），发生的审核成果费由采购人承担；审减额5%以上的审核成果费由供应商承担。</w:t>
            </w:r>
          </w:p>
        </w:tc>
        <w:tc>
          <w:tcPr>
            <w:tcW w:w="658" w:type="pct"/>
            <w:vAlign w:val="top"/>
          </w:tcPr>
          <w:p w14:paraId="29A6D230">
            <w:pPr>
              <w:spacing w:line="360" w:lineRule="auto"/>
              <w:rPr>
                <w:rFonts w:hint="eastAsia" w:ascii="仿宋" w:hAnsi="仿宋" w:eastAsia="仿宋" w:cs="仿宋"/>
                <w:sz w:val="21"/>
                <w:szCs w:val="21"/>
              </w:rPr>
            </w:pPr>
          </w:p>
        </w:tc>
        <w:tc>
          <w:tcPr>
            <w:tcW w:w="531" w:type="pct"/>
            <w:vAlign w:val="top"/>
          </w:tcPr>
          <w:p w14:paraId="05E73414">
            <w:pPr>
              <w:spacing w:line="360" w:lineRule="auto"/>
              <w:rPr>
                <w:rFonts w:hint="eastAsia" w:ascii="仿宋" w:hAnsi="仿宋" w:eastAsia="仿宋" w:cs="仿宋"/>
                <w:sz w:val="21"/>
                <w:szCs w:val="21"/>
              </w:rPr>
            </w:pPr>
          </w:p>
        </w:tc>
        <w:tc>
          <w:tcPr>
            <w:tcW w:w="1133" w:type="pct"/>
            <w:vAlign w:val="top"/>
          </w:tcPr>
          <w:p w14:paraId="0C6F6359">
            <w:pPr>
              <w:spacing w:line="360" w:lineRule="auto"/>
              <w:rPr>
                <w:rFonts w:hint="eastAsia" w:ascii="仿宋" w:hAnsi="仿宋" w:eastAsia="仿宋" w:cs="仿宋"/>
                <w:sz w:val="21"/>
                <w:szCs w:val="21"/>
              </w:rPr>
            </w:pPr>
          </w:p>
        </w:tc>
      </w:tr>
      <w:tr w14:paraId="2C987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3" w:hRule="atLeast"/>
        </w:trPr>
        <w:tc>
          <w:tcPr>
            <w:tcW w:w="208" w:type="pct"/>
            <w:vAlign w:val="center"/>
          </w:tcPr>
          <w:p w14:paraId="25830390">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4</w:t>
            </w:r>
          </w:p>
        </w:tc>
        <w:tc>
          <w:tcPr>
            <w:tcW w:w="412" w:type="pct"/>
            <w:vAlign w:val="center"/>
          </w:tcPr>
          <w:p w14:paraId="0E5D9346">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履约保证金要求</w:t>
            </w:r>
          </w:p>
        </w:tc>
        <w:tc>
          <w:tcPr>
            <w:tcW w:w="2055" w:type="pct"/>
            <w:vAlign w:val="center"/>
          </w:tcPr>
          <w:p w14:paraId="2F1CBBF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napToGrid w:val="0"/>
                <w:color w:val="000000"/>
                <w:kern w:val="0"/>
                <w:sz w:val="21"/>
                <w:szCs w:val="21"/>
                <w:highlight w:val="none"/>
                <w:lang w:val="en-US" w:eastAsia="zh-CN" w:bidi="ar-SA"/>
              </w:rPr>
            </w:pPr>
            <w:r>
              <w:rPr>
                <w:rFonts w:hint="eastAsia" w:ascii="仿宋" w:hAnsi="仿宋" w:eastAsia="仿宋" w:cs="仿宋"/>
                <w:snapToGrid w:val="0"/>
                <w:color w:val="000000"/>
                <w:kern w:val="0"/>
                <w:sz w:val="21"/>
                <w:szCs w:val="21"/>
                <w:highlight w:val="none"/>
                <w:lang w:val="en-US" w:eastAsia="zh-CN" w:bidi="ar-SA"/>
              </w:rPr>
              <w:t>中标供应商向采购人提供履约担保：</w:t>
            </w:r>
          </w:p>
          <w:p w14:paraId="26EC29E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napToGrid w:val="0"/>
                <w:color w:val="000000"/>
                <w:kern w:val="0"/>
                <w:sz w:val="21"/>
                <w:szCs w:val="21"/>
                <w:highlight w:val="none"/>
                <w:lang w:val="en-US" w:eastAsia="zh-CN" w:bidi="ar-SA"/>
              </w:rPr>
            </w:pPr>
            <w:r>
              <w:rPr>
                <w:rFonts w:hint="eastAsia" w:ascii="仿宋" w:hAnsi="仿宋" w:eastAsia="仿宋" w:cs="仿宋"/>
                <w:snapToGrid w:val="0"/>
                <w:color w:val="000000"/>
                <w:kern w:val="0"/>
                <w:sz w:val="21"/>
                <w:szCs w:val="21"/>
                <w:lang w:val="en-US" w:eastAsia="zh-CN" w:bidi="ar-SA"/>
              </w:rPr>
              <w:t>1.</w:t>
            </w:r>
            <w:r>
              <w:rPr>
                <w:rFonts w:hint="eastAsia" w:ascii="仿宋" w:hAnsi="仿宋" w:eastAsia="仿宋" w:cs="仿宋"/>
                <w:snapToGrid w:val="0"/>
                <w:color w:val="000000"/>
                <w:kern w:val="0"/>
                <w:sz w:val="21"/>
                <w:szCs w:val="21"/>
                <w:highlight w:val="none"/>
                <w:lang w:val="en-US" w:eastAsia="zh-CN" w:bidi="ar-SA"/>
              </w:rPr>
              <w:t>担保方式为：供应商应当以</w:t>
            </w:r>
            <w:r>
              <w:rPr>
                <w:rFonts w:hint="eastAsia" w:ascii="仿宋" w:hAnsi="仿宋" w:eastAsia="仿宋" w:cs="仿宋"/>
                <w:snapToGrid w:val="0"/>
                <w:color w:val="000000"/>
                <w:kern w:val="0"/>
                <w:sz w:val="21"/>
                <w:szCs w:val="21"/>
                <w:highlight w:val="none"/>
                <w:lang w:val="en-US" w:eastAsia="zh" w:bidi="ar-SA"/>
                <w:woUserID w:val="1"/>
              </w:rPr>
              <w:t>银行转账、</w:t>
            </w:r>
            <w:r>
              <w:rPr>
                <w:rFonts w:hint="eastAsia" w:ascii="仿宋" w:hAnsi="仿宋" w:eastAsia="仿宋" w:cs="仿宋"/>
                <w:snapToGrid w:val="0"/>
                <w:color w:val="000000"/>
                <w:kern w:val="0"/>
                <w:sz w:val="21"/>
                <w:szCs w:val="21"/>
                <w:highlight w:val="none"/>
                <w:lang w:val="en-US" w:eastAsia="zh-CN" w:bidi="ar-SA"/>
              </w:rPr>
              <w:t>支票、汇票、本票或者金融机构、担保机构出具的保函等非现金形式提交；</w:t>
            </w:r>
          </w:p>
          <w:p w14:paraId="53E612F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napToGrid w:val="0"/>
                <w:color w:val="000000"/>
                <w:kern w:val="0"/>
                <w:sz w:val="21"/>
                <w:szCs w:val="21"/>
                <w:highlight w:val="none"/>
                <w:lang w:val="en-US" w:eastAsia="zh-CN" w:bidi="ar-SA"/>
              </w:rPr>
            </w:pPr>
            <w:r>
              <w:rPr>
                <w:rFonts w:hint="eastAsia" w:ascii="仿宋" w:hAnsi="仿宋" w:eastAsia="仿宋" w:cs="仿宋"/>
                <w:snapToGrid w:val="0"/>
                <w:color w:val="000000"/>
                <w:kern w:val="0"/>
                <w:sz w:val="21"/>
                <w:szCs w:val="21"/>
                <w:lang w:val="en-US" w:eastAsia="zh-CN" w:bidi="ar-SA"/>
              </w:rPr>
              <w:t>2.</w:t>
            </w:r>
            <w:r>
              <w:rPr>
                <w:rFonts w:hint="eastAsia" w:ascii="仿宋" w:hAnsi="仿宋" w:eastAsia="仿宋" w:cs="仿宋"/>
                <w:snapToGrid w:val="0"/>
                <w:color w:val="000000"/>
                <w:kern w:val="0"/>
                <w:sz w:val="21"/>
                <w:szCs w:val="21"/>
                <w:highlight w:val="none"/>
                <w:lang w:val="en-US" w:eastAsia="zh-CN" w:bidi="ar-SA"/>
              </w:rPr>
              <w:t>担保金额为合同价的5%；</w:t>
            </w:r>
          </w:p>
          <w:p w14:paraId="04EDE0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napToGrid w:val="0"/>
                <w:color w:val="000000"/>
                <w:kern w:val="0"/>
                <w:sz w:val="21"/>
                <w:szCs w:val="21"/>
                <w:highlight w:val="none"/>
                <w:lang w:val="en-US" w:eastAsia="zh-CN" w:bidi="ar-SA"/>
              </w:rPr>
            </w:pPr>
            <w:r>
              <w:rPr>
                <w:rFonts w:hint="eastAsia" w:ascii="仿宋" w:hAnsi="仿宋" w:eastAsia="仿宋" w:cs="仿宋"/>
                <w:snapToGrid w:val="0"/>
                <w:color w:val="000000"/>
                <w:kern w:val="0"/>
                <w:sz w:val="21"/>
                <w:szCs w:val="21"/>
                <w:lang w:val="en-US" w:eastAsia="zh-CN" w:bidi="ar-SA"/>
              </w:rPr>
              <w:t>3.</w:t>
            </w:r>
            <w:r>
              <w:rPr>
                <w:rFonts w:hint="eastAsia" w:ascii="仿宋" w:hAnsi="仿宋" w:eastAsia="仿宋" w:cs="仿宋"/>
                <w:snapToGrid w:val="0"/>
                <w:color w:val="000000"/>
                <w:kern w:val="0"/>
                <w:sz w:val="21"/>
                <w:szCs w:val="21"/>
                <w:highlight w:val="none"/>
                <w:lang w:val="en-US" w:eastAsia="zh-CN" w:bidi="ar-SA"/>
              </w:rPr>
              <w:t>递交和清退时间：供应商中标后合同签订前凭中标通知书向采购人提交履约担保手续，无违约、无扣款、无质量争议，竣工验收合格后10个工作日内退还；</w:t>
            </w:r>
          </w:p>
          <w:p w14:paraId="48F0142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napToGrid w:val="0"/>
                <w:color w:val="000000"/>
                <w:kern w:val="0"/>
                <w:sz w:val="21"/>
                <w:szCs w:val="21"/>
                <w:highlight w:val="none"/>
                <w:lang w:val="en-US" w:eastAsia="zh-CN" w:bidi="ar-SA"/>
              </w:rPr>
            </w:pPr>
            <w:r>
              <w:rPr>
                <w:rFonts w:hint="eastAsia" w:ascii="仿宋" w:hAnsi="仿宋" w:eastAsia="仿宋" w:cs="仿宋"/>
                <w:b w:val="0"/>
                <w:bCs w:val="0"/>
                <w:snapToGrid w:val="0"/>
                <w:color w:val="000000"/>
                <w:kern w:val="0"/>
                <w:sz w:val="21"/>
                <w:szCs w:val="21"/>
                <w:highlight w:val="none"/>
                <w:lang w:val="en-US" w:eastAsia="zh-CN" w:bidi="ar-SA"/>
              </w:rPr>
              <w:t>4.不予</w:t>
            </w:r>
            <w:r>
              <w:rPr>
                <w:rFonts w:hint="eastAsia" w:ascii="仿宋" w:hAnsi="仿宋" w:eastAsia="仿宋" w:cs="仿宋"/>
                <w:snapToGrid w:val="0"/>
                <w:color w:val="000000"/>
                <w:kern w:val="0"/>
                <w:sz w:val="21"/>
                <w:szCs w:val="21"/>
                <w:highlight w:val="none"/>
                <w:lang w:val="en-US" w:eastAsia="zh-CN" w:bidi="ar-SA"/>
              </w:rPr>
              <w:t>退还的情形：</w:t>
            </w:r>
          </w:p>
          <w:p w14:paraId="6D59DF1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（1）未按</w:t>
            </w:r>
            <w:r>
              <w:rPr>
                <w:rFonts w:hint="eastAsia" w:ascii="仿宋" w:hAnsi="仿宋" w:eastAsia="仿宋" w:cs="仿宋"/>
                <w:sz w:val="21"/>
                <w:szCs w:val="21"/>
                <w:lang w:eastAsia="zh-CN"/>
              </w:rPr>
              <w:t>采购人</w:t>
            </w:r>
            <w:r>
              <w:rPr>
                <w:rFonts w:hint="eastAsia" w:ascii="仿宋" w:hAnsi="仿宋" w:eastAsia="仿宋" w:cs="仿宋"/>
                <w:sz w:val="21"/>
                <w:szCs w:val="21"/>
              </w:rPr>
              <w:t>要求的</w:t>
            </w:r>
            <w:r>
              <w:rPr>
                <w:rFonts w:hint="eastAsia" w:ascii="仿宋" w:hAnsi="仿宋" w:eastAsia="仿宋" w:cs="仿宋"/>
                <w:sz w:val="21"/>
                <w:szCs w:val="21"/>
                <w:lang w:val="en-US" w:eastAsia="zh-CN"/>
              </w:rPr>
              <w:t>服务期限</w:t>
            </w:r>
            <w:r>
              <w:rPr>
                <w:rFonts w:hint="eastAsia" w:ascii="仿宋" w:hAnsi="仿宋" w:eastAsia="仿宋" w:cs="仿宋"/>
                <w:sz w:val="21"/>
                <w:szCs w:val="21"/>
              </w:rPr>
              <w:t>、</w:t>
            </w:r>
            <w:r>
              <w:rPr>
                <w:rFonts w:hint="eastAsia" w:ascii="仿宋" w:hAnsi="仿宋" w:eastAsia="仿宋" w:cs="仿宋"/>
                <w:sz w:val="21"/>
                <w:szCs w:val="21"/>
                <w:lang w:val="en-US" w:eastAsia="zh-CN"/>
              </w:rPr>
              <w:t>设计要求、</w:t>
            </w:r>
            <w:r>
              <w:rPr>
                <w:rFonts w:hint="eastAsia" w:ascii="仿宋" w:hAnsi="仿宋" w:eastAsia="仿宋" w:cs="仿宋"/>
                <w:sz w:val="21"/>
                <w:szCs w:val="21"/>
              </w:rPr>
              <w:t>施工要求完成任务的；</w:t>
            </w:r>
          </w:p>
          <w:p w14:paraId="0596C15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val="en-US" w:eastAsia="zh-CN"/>
              </w:rPr>
              <w:t>不配合采购人进行设计图修改和审核的</w:t>
            </w:r>
            <w:r>
              <w:rPr>
                <w:rFonts w:hint="eastAsia" w:ascii="仿宋" w:hAnsi="仿宋" w:eastAsia="仿宋" w:cs="仿宋"/>
                <w:sz w:val="21"/>
                <w:szCs w:val="21"/>
              </w:rPr>
              <w:t>；</w:t>
            </w:r>
          </w:p>
          <w:p w14:paraId="2030D09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（3）施工过程中出现安全事故</w:t>
            </w:r>
            <w:r>
              <w:rPr>
                <w:rFonts w:hint="eastAsia" w:ascii="仿宋" w:hAnsi="仿宋" w:eastAsia="仿宋" w:cs="仿宋"/>
                <w:sz w:val="21"/>
                <w:szCs w:val="21"/>
                <w:lang w:eastAsia="zh-CN"/>
              </w:rPr>
              <w:t>、</w:t>
            </w:r>
            <w:r>
              <w:rPr>
                <w:rFonts w:hint="eastAsia" w:ascii="仿宋" w:hAnsi="仿宋" w:eastAsia="仿宋" w:cs="仿宋"/>
                <w:sz w:val="21"/>
                <w:szCs w:val="21"/>
              </w:rPr>
              <w:t>污染环境的；</w:t>
            </w:r>
          </w:p>
          <w:p w14:paraId="704262E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（4）违反管理部门命令、规定和要求的；</w:t>
            </w:r>
          </w:p>
          <w:p w14:paraId="0224BAA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（5）施工中如果对各类地下天然气、水、电、暖等管、沟和架空缆线等管线，以及绿化等其他设施有损坏，且没维修合格到位的；</w:t>
            </w:r>
          </w:p>
          <w:p w14:paraId="7AFB510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（6）未能完全履行合同义务的；</w:t>
            </w:r>
          </w:p>
          <w:p w14:paraId="2B26B92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napToGrid w:val="0"/>
                <w:color w:val="000000"/>
                <w:kern w:val="0"/>
                <w:sz w:val="21"/>
                <w:szCs w:val="21"/>
                <w:highlight w:val="none"/>
                <w:lang w:val="en-US" w:eastAsia="zh-CN" w:bidi="ar-SA"/>
              </w:rPr>
              <w:t>（7）中标供应商存在转包、违法分包、严重违约、擅自终止合同、提供虚假材料等行为的；</w:t>
            </w:r>
          </w:p>
          <w:p w14:paraId="0168708F">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）情况严重的，</w:t>
            </w:r>
            <w:r>
              <w:rPr>
                <w:rFonts w:hint="eastAsia" w:ascii="仿宋" w:hAnsi="仿宋" w:eastAsia="仿宋" w:cs="仿宋"/>
                <w:sz w:val="21"/>
                <w:szCs w:val="21"/>
                <w:lang w:val="en-US" w:eastAsia="zh-CN"/>
              </w:rPr>
              <w:t>供应商</w:t>
            </w:r>
            <w:r>
              <w:rPr>
                <w:rFonts w:hint="eastAsia" w:ascii="仿宋" w:hAnsi="仿宋" w:eastAsia="仿宋" w:cs="仿宋"/>
                <w:sz w:val="21"/>
                <w:szCs w:val="21"/>
              </w:rPr>
              <w:t>承担违约责任，</w:t>
            </w:r>
            <w:r>
              <w:rPr>
                <w:rFonts w:hint="eastAsia" w:ascii="仿宋" w:hAnsi="仿宋" w:eastAsia="仿宋" w:cs="仿宋"/>
                <w:sz w:val="21"/>
                <w:szCs w:val="21"/>
                <w:lang w:val="en-US" w:eastAsia="zh-CN"/>
              </w:rPr>
              <w:t>采购人</w:t>
            </w:r>
            <w:r>
              <w:rPr>
                <w:rFonts w:hint="eastAsia" w:ascii="仿宋" w:hAnsi="仿宋" w:eastAsia="仿宋" w:cs="仿宋"/>
                <w:sz w:val="21"/>
                <w:szCs w:val="21"/>
              </w:rPr>
              <w:t>有权解除合同，并不退还履约保证金。</w:t>
            </w:r>
          </w:p>
        </w:tc>
        <w:tc>
          <w:tcPr>
            <w:tcW w:w="658" w:type="pct"/>
            <w:vAlign w:val="top"/>
          </w:tcPr>
          <w:p w14:paraId="530589AF">
            <w:pPr>
              <w:spacing w:line="360" w:lineRule="auto"/>
              <w:rPr>
                <w:rFonts w:hint="eastAsia" w:ascii="仿宋" w:hAnsi="仿宋" w:eastAsia="仿宋" w:cs="仿宋"/>
                <w:sz w:val="21"/>
                <w:szCs w:val="21"/>
              </w:rPr>
            </w:pPr>
          </w:p>
        </w:tc>
        <w:tc>
          <w:tcPr>
            <w:tcW w:w="531" w:type="pct"/>
            <w:vAlign w:val="top"/>
          </w:tcPr>
          <w:p w14:paraId="0D1688CE">
            <w:pPr>
              <w:spacing w:line="360" w:lineRule="auto"/>
              <w:rPr>
                <w:rFonts w:hint="eastAsia" w:ascii="仿宋" w:hAnsi="仿宋" w:eastAsia="仿宋" w:cs="仿宋"/>
                <w:sz w:val="21"/>
                <w:szCs w:val="21"/>
              </w:rPr>
            </w:pPr>
          </w:p>
        </w:tc>
        <w:tc>
          <w:tcPr>
            <w:tcW w:w="1133" w:type="pct"/>
            <w:vAlign w:val="top"/>
          </w:tcPr>
          <w:p w14:paraId="4982DC72">
            <w:pPr>
              <w:spacing w:line="360" w:lineRule="auto"/>
              <w:rPr>
                <w:rFonts w:hint="eastAsia" w:ascii="仿宋" w:hAnsi="仿宋" w:eastAsia="仿宋" w:cs="仿宋"/>
                <w:sz w:val="21"/>
                <w:szCs w:val="21"/>
              </w:rPr>
            </w:pPr>
          </w:p>
        </w:tc>
      </w:tr>
      <w:tr w14:paraId="23577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9" w:hRule="atLeast"/>
        </w:trPr>
        <w:tc>
          <w:tcPr>
            <w:tcW w:w="208" w:type="pct"/>
            <w:vAlign w:val="center"/>
          </w:tcPr>
          <w:p w14:paraId="1CBB3D9A">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5</w:t>
            </w:r>
          </w:p>
        </w:tc>
        <w:tc>
          <w:tcPr>
            <w:tcW w:w="412" w:type="pct"/>
            <w:vAlign w:val="center"/>
          </w:tcPr>
          <w:p w14:paraId="3CAD8463">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履约</w:t>
            </w:r>
            <w:r>
              <w:rPr>
                <w:rFonts w:hint="eastAsia" w:ascii="仿宋" w:hAnsi="仿宋" w:eastAsia="仿宋" w:cs="仿宋"/>
                <w:sz w:val="21"/>
                <w:szCs w:val="21"/>
                <w:lang w:val="zh-CN"/>
              </w:rPr>
              <w:t>验收</w:t>
            </w:r>
          </w:p>
        </w:tc>
        <w:tc>
          <w:tcPr>
            <w:tcW w:w="2055" w:type="pct"/>
            <w:vAlign w:val="center"/>
          </w:tcPr>
          <w:p w14:paraId="4C50A03E">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验收依据</w:t>
            </w:r>
            <w:r>
              <w:rPr>
                <w:rFonts w:hint="eastAsia" w:ascii="仿宋" w:hAnsi="仿宋" w:eastAsia="仿宋" w:cs="仿宋"/>
                <w:sz w:val="21"/>
                <w:szCs w:val="21"/>
                <w:lang w:eastAsia="zh-CN"/>
              </w:rPr>
              <w:t>：</w:t>
            </w:r>
            <w:r>
              <w:rPr>
                <w:rFonts w:hint="eastAsia" w:ascii="仿宋" w:hAnsi="仿宋" w:eastAsia="仿宋" w:cs="仿宋"/>
                <w:sz w:val="21"/>
                <w:szCs w:val="21"/>
              </w:rPr>
              <w:t>合同文本</w:t>
            </w:r>
            <w:r>
              <w:rPr>
                <w:rFonts w:hint="eastAsia" w:ascii="仿宋" w:hAnsi="仿宋" w:eastAsia="仿宋" w:cs="仿宋"/>
                <w:sz w:val="21"/>
                <w:szCs w:val="21"/>
                <w:lang w:eastAsia="zh-CN"/>
              </w:rPr>
              <w:t>、</w:t>
            </w:r>
            <w:r>
              <w:rPr>
                <w:rFonts w:hint="eastAsia" w:ascii="仿宋" w:hAnsi="仿宋" w:eastAsia="仿宋" w:cs="仿宋"/>
                <w:sz w:val="21"/>
                <w:szCs w:val="21"/>
              </w:rPr>
              <w:t>国家有关的验收标准及规范</w:t>
            </w:r>
            <w:r>
              <w:rPr>
                <w:rFonts w:hint="eastAsia" w:ascii="仿宋" w:hAnsi="仿宋" w:eastAsia="仿宋" w:cs="仿宋"/>
                <w:sz w:val="21"/>
                <w:szCs w:val="21"/>
                <w:lang w:eastAsia="zh-CN"/>
              </w:rPr>
              <w:t>、</w:t>
            </w:r>
            <w:r>
              <w:rPr>
                <w:rFonts w:hint="eastAsia" w:ascii="仿宋" w:hAnsi="仿宋" w:eastAsia="仿宋" w:cs="仿宋"/>
                <w:sz w:val="21"/>
                <w:szCs w:val="21"/>
              </w:rPr>
              <w:t>招标文件</w:t>
            </w:r>
            <w:r>
              <w:rPr>
                <w:rFonts w:hint="eastAsia" w:ascii="仿宋" w:hAnsi="仿宋" w:eastAsia="仿宋" w:cs="仿宋"/>
                <w:sz w:val="21"/>
                <w:szCs w:val="21"/>
                <w:lang w:eastAsia="zh-CN"/>
              </w:rPr>
              <w:t>、</w:t>
            </w:r>
            <w:r>
              <w:rPr>
                <w:rFonts w:hint="eastAsia" w:ascii="仿宋" w:hAnsi="仿宋" w:eastAsia="仿宋" w:cs="仿宋"/>
                <w:sz w:val="21"/>
                <w:szCs w:val="21"/>
              </w:rPr>
              <w:t>投标文件。</w:t>
            </w:r>
          </w:p>
          <w:p w14:paraId="6314EAB1">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2.设计内容的验收：依据国家要求及行业规范，</w:t>
            </w:r>
            <w:r>
              <w:rPr>
                <w:rFonts w:hint="eastAsia" w:ascii="仿宋" w:hAnsi="仿宋" w:eastAsia="仿宋" w:cs="仿宋"/>
                <w:sz w:val="21"/>
                <w:szCs w:val="21"/>
                <w:lang w:val="en-GB"/>
              </w:rPr>
              <w:t>通过</w:t>
            </w:r>
            <w:r>
              <w:rPr>
                <w:rFonts w:hint="eastAsia" w:ascii="仿宋" w:hAnsi="仿宋" w:eastAsia="仿宋" w:cs="仿宋"/>
                <w:sz w:val="21"/>
                <w:szCs w:val="21"/>
              </w:rPr>
              <w:t>采购人</w:t>
            </w:r>
            <w:r>
              <w:rPr>
                <w:rFonts w:hint="eastAsia" w:ascii="仿宋" w:hAnsi="仿宋" w:eastAsia="仿宋" w:cs="仿宋"/>
                <w:sz w:val="21"/>
                <w:szCs w:val="21"/>
                <w:lang w:val="en-GB"/>
              </w:rPr>
              <w:t>专题评审</w:t>
            </w:r>
            <w:r>
              <w:rPr>
                <w:rFonts w:hint="eastAsia" w:ascii="仿宋" w:hAnsi="仿宋" w:eastAsia="仿宋" w:cs="仿宋"/>
                <w:sz w:val="21"/>
                <w:szCs w:val="21"/>
                <w:lang w:val="en-US" w:eastAsia="zh-CN"/>
              </w:rPr>
              <w:t>，核查设计资料、合规性、图纸质量、概算及现场服务。按自检、审核、评审、整改流程执行，要求</w:t>
            </w:r>
            <w:r>
              <w:rPr>
                <w:rFonts w:hint="eastAsia" w:ascii="仿宋" w:hAnsi="仿宋" w:eastAsia="仿宋" w:cs="仿宋"/>
                <w:sz w:val="21"/>
                <w:szCs w:val="21"/>
              </w:rPr>
              <w:t>满足国家及地方相应现行规范要求</w:t>
            </w:r>
            <w:r>
              <w:rPr>
                <w:rFonts w:hint="eastAsia" w:ascii="仿宋" w:hAnsi="仿宋" w:eastAsia="仿宋" w:cs="仿宋"/>
                <w:sz w:val="21"/>
                <w:szCs w:val="21"/>
                <w:lang w:val="en-US" w:eastAsia="zh-CN"/>
              </w:rPr>
              <w:t>，验收结果作为进度款支付及下一阶段推进依据。</w:t>
            </w:r>
          </w:p>
          <w:p w14:paraId="2E425C9A">
            <w:pPr>
              <w:adjustRightInd w:val="0"/>
              <w:snapToGrid w:val="0"/>
              <w:spacing w:line="360" w:lineRule="auto"/>
              <w:rPr>
                <w:rFonts w:hint="eastAsia" w:ascii="仿宋" w:hAnsi="仿宋" w:eastAsia="仿宋" w:cs="仿宋"/>
                <w:sz w:val="21"/>
                <w:szCs w:val="21"/>
              </w:rPr>
            </w:pPr>
            <w:r>
              <w:rPr>
                <w:rFonts w:hint="eastAsia" w:ascii="仿宋" w:hAnsi="仿宋" w:eastAsia="仿宋" w:cs="仿宋"/>
                <w:sz w:val="21"/>
                <w:szCs w:val="21"/>
                <w:lang w:val="en-US" w:eastAsia="zh-CN"/>
              </w:rPr>
              <w:t>3.施工内容验收：</w:t>
            </w:r>
            <w:r>
              <w:rPr>
                <w:rFonts w:hint="eastAsia" w:ascii="仿宋" w:hAnsi="仿宋" w:eastAsia="仿宋" w:cs="仿宋"/>
                <w:sz w:val="21"/>
                <w:szCs w:val="21"/>
              </w:rPr>
              <w:t>全部工程完工，</w:t>
            </w:r>
            <w:r>
              <w:rPr>
                <w:rFonts w:hint="eastAsia" w:ascii="仿宋" w:hAnsi="仿宋" w:eastAsia="仿宋" w:cs="仿宋"/>
                <w:sz w:val="21"/>
                <w:szCs w:val="21"/>
                <w:lang w:val="en-US" w:eastAsia="zh-CN"/>
              </w:rPr>
              <w:t>供应商</w:t>
            </w:r>
            <w:bookmarkStart w:id="4" w:name="_GoBack"/>
            <w:bookmarkEnd w:id="4"/>
            <w:r>
              <w:rPr>
                <w:rFonts w:hint="eastAsia" w:ascii="仿宋" w:hAnsi="仿宋" w:eastAsia="仿宋" w:cs="仿宋"/>
                <w:sz w:val="21"/>
                <w:szCs w:val="21"/>
              </w:rPr>
              <w:t>将施工垃圾、障碍物全部平整清除后，经</w:t>
            </w:r>
            <w:r>
              <w:rPr>
                <w:rFonts w:hint="eastAsia" w:ascii="仿宋" w:hAnsi="仿宋" w:eastAsia="仿宋" w:cs="仿宋"/>
                <w:sz w:val="21"/>
                <w:szCs w:val="21"/>
                <w:lang w:val="en-US" w:eastAsia="zh-CN"/>
              </w:rPr>
              <w:t>采购人</w:t>
            </w:r>
            <w:r>
              <w:rPr>
                <w:rFonts w:hint="eastAsia" w:ascii="仿宋" w:hAnsi="仿宋" w:eastAsia="仿宋" w:cs="仿宋"/>
                <w:sz w:val="21"/>
                <w:szCs w:val="21"/>
              </w:rPr>
              <w:t>组织相关人员验收合格后，该项目方可交工验收。交付竣工验收的工程，必须符合国家现行《建筑工程施工质量验收统一标准》合格标准，有完整的工程技术经济资料和经签署的</w:t>
            </w:r>
            <w:r>
              <w:rPr>
                <w:rFonts w:hint="eastAsia" w:ascii="仿宋" w:hAnsi="仿宋" w:eastAsia="仿宋" w:cs="仿宋"/>
                <w:sz w:val="21"/>
                <w:szCs w:val="21"/>
                <w:lang w:eastAsia="zh-CN"/>
              </w:rPr>
              <w:t>工程质量保修书</w:t>
            </w:r>
            <w:r>
              <w:rPr>
                <w:rFonts w:hint="eastAsia" w:ascii="仿宋" w:hAnsi="仿宋" w:eastAsia="仿宋" w:cs="仿宋"/>
                <w:sz w:val="21"/>
                <w:szCs w:val="21"/>
              </w:rPr>
              <w:t>，并具备国家规定的其他竣工条件。</w:t>
            </w:r>
          </w:p>
          <w:p w14:paraId="025F2307">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4.空气质量验收：检测结果须符合《室内空气质量标准》GB/T18883-2022标准。若约定治理项目达不到治理目标，采购人有权要求继续治理，直至达到治理目标。</w:t>
            </w:r>
          </w:p>
          <w:p w14:paraId="2C2BD460">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rPr>
              <w:t>验收结果合格的，采购人应向中标供应商出具履约验收</w:t>
            </w:r>
            <w:r>
              <w:rPr>
                <w:rFonts w:hint="eastAsia" w:ascii="仿宋" w:hAnsi="仿宋" w:eastAsia="仿宋" w:cs="仿宋"/>
                <w:sz w:val="21"/>
                <w:szCs w:val="21"/>
                <w:lang w:val="en-US" w:eastAsia="zh-CN"/>
              </w:rPr>
              <w:t>凭证</w:t>
            </w:r>
            <w:r>
              <w:rPr>
                <w:rFonts w:hint="eastAsia" w:ascii="仿宋" w:hAnsi="仿宋" w:eastAsia="仿宋" w:cs="仿宋"/>
                <w:sz w:val="21"/>
                <w:szCs w:val="21"/>
              </w:rPr>
              <w:t>，中标供应商凭验收</w:t>
            </w:r>
            <w:r>
              <w:rPr>
                <w:rFonts w:hint="eastAsia" w:ascii="仿宋" w:hAnsi="仿宋" w:eastAsia="仿宋" w:cs="仿宋"/>
                <w:sz w:val="21"/>
                <w:szCs w:val="21"/>
                <w:lang w:val="en-US" w:eastAsia="zh-CN"/>
              </w:rPr>
              <w:t>凭证</w:t>
            </w:r>
            <w:r>
              <w:rPr>
                <w:rFonts w:hint="eastAsia" w:ascii="仿宋" w:hAnsi="仿宋" w:eastAsia="仿宋" w:cs="仿宋"/>
                <w:sz w:val="21"/>
                <w:szCs w:val="21"/>
              </w:rPr>
              <w:t>办理相关手续。</w:t>
            </w:r>
          </w:p>
          <w:p w14:paraId="1F45ED86">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验收结果不合格的，给采购人造成的损失超过</w:t>
            </w:r>
            <w:r>
              <w:rPr>
                <w:rFonts w:hint="eastAsia" w:ascii="仿宋" w:hAnsi="仿宋" w:eastAsia="仿宋" w:cs="仿宋"/>
                <w:sz w:val="21"/>
                <w:szCs w:val="21"/>
                <w:lang w:val="en-US" w:eastAsia="zh-CN"/>
              </w:rPr>
              <w:t>履约</w:t>
            </w:r>
            <w:r>
              <w:rPr>
                <w:rFonts w:hint="eastAsia" w:ascii="仿宋" w:hAnsi="仿宋" w:eastAsia="仿宋" w:cs="仿宋"/>
                <w:sz w:val="21"/>
                <w:szCs w:val="21"/>
              </w:rPr>
              <w:t>保证金数额的，还应当对超过部分予以赔偿；没有</w:t>
            </w:r>
            <w:r>
              <w:rPr>
                <w:rFonts w:hint="eastAsia" w:ascii="仿宋" w:hAnsi="仿宋" w:eastAsia="仿宋" w:cs="仿宋"/>
                <w:sz w:val="21"/>
                <w:szCs w:val="21"/>
                <w:lang w:val="en-US" w:eastAsia="zh-CN"/>
              </w:rPr>
              <w:t>履约</w:t>
            </w:r>
            <w:r>
              <w:rPr>
                <w:rFonts w:hint="eastAsia" w:ascii="仿宋" w:hAnsi="仿宋" w:eastAsia="仿宋" w:cs="仿宋"/>
                <w:sz w:val="21"/>
                <w:szCs w:val="21"/>
              </w:rPr>
              <w:t>保证金的，应当对采购人的损失承担赔偿责任。</w:t>
            </w:r>
          </w:p>
        </w:tc>
        <w:tc>
          <w:tcPr>
            <w:tcW w:w="658" w:type="pct"/>
            <w:vAlign w:val="top"/>
          </w:tcPr>
          <w:p w14:paraId="05E7BF35">
            <w:pPr>
              <w:spacing w:line="360" w:lineRule="auto"/>
              <w:rPr>
                <w:rFonts w:hint="eastAsia" w:ascii="仿宋" w:hAnsi="仿宋" w:eastAsia="仿宋" w:cs="仿宋"/>
                <w:sz w:val="21"/>
                <w:szCs w:val="21"/>
              </w:rPr>
            </w:pPr>
          </w:p>
        </w:tc>
        <w:tc>
          <w:tcPr>
            <w:tcW w:w="531" w:type="pct"/>
            <w:vAlign w:val="top"/>
          </w:tcPr>
          <w:p w14:paraId="502FBD83">
            <w:pPr>
              <w:spacing w:line="360" w:lineRule="auto"/>
              <w:rPr>
                <w:rFonts w:hint="eastAsia" w:ascii="仿宋" w:hAnsi="仿宋" w:eastAsia="仿宋" w:cs="仿宋"/>
                <w:sz w:val="21"/>
                <w:szCs w:val="21"/>
              </w:rPr>
            </w:pPr>
          </w:p>
        </w:tc>
        <w:tc>
          <w:tcPr>
            <w:tcW w:w="1133" w:type="pct"/>
            <w:vAlign w:val="top"/>
          </w:tcPr>
          <w:p w14:paraId="077C4C62">
            <w:pPr>
              <w:spacing w:line="360" w:lineRule="auto"/>
              <w:rPr>
                <w:rFonts w:hint="eastAsia" w:ascii="仿宋" w:hAnsi="仿宋" w:eastAsia="仿宋" w:cs="仿宋"/>
                <w:sz w:val="21"/>
                <w:szCs w:val="21"/>
              </w:rPr>
            </w:pPr>
          </w:p>
        </w:tc>
      </w:tr>
      <w:tr w14:paraId="622D6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08" w:type="pct"/>
            <w:vAlign w:val="center"/>
          </w:tcPr>
          <w:p w14:paraId="7759F9F0">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6</w:t>
            </w:r>
          </w:p>
        </w:tc>
        <w:tc>
          <w:tcPr>
            <w:tcW w:w="412" w:type="pct"/>
            <w:vAlign w:val="center"/>
          </w:tcPr>
          <w:p w14:paraId="0F378806">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zh-CN" w:eastAsia="zh-CN"/>
              </w:rPr>
              <w:t>质保期</w:t>
            </w:r>
          </w:p>
        </w:tc>
        <w:tc>
          <w:tcPr>
            <w:tcW w:w="2055" w:type="pct"/>
            <w:vAlign w:val="center"/>
          </w:tcPr>
          <w:p w14:paraId="24BEC6A1">
            <w:pPr>
              <w:pStyle w:val="7"/>
              <w:keepNext w:val="0"/>
              <w:keepLines w:val="0"/>
              <w:pageBreakBefore w:val="0"/>
              <w:wordWrap w:val="0"/>
              <w:overflowPunct/>
              <w:topLinePunct w:val="0"/>
              <w:autoSpaceDE w:val="0"/>
              <w:autoSpaceDN w:val="0"/>
              <w:bidi w:val="0"/>
              <w:adjustRightInd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两年，自工程竣工验收合格之日起计算。</w:t>
            </w:r>
          </w:p>
        </w:tc>
        <w:tc>
          <w:tcPr>
            <w:tcW w:w="658" w:type="pct"/>
            <w:vAlign w:val="top"/>
          </w:tcPr>
          <w:p w14:paraId="5BA0ADC8">
            <w:pPr>
              <w:spacing w:line="360" w:lineRule="auto"/>
              <w:rPr>
                <w:rFonts w:hint="eastAsia" w:ascii="仿宋" w:hAnsi="仿宋" w:eastAsia="仿宋" w:cs="仿宋"/>
                <w:sz w:val="21"/>
                <w:szCs w:val="21"/>
              </w:rPr>
            </w:pPr>
          </w:p>
        </w:tc>
        <w:tc>
          <w:tcPr>
            <w:tcW w:w="531" w:type="pct"/>
            <w:vAlign w:val="top"/>
          </w:tcPr>
          <w:p w14:paraId="5114D775">
            <w:pPr>
              <w:spacing w:line="360" w:lineRule="auto"/>
              <w:rPr>
                <w:rFonts w:hint="eastAsia" w:ascii="仿宋" w:hAnsi="仿宋" w:eastAsia="仿宋" w:cs="仿宋"/>
                <w:sz w:val="21"/>
                <w:szCs w:val="21"/>
              </w:rPr>
            </w:pPr>
          </w:p>
        </w:tc>
        <w:tc>
          <w:tcPr>
            <w:tcW w:w="1133" w:type="pct"/>
            <w:vAlign w:val="top"/>
          </w:tcPr>
          <w:p w14:paraId="13D6E300">
            <w:pPr>
              <w:spacing w:line="360" w:lineRule="auto"/>
              <w:rPr>
                <w:rFonts w:hint="eastAsia" w:ascii="仿宋" w:hAnsi="仿宋" w:eastAsia="仿宋" w:cs="仿宋"/>
                <w:sz w:val="21"/>
                <w:szCs w:val="21"/>
              </w:rPr>
            </w:pPr>
          </w:p>
        </w:tc>
      </w:tr>
      <w:tr w14:paraId="62A33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9" w:hRule="atLeast"/>
        </w:trPr>
        <w:tc>
          <w:tcPr>
            <w:tcW w:w="208" w:type="pct"/>
            <w:vAlign w:val="center"/>
          </w:tcPr>
          <w:p w14:paraId="6E995A49">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7</w:t>
            </w:r>
          </w:p>
        </w:tc>
        <w:tc>
          <w:tcPr>
            <w:tcW w:w="412" w:type="pct"/>
            <w:vAlign w:val="center"/>
          </w:tcPr>
          <w:p w14:paraId="2F013D6E">
            <w:pPr>
              <w:spacing w:line="360" w:lineRule="auto"/>
              <w:jc w:val="center"/>
              <w:rPr>
                <w:rFonts w:hint="eastAsia" w:ascii="仿宋" w:hAnsi="仿宋" w:eastAsia="仿宋" w:cs="仿宋"/>
                <w:sz w:val="21"/>
                <w:szCs w:val="21"/>
                <w:lang w:val="zh-CN" w:eastAsia="zh-CN"/>
              </w:rPr>
            </w:pPr>
            <w:r>
              <w:rPr>
                <w:rFonts w:hint="eastAsia" w:ascii="仿宋" w:hAnsi="仿宋" w:eastAsia="仿宋" w:cs="仿宋"/>
                <w:bCs/>
                <w:sz w:val="21"/>
                <w:szCs w:val="21"/>
              </w:rPr>
              <w:t>保密要求</w:t>
            </w:r>
          </w:p>
        </w:tc>
        <w:tc>
          <w:tcPr>
            <w:tcW w:w="2055" w:type="pct"/>
            <w:vAlign w:val="center"/>
          </w:tcPr>
          <w:p w14:paraId="66A02808">
            <w:pPr>
              <w:keepNext w:val="0"/>
              <w:keepLines w:val="0"/>
              <w:pageBreakBefore w:val="0"/>
              <w:widowControl/>
              <w:tabs>
                <w:tab w:val="left" w:pos="0"/>
              </w:tabs>
              <w:overflowPunct/>
              <w:topLinePunct w:val="0"/>
              <w:bidi w:val="0"/>
              <w:spacing w:line="360" w:lineRule="auto"/>
              <w:ind w:firstLine="0" w:firstLineChars="0"/>
              <w:jc w:val="both"/>
              <w:rPr>
                <w:rFonts w:hint="eastAsia" w:ascii="仿宋" w:hAnsi="仿宋" w:eastAsia="仿宋" w:cs="仿宋"/>
                <w:sz w:val="21"/>
                <w:szCs w:val="21"/>
              </w:rPr>
            </w:pPr>
            <w:r>
              <w:rPr>
                <w:rFonts w:hint="eastAsia" w:ascii="仿宋" w:hAnsi="仿宋" w:eastAsia="仿宋" w:cs="仿宋"/>
                <w:bCs/>
                <w:sz w:val="21"/>
                <w:szCs w:val="21"/>
              </w:rPr>
              <w:t>在项目开始</w:t>
            </w:r>
            <w:r>
              <w:rPr>
                <w:rFonts w:hint="eastAsia" w:ascii="仿宋" w:hAnsi="仿宋" w:eastAsia="仿宋" w:cs="仿宋"/>
                <w:bCs/>
                <w:sz w:val="21"/>
                <w:szCs w:val="21"/>
                <w:lang w:val="en-US" w:eastAsia="zh-CN"/>
              </w:rPr>
              <w:t>前，</w:t>
            </w:r>
            <w:r>
              <w:rPr>
                <w:rFonts w:hint="eastAsia" w:ascii="仿宋" w:hAnsi="仿宋" w:eastAsia="仿宋" w:cs="仿宋"/>
                <w:bCs/>
                <w:sz w:val="21"/>
                <w:szCs w:val="21"/>
                <w:lang w:eastAsia="zh"/>
                <w:woUserID w:val="2"/>
              </w:rPr>
              <w:t>中标</w:t>
            </w:r>
            <w:r>
              <w:rPr>
                <w:rFonts w:hint="eastAsia" w:ascii="仿宋" w:hAnsi="仿宋" w:eastAsia="仿宋" w:cs="仿宋"/>
                <w:bCs/>
                <w:sz w:val="21"/>
                <w:szCs w:val="21"/>
                <w:lang w:eastAsia="zh-CN"/>
              </w:rPr>
              <w:t>供应商</w:t>
            </w:r>
            <w:r>
              <w:rPr>
                <w:rFonts w:hint="eastAsia" w:ascii="仿宋" w:hAnsi="仿宋" w:eastAsia="仿宋" w:cs="仿宋"/>
                <w:bCs/>
                <w:sz w:val="21"/>
                <w:szCs w:val="21"/>
              </w:rPr>
              <w:t>及其为本项目配备的服务人员须与采购人签订保密协议，严格遵守法律法规，对相关敏感、系统风险信息、项目实施内容及成果信息进行严格保密。未经同意，严禁将采购人提供的与本项目有关的任何文档、资料向任何第三方透露或用于其他商业用途，并承担由此产生的一切损失。</w:t>
            </w:r>
          </w:p>
        </w:tc>
        <w:tc>
          <w:tcPr>
            <w:tcW w:w="658" w:type="pct"/>
            <w:vAlign w:val="top"/>
          </w:tcPr>
          <w:p w14:paraId="76133730">
            <w:pPr>
              <w:spacing w:line="360" w:lineRule="auto"/>
              <w:rPr>
                <w:rFonts w:hint="eastAsia" w:ascii="仿宋" w:hAnsi="仿宋" w:eastAsia="仿宋" w:cs="仿宋"/>
                <w:sz w:val="21"/>
                <w:szCs w:val="21"/>
              </w:rPr>
            </w:pPr>
          </w:p>
        </w:tc>
        <w:tc>
          <w:tcPr>
            <w:tcW w:w="531" w:type="pct"/>
            <w:vAlign w:val="top"/>
          </w:tcPr>
          <w:p w14:paraId="579D665C">
            <w:pPr>
              <w:spacing w:line="360" w:lineRule="auto"/>
              <w:rPr>
                <w:rFonts w:hint="eastAsia" w:ascii="仿宋" w:hAnsi="仿宋" w:eastAsia="仿宋" w:cs="仿宋"/>
                <w:sz w:val="21"/>
                <w:szCs w:val="21"/>
              </w:rPr>
            </w:pPr>
          </w:p>
        </w:tc>
        <w:tc>
          <w:tcPr>
            <w:tcW w:w="1133" w:type="pct"/>
            <w:vAlign w:val="top"/>
          </w:tcPr>
          <w:p w14:paraId="0B82BCE4">
            <w:pPr>
              <w:spacing w:line="360" w:lineRule="auto"/>
              <w:rPr>
                <w:rFonts w:hint="eastAsia" w:ascii="仿宋" w:hAnsi="仿宋" w:eastAsia="仿宋" w:cs="仿宋"/>
                <w:sz w:val="21"/>
                <w:szCs w:val="21"/>
              </w:rPr>
            </w:pPr>
          </w:p>
        </w:tc>
      </w:tr>
      <w:tr w14:paraId="20E99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08" w:type="pct"/>
            <w:vAlign w:val="center"/>
          </w:tcPr>
          <w:p w14:paraId="3D12161E">
            <w:pPr>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412" w:type="pct"/>
            <w:vAlign w:val="center"/>
          </w:tcPr>
          <w:p w14:paraId="268E282A">
            <w:pPr>
              <w:spacing w:line="360" w:lineRule="auto"/>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权利与义务</w:t>
            </w:r>
          </w:p>
        </w:tc>
        <w:tc>
          <w:tcPr>
            <w:tcW w:w="2055" w:type="pct"/>
            <w:vAlign w:val="center"/>
          </w:tcPr>
          <w:p w14:paraId="0CAD6C4D">
            <w:pPr>
              <w:spacing w:line="360" w:lineRule="auto"/>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详见合同文本</w:t>
            </w:r>
          </w:p>
        </w:tc>
        <w:tc>
          <w:tcPr>
            <w:tcW w:w="658" w:type="pct"/>
            <w:vAlign w:val="top"/>
          </w:tcPr>
          <w:p w14:paraId="67D512C5">
            <w:pPr>
              <w:spacing w:line="360" w:lineRule="auto"/>
              <w:rPr>
                <w:rFonts w:hint="eastAsia" w:ascii="仿宋" w:hAnsi="仿宋" w:eastAsia="仿宋" w:cs="仿宋"/>
                <w:sz w:val="21"/>
                <w:szCs w:val="21"/>
              </w:rPr>
            </w:pPr>
          </w:p>
        </w:tc>
        <w:tc>
          <w:tcPr>
            <w:tcW w:w="531" w:type="pct"/>
            <w:vAlign w:val="top"/>
          </w:tcPr>
          <w:p w14:paraId="320D94D2">
            <w:pPr>
              <w:spacing w:line="360" w:lineRule="auto"/>
              <w:rPr>
                <w:rFonts w:hint="eastAsia" w:ascii="仿宋" w:hAnsi="仿宋" w:eastAsia="仿宋" w:cs="仿宋"/>
                <w:sz w:val="21"/>
                <w:szCs w:val="21"/>
              </w:rPr>
            </w:pPr>
          </w:p>
        </w:tc>
        <w:tc>
          <w:tcPr>
            <w:tcW w:w="1133" w:type="pct"/>
            <w:vAlign w:val="top"/>
          </w:tcPr>
          <w:p w14:paraId="557886DB">
            <w:pPr>
              <w:spacing w:line="360" w:lineRule="auto"/>
              <w:rPr>
                <w:rFonts w:hint="eastAsia" w:ascii="仿宋" w:hAnsi="仿宋" w:eastAsia="仿宋" w:cs="仿宋"/>
                <w:sz w:val="21"/>
                <w:szCs w:val="21"/>
              </w:rPr>
            </w:pPr>
          </w:p>
        </w:tc>
      </w:tr>
      <w:tr w14:paraId="329E5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208" w:type="pct"/>
            <w:vAlign w:val="center"/>
          </w:tcPr>
          <w:p w14:paraId="59BABC2D">
            <w:pPr>
              <w:spacing w:line="36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412" w:type="pct"/>
            <w:vAlign w:val="center"/>
          </w:tcPr>
          <w:p w14:paraId="6B3F6950">
            <w:pPr>
              <w:spacing w:line="360" w:lineRule="auto"/>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w:t>
            </w:r>
          </w:p>
        </w:tc>
        <w:tc>
          <w:tcPr>
            <w:tcW w:w="2055" w:type="pct"/>
            <w:vAlign w:val="top"/>
          </w:tcPr>
          <w:p w14:paraId="1E5B3033">
            <w:pPr>
              <w:spacing w:line="360" w:lineRule="auto"/>
              <w:rPr>
                <w:rFonts w:hint="eastAsia" w:ascii="仿宋" w:hAnsi="仿宋" w:eastAsia="仿宋" w:cs="仿宋"/>
                <w:sz w:val="21"/>
                <w:szCs w:val="21"/>
              </w:rPr>
            </w:pPr>
          </w:p>
        </w:tc>
        <w:tc>
          <w:tcPr>
            <w:tcW w:w="658" w:type="pct"/>
            <w:vAlign w:val="top"/>
          </w:tcPr>
          <w:p w14:paraId="3A20E6F6">
            <w:pPr>
              <w:spacing w:line="360" w:lineRule="auto"/>
              <w:rPr>
                <w:rFonts w:hint="eastAsia" w:ascii="仿宋" w:hAnsi="仿宋" w:eastAsia="仿宋" w:cs="仿宋"/>
                <w:sz w:val="21"/>
                <w:szCs w:val="21"/>
              </w:rPr>
            </w:pPr>
          </w:p>
        </w:tc>
        <w:tc>
          <w:tcPr>
            <w:tcW w:w="531" w:type="pct"/>
            <w:vAlign w:val="top"/>
          </w:tcPr>
          <w:p w14:paraId="1F3106BC">
            <w:pPr>
              <w:spacing w:line="360" w:lineRule="auto"/>
              <w:rPr>
                <w:rFonts w:hint="eastAsia" w:ascii="仿宋" w:hAnsi="仿宋" w:eastAsia="仿宋" w:cs="仿宋"/>
                <w:sz w:val="21"/>
                <w:szCs w:val="21"/>
              </w:rPr>
            </w:pPr>
          </w:p>
        </w:tc>
        <w:tc>
          <w:tcPr>
            <w:tcW w:w="1133" w:type="pct"/>
            <w:vAlign w:val="top"/>
          </w:tcPr>
          <w:p w14:paraId="03B676CE">
            <w:pPr>
              <w:spacing w:line="360" w:lineRule="auto"/>
              <w:rPr>
                <w:rFonts w:hint="eastAsia" w:ascii="仿宋" w:hAnsi="仿宋" w:eastAsia="仿宋" w:cs="仿宋"/>
                <w:sz w:val="21"/>
                <w:szCs w:val="21"/>
              </w:rPr>
            </w:pPr>
          </w:p>
        </w:tc>
      </w:tr>
    </w:tbl>
    <w:p w14:paraId="7863202A">
      <w:pPr>
        <w:spacing w:line="360" w:lineRule="auto"/>
        <w:rPr>
          <w:rFonts w:hint="eastAsia" w:ascii="仿宋" w:hAnsi="仿宋" w:eastAsia="仿宋" w:cs="仿宋"/>
          <w:sz w:val="24"/>
          <w:szCs w:val="24"/>
        </w:rPr>
      </w:pPr>
    </w:p>
    <w:p w14:paraId="3A3719A8">
      <w:pPr>
        <w:pStyle w:val="2"/>
        <w:tabs>
          <w:tab w:val="left" w:pos="2520"/>
        </w:tabs>
        <w:spacing w:before="79" w:line="360" w:lineRule="auto"/>
        <w:ind w:left="2594" w:leftChars="0" w:firstLine="5185" w:firstLineChars="2542"/>
        <w:rPr>
          <w:rFonts w:hint="eastAsia" w:ascii="仿宋" w:hAnsi="仿宋" w:eastAsia="仿宋" w:cs="仿宋"/>
          <w:sz w:val="24"/>
          <w:szCs w:val="24"/>
        </w:rPr>
      </w:pPr>
      <w:r>
        <w:rPr>
          <w:rFonts w:hint="eastAsia" w:ascii="仿宋" w:hAnsi="仿宋" w:eastAsia="仿宋" w:cs="仿宋"/>
          <w:spacing w:val="-18"/>
          <w:sz w:val="24"/>
          <w:szCs w:val="24"/>
        </w:rPr>
        <w:t>供应商（盖章</w:t>
      </w:r>
      <w:r>
        <w:rPr>
          <w:rFonts w:hint="eastAsia" w:ascii="仿宋" w:hAnsi="仿宋" w:eastAsia="仿宋" w:cs="仿宋"/>
          <w:spacing w:val="-34"/>
          <w:sz w:val="24"/>
          <w:szCs w:val="24"/>
        </w:rPr>
        <w:t>）：</w:t>
      </w:r>
      <w:r>
        <w:rPr>
          <w:rFonts w:hint="eastAsia" w:ascii="仿宋" w:hAnsi="仿宋" w:eastAsia="仿宋" w:cs="仿宋"/>
          <w:spacing w:val="-72"/>
          <w:sz w:val="24"/>
          <w:szCs w:val="24"/>
        </w:rPr>
        <w:t xml:space="preserve"> </w:t>
      </w:r>
      <w:r>
        <w:rPr>
          <w:rFonts w:hint="eastAsia" w:ascii="仿宋" w:hAnsi="仿宋" w:eastAsia="仿宋" w:cs="仿宋"/>
          <w:sz w:val="24"/>
          <w:szCs w:val="24"/>
          <w:u w:val="single" w:color="auto"/>
        </w:rPr>
        <w:t xml:space="preserve">                                 </w:t>
      </w:r>
    </w:p>
    <w:p w14:paraId="30E08590">
      <w:pPr>
        <w:pStyle w:val="2"/>
        <w:tabs>
          <w:tab w:val="left" w:pos="2520"/>
        </w:tabs>
        <w:spacing w:before="78" w:line="360" w:lineRule="auto"/>
        <w:ind w:left="2643" w:leftChars="0" w:firstLine="5115" w:firstLineChars="2610"/>
        <w:rPr>
          <w:rFonts w:hint="eastAsia" w:ascii="仿宋" w:hAnsi="仿宋" w:eastAsia="仿宋" w:cs="仿宋"/>
          <w:spacing w:val="-1"/>
          <w:sz w:val="24"/>
          <w:szCs w:val="24"/>
        </w:rPr>
      </w:pPr>
      <w:r>
        <w:rPr>
          <w:rFonts w:hint="eastAsia" w:ascii="仿宋" w:hAnsi="仿宋" w:eastAsia="仿宋" w:cs="仿宋"/>
          <w:spacing w:val="-22"/>
          <w:sz w:val="24"/>
          <w:szCs w:val="24"/>
        </w:rPr>
        <w:t xml:space="preserve">日      </w:t>
      </w:r>
      <w:r>
        <w:rPr>
          <w:rFonts w:hint="eastAsia" w:ascii="仿宋" w:hAnsi="仿宋" w:eastAsia="仿宋" w:cs="仿宋"/>
          <w:spacing w:val="-22"/>
          <w:sz w:val="24"/>
          <w:szCs w:val="24"/>
          <w:lang w:val="en-US" w:eastAsia="zh-CN"/>
        </w:rPr>
        <w:t xml:space="preserve">  </w:t>
      </w:r>
      <w:r>
        <w:rPr>
          <w:rFonts w:hint="eastAsia" w:ascii="仿宋" w:hAnsi="仿宋" w:eastAsia="仿宋" w:cs="仿宋"/>
          <w:spacing w:val="-22"/>
          <w:sz w:val="24"/>
          <w:szCs w:val="24"/>
        </w:rPr>
        <w:t xml:space="preserve">   期：</w:t>
      </w:r>
      <w:r>
        <w:rPr>
          <w:rFonts w:hint="eastAsia" w:ascii="仿宋" w:hAnsi="仿宋" w:eastAsia="仿宋" w:cs="仿宋"/>
          <w:spacing w:val="-73"/>
          <w:sz w:val="24"/>
          <w:szCs w:val="24"/>
        </w:rPr>
        <w:t xml:space="preserve"> </w:t>
      </w:r>
      <w:r>
        <w:rPr>
          <w:rFonts w:hint="eastAsia" w:ascii="仿宋" w:hAnsi="仿宋" w:eastAsia="仿宋" w:cs="仿宋"/>
          <w:sz w:val="24"/>
          <w:szCs w:val="24"/>
          <w:u w:val="single" w:color="auto"/>
        </w:rPr>
        <w:t xml:space="preserve">                                 </w:t>
      </w:r>
    </w:p>
    <w:p w14:paraId="6017BDF5">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注：</w:t>
      </w:r>
    </w:p>
    <w:p w14:paraId="04CFF5DC">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供应商根据本</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文件的供应商须知</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第三章商务要求、</w:t>
      </w:r>
      <w:r>
        <w:rPr>
          <w:rFonts w:hint="eastAsia" w:ascii="仿宋" w:hAnsi="仿宋" w:eastAsia="仿宋" w:cs="仿宋"/>
          <w:spacing w:val="-1"/>
          <w:sz w:val="24"/>
          <w:szCs w:val="24"/>
        </w:rPr>
        <w:t>合同条款填写本表</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需响应内容若为“</w:t>
      </w:r>
      <w:r>
        <w:rPr>
          <w:rFonts w:hint="eastAsia" w:ascii="仿宋" w:hAnsi="仿宋" w:eastAsia="仿宋" w:cs="仿宋"/>
          <w:b/>
          <w:bCs/>
          <w:spacing w:val="-10"/>
          <w:lang w:val="en-US" w:eastAsia="zh-CN"/>
        </w:rPr>
        <w:t>★</w:t>
      </w:r>
      <w:r>
        <w:rPr>
          <w:rFonts w:hint="eastAsia" w:ascii="仿宋" w:hAnsi="仿宋" w:eastAsia="仿宋" w:cs="仿宋"/>
          <w:spacing w:val="-1"/>
          <w:sz w:val="24"/>
          <w:szCs w:val="24"/>
          <w:lang w:val="en-US" w:eastAsia="zh-CN"/>
        </w:rPr>
        <w:t>”，则该内容不允许偏离，否则投标无效</w:t>
      </w:r>
      <w:r>
        <w:rPr>
          <w:rFonts w:hint="eastAsia" w:ascii="仿宋" w:hAnsi="仿宋" w:eastAsia="仿宋" w:cs="仿宋"/>
          <w:spacing w:val="-1"/>
          <w:sz w:val="24"/>
          <w:szCs w:val="24"/>
        </w:rPr>
        <w:t>；</w:t>
      </w:r>
    </w:p>
    <w:p w14:paraId="296F68A7">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2</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对完全响应的条目在</w:t>
      </w:r>
      <w:r>
        <w:rPr>
          <w:rFonts w:hint="eastAsia" w:ascii="仿宋" w:hAnsi="仿宋" w:eastAsia="仿宋" w:cs="仿宋"/>
          <w:spacing w:val="-1"/>
          <w:sz w:val="24"/>
          <w:szCs w:val="24"/>
          <w:lang w:val="en-US" w:eastAsia="zh-CN"/>
        </w:rPr>
        <w:t>本</w:t>
      </w:r>
      <w:r>
        <w:rPr>
          <w:rFonts w:hint="eastAsia" w:ascii="仿宋" w:hAnsi="仿宋" w:eastAsia="仿宋" w:cs="仿宋"/>
          <w:spacing w:val="-1"/>
          <w:sz w:val="24"/>
          <w:szCs w:val="24"/>
        </w:rPr>
        <w:t>表相应列中标注“</w:t>
      </w:r>
      <w:r>
        <w:rPr>
          <w:rFonts w:hint="eastAsia" w:ascii="仿宋" w:hAnsi="仿宋" w:eastAsia="仿宋" w:cs="仿宋"/>
          <w:spacing w:val="-1"/>
          <w:sz w:val="24"/>
          <w:szCs w:val="24"/>
          <w:lang w:val="en-US" w:eastAsia="zh-CN"/>
        </w:rPr>
        <w:t>无偏离</w:t>
      </w:r>
      <w:r>
        <w:rPr>
          <w:rFonts w:hint="eastAsia" w:ascii="仿宋" w:hAnsi="仿宋" w:eastAsia="仿宋" w:cs="仿宋"/>
          <w:spacing w:val="-1"/>
          <w:sz w:val="24"/>
          <w:szCs w:val="24"/>
        </w:rPr>
        <w:t>”。对有偏离的条目在本表相应列中标注“正偏离”或“负偏离”。</w:t>
      </w:r>
    </w:p>
    <w:p w14:paraId="1A656880">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3</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正偏离是指应答的条件高于</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文件要求，负偏离是指应答的条件低于</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文件要求，正偏离项目不作扣分处理。</w:t>
      </w:r>
    </w:p>
    <w:p w14:paraId="611D81BB">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4</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供应商须完整填写响应表。如果未完整填写本表的各项内容则视作供应商已经对</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文件相关要求和内容完全理解并同意，其报价为在此基础上的完全价格。</w:t>
      </w:r>
    </w:p>
    <w:p w14:paraId="7437FC04">
      <w:pPr>
        <w:spacing w:line="360" w:lineRule="auto"/>
        <w:rPr>
          <w:rFonts w:hint="eastAsia" w:ascii="仿宋" w:hAnsi="仿宋" w:eastAsia="仿宋" w:cs="仿宋"/>
          <w:sz w:val="24"/>
          <w:szCs w:val="24"/>
        </w:rPr>
      </w:pPr>
      <w:r>
        <w:rPr>
          <w:rFonts w:hint="eastAsia" w:ascii="仿宋" w:hAnsi="仿宋" w:eastAsia="仿宋" w:cs="仿宋"/>
          <w:spacing w:val="-1"/>
          <w:sz w:val="24"/>
          <w:szCs w:val="24"/>
        </w:rPr>
        <w:t>5</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在采购人与</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签订合同时，如</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未在响应文件“响应表”中列出偏离说明，无论已发生或即将发生任何情形，均视为完全符合</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文件要求，并写入合同。若</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在合同签订前，以上述事项为借口而不履行合同签订手续及执行合同，则视作拒绝与采购人签订合同。</w:t>
      </w:r>
    </w:p>
    <w:p w14:paraId="3E2E1A26">
      <w:pPr>
        <w:rPr>
          <w:rFonts w:hint="eastAsia" w:ascii="仿宋" w:hAnsi="仿宋" w:eastAsia="仿宋" w:cs="仿宋"/>
          <w:sz w:val="24"/>
          <w:szCs w:val="24"/>
          <w:u w:val="single" w:color="auto"/>
        </w:rPr>
      </w:pPr>
      <w:r>
        <w:rPr>
          <w:rFonts w:hint="eastAsia" w:ascii="仿宋" w:hAnsi="仿宋" w:eastAsia="仿宋" w:cs="仿宋"/>
          <w:sz w:val="24"/>
          <w:szCs w:val="24"/>
          <w:u w:val="single" w:color="auto"/>
        </w:rPr>
        <w:br w:type="page"/>
      </w:r>
    </w:p>
    <w:p w14:paraId="195C0ECA">
      <w:pPr>
        <w:adjustRightInd w:val="0"/>
        <w:spacing w:line="360" w:lineRule="atLeast"/>
        <w:jc w:val="center"/>
        <w:textAlignment w:val="baseline"/>
        <w:rPr>
          <w:rFonts w:hint="eastAsia" w:ascii="仿宋" w:hAnsi="仿宋" w:eastAsia="仿宋" w:cs="仿宋"/>
          <w:b w:val="0"/>
          <w:bCs/>
          <w:sz w:val="24"/>
          <w:szCs w:val="24"/>
        </w:rPr>
      </w:pPr>
      <w:bookmarkStart w:id="0" w:name="_Toc410631184"/>
      <w:bookmarkStart w:id="1" w:name="_Toc416103825"/>
      <w:bookmarkStart w:id="2" w:name="_Toc414445775"/>
      <w:bookmarkStart w:id="3" w:name="_Toc25310"/>
      <w:r>
        <w:rPr>
          <w:rFonts w:hint="eastAsia" w:ascii="仿宋" w:hAnsi="仿宋" w:eastAsia="仿宋" w:cs="仿宋"/>
          <w:b/>
          <w:bCs w:val="0"/>
          <w:sz w:val="28"/>
          <w:szCs w:val="28"/>
        </w:rPr>
        <w:t>技术偏离表</w:t>
      </w:r>
      <w:bookmarkEnd w:id="0"/>
      <w:bookmarkEnd w:id="1"/>
      <w:bookmarkEnd w:id="2"/>
      <w:bookmarkEnd w:id="3"/>
    </w:p>
    <w:tbl>
      <w:tblPr>
        <w:tblStyle w:val="3"/>
        <w:tblpPr w:leftFromText="180" w:rightFromText="180" w:vertAnchor="text" w:horzAnchor="page" w:tblpX="1108" w:tblpY="261"/>
        <w:tblOverlap w:val="never"/>
        <w:tblW w:w="499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263"/>
        <w:gridCol w:w="2389"/>
        <w:gridCol w:w="3128"/>
        <w:gridCol w:w="2880"/>
        <w:gridCol w:w="2526"/>
        <w:gridCol w:w="2696"/>
      </w:tblGrid>
      <w:tr w14:paraId="29DD5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3" w:hRule="atLeast"/>
        </w:trPr>
        <w:tc>
          <w:tcPr>
            <w:tcW w:w="424" w:type="pct"/>
            <w:vAlign w:val="center"/>
          </w:tcPr>
          <w:p w14:paraId="724B71CD">
            <w:pPr>
              <w:pStyle w:val="5"/>
              <w:spacing w:before="114" w:line="360" w:lineRule="auto"/>
              <w:jc w:val="center"/>
              <w:rPr>
                <w:rFonts w:hint="eastAsia" w:ascii="仿宋" w:hAnsi="仿宋" w:eastAsia="仿宋" w:cs="仿宋"/>
                <w:sz w:val="24"/>
                <w:szCs w:val="24"/>
              </w:rPr>
            </w:pPr>
            <w:r>
              <w:rPr>
                <w:rFonts w:hint="eastAsia" w:ascii="仿宋" w:hAnsi="仿宋" w:eastAsia="仿宋" w:cs="仿宋"/>
                <w:spacing w:val="-9"/>
                <w:sz w:val="24"/>
                <w:szCs w:val="24"/>
                <w:lang w:val="en-US" w:eastAsia="zh-CN"/>
              </w:rPr>
              <w:t>序号</w:t>
            </w:r>
          </w:p>
        </w:tc>
        <w:tc>
          <w:tcPr>
            <w:tcW w:w="802" w:type="pct"/>
            <w:vAlign w:val="top"/>
          </w:tcPr>
          <w:p w14:paraId="7777206D">
            <w:pPr>
              <w:pStyle w:val="5"/>
              <w:spacing w:before="115" w:line="360" w:lineRule="auto"/>
              <w:jc w:val="center"/>
              <w:rPr>
                <w:rFonts w:hint="eastAsia" w:ascii="仿宋" w:hAnsi="仿宋" w:eastAsia="仿宋" w:cs="仿宋"/>
                <w:sz w:val="24"/>
                <w:szCs w:val="24"/>
                <w:lang w:val="en-US" w:eastAsia="zh-CN"/>
              </w:rPr>
            </w:pPr>
            <w:r>
              <w:rPr>
                <w:rFonts w:hint="eastAsia" w:cs="仿宋"/>
                <w:sz w:val="24"/>
                <w:szCs w:val="24"/>
                <w:lang w:val="en-US" w:eastAsia="zh-CN"/>
              </w:rPr>
              <w:t>条目</w:t>
            </w:r>
          </w:p>
        </w:tc>
        <w:tc>
          <w:tcPr>
            <w:tcW w:w="1050" w:type="pct"/>
            <w:vAlign w:val="top"/>
          </w:tcPr>
          <w:p w14:paraId="257C09C0">
            <w:pPr>
              <w:pStyle w:val="5"/>
              <w:spacing w:before="115" w:line="360" w:lineRule="auto"/>
              <w:jc w:val="center"/>
              <w:rPr>
                <w:rFonts w:hint="eastAsia" w:ascii="仿宋" w:hAnsi="仿宋" w:eastAsia="仿宋" w:cs="仿宋"/>
                <w:sz w:val="24"/>
                <w:szCs w:val="24"/>
              </w:rPr>
            </w:pPr>
            <w:r>
              <w:rPr>
                <w:rFonts w:hint="eastAsia" w:ascii="仿宋" w:hAnsi="仿宋" w:eastAsia="仿宋" w:cs="仿宋"/>
                <w:spacing w:val="-3"/>
                <w:sz w:val="21"/>
                <w:szCs w:val="21"/>
              </w:rPr>
              <w:t>招标文件要求</w:t>
            </w:r>
          </w:p>
        </w:tc>
        <w:tc>
          <w:tcPr>
            <w:tcW w:w="967" w:type="pct"/>
            <w:vAlign w:val="center"/>
          </w:tcPr>
          <w:p w14:paraId="0DEEB17C">
            <w:pPr>
              <w:pStyle w:val="5"/>
              <w:spacing w:before="115" w:line="360" w:lineRule="auto"/>
              <w:jc w:val="center"/>
              <w:rPr>
                <w:rFonts w:hint="eastAsia" w:ascii="仿宋" w:hAnsi="仿宋" w:eastAsia="仿宋" w:cs="仿宋"/>
                <w:sz w:val="24"/>
                <w:szCs w:val="24"/>
              </w:rPr>
            </w:pPr>
            <w:r>
              <w:rPr>
                <w:rFonts w:hint="eastAsia" w:ascii="仿宋" w:hAnsi="仿宋" w:eastAsia="仿宋" w:cs="仿宋"/>
                <w:spacing w:val="-3"/>
                <w:sz w:val="24"/>
                <w:szCs w:val="24"/>
              </w:rPr>
              <w:t>投标文件响应</w:t>
            </w:r>
          </w:p>
        </w:tc>
        <w:tc>
          <w:tcPr>
            <w:tcW w:w="848" w:type="pct"/>
            <w:vAlign w:val="center"/>
          </w:tcPr>
          <w:p w14:paraId="377950A8">
            <w:pPr>
              <w:keepNext w:val="0"/>
              <w:keepLines w:val="0"/>
              <w:widowControl/>
              <w:suppressLineNumbers w:val="0"/>
              <w:jc w:val="center"/>
              <w:rPr>
                <w:rFonts w:hint="eastAsia" w:ascii="仿宋" w:hAnsi="仿宋" w:eastAsia="仿宋" w:cs="仿宋"/>
                <w:spacing w:val="-5"/>
                <w:sz w:val="24"/>
                <w:szCs w:val="24"/>
              </w:rPr>
            </w:pPr>
            <w:r>
              <w:rPr>
                <w:rFonts w:hint="eastAsia" w:ascii="仿宋" w:hAnsi="仿宋" w:eastAsia="仿宋" w:cs="仿宋"/>
                <w:snapToGrid w:val="0"/>
                <w:color w:val="000000"/>
                <w:spacing w:val="-3"/>
                <w:kern w:val="0"/>
                <w:sz w:val="24"/>
                <w:szCs w:val="24"/>
                <w:lang w:val="en-US" w:eastAsia="zh-CN" w:bidi="ar"/>
              </w:rPr>
              <w:t>偏</w:t>
            </w:r>
            <w:r>
              <w:rPr>
                <w:rFonts w:hint="eastAsia" w:ascii="仿宋" w:hAnsi="仿宋" w:eastAsia="仿宋" w:cs="仿宋"/>
                <w:snapToGrid w:val="0"/>
                <w:color w:val="000000"/>
                <w:spacing w:val="-3"/>
                <w:kern w:val="0"/>
                <w:sz w:val="24"/>
                <w:szCs w:val="24"/>
                <w:lang w:val="en-US" w:eastAsia="zh-CN" w:bidi="ar-SA"/>
              </w:rPr>
              <w:t>离情况</w:t>
            </w:r>
          </w:p>
        </w:tc>
        <w:tc>
          <w:tcPr>
            <w:tcW w:w="905" w:type="pct"/>
            <w:vAlign w:val="center"/>
          </w:tcPr>
          <w:p w14:paraId="1C3AC5F3">
            <w:pPr>
              <w:pStyle w:val="5"/>
              <w:spacing w:before="115" w:line="360" w:lineRule="auto"/>
              <w:jc w:val="center"/>
              <w:rPr>
                <w:rFonts w:hint="eastAsia" w:ascii="仿宋" w:hAnsi="仿宋" w:eastAsia="仿宋" w:cs="仿宋"/>
                <w:sz w:val="24"/>
                <w:szCs w:val="24"/>
              </w:rPr>
            </w:pPr>
            <w:r>
              <w:rPr>
                <w:rFonts w:hint="eastAsia" w:ascii="仿宋" w:hAnsi="仿宋" w:eastAsia="仿宋" w:cs="仿宋"/>
                <w:spacing w:val="-5"/>
                <w:sz w:val="24"/>
                <w:szCs w:val="24"/>
              </w:rPr>
              <w:t>偏离</w:t>
            </w:r>
            <w:r>
              <w:rPr>
                <w:rFonts w:hint="eastAsia" w:ascii="仿宋" w:hAnsi="仿宋" w:eastAsia="仿宋" w:cs="仿宋"/>
                <w:spacing w:val="-9"/>
                <w:sz w:val="24"/>
                <w:szCs w:val="24"/>
                <w:lang w:val="en-US" w:eastAsia="zh-CN"/>
              </w:rPr>
              <w:t>简述</w:t>
            </w:r>
          </w:p>
        </w:tc>
      </w:tr>
      <w:tr w14:paraId="7BA39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50172918">
            <w:pPr>
              <w:spacing w:line="360" w:lineRule="auto"/>
              <w:jc w:val="center"/>
              <w:rPr>
                <w:rFonts w:hint="eastAsia" w:ascii="仿宋" w:hAnsi="仿宋" w:eastAsia="仿宋" w:cs="仿宋"/>
                <w:sz w:val="24"/>
                <w:szCs w:val="24"/>
                <w:lang w:val="en-US" w:eastAsia="zh-CN"/>
              </w:rPr>
            </w:pPr>
            <w:r>
              <w:rPr>
                <w:rFonts w:hint="eastAsia" w:ascii="仿宋" w:hAnsi="仿宋" w:eastAsia="仿宋" w:cs="仿宋"/>
                <w:b/>
                <w:bCs/>
                <w:spacing w:val="-10"/>
                <w:lang w:val="en-US" w:eastAsia="zh-CN"/>
              </w:rPr>
              <w:t>★</w:t>
            </w:r>
            <w:r>
              <w:rPr>
                <w:rFonts w:hint="eastAsia" w:ascii="仿宋" w:hAnsi="仿宋" w:eastAsia="仿宋" w:cs="仿宋"/>
                <w:sz w:val="21"/>
                <w:szCs w:val="21"/>
                <w:lang w:val="en-US" w:eastAsia="zh-CN"/>
              </w:rPr>
              <w:t>1</w:t>
            </w:r>
          </w:p>
        </w:tc>
        <w:tc>
          <w:tcPr>
            <w:tcW w:w="802" w:type="pct"/>
            <w:vAlign w:val="center"/>
          </w:tcPr>
          <w:p w14:paraId="01A14EDE">
            <w:pPr>
              <w:spacing w:line="400" w:lineRule="exact"/>
              <w:jc w:val="left"/>
              <w:rPr>
                <w:rFonts w:hint="eastAsia" w:ascii="仿宋" w:hAnsi="仿宋" w:eastAsia="仿宋" w:cs="仿宋"/>
                <w:sz w:val="24"/>
                <w:szCs w:val="24"/>
                <w:lang w:val="en-US" w:eastAsia="zh-CN"/>
              </w:rPr>
            </w:pPr>
            <w:r>
              <w:rPr>
                <w:rFonts w:hint="eastAsia" w:ascii="仿宋" w:hAnsi="仿宋" w:eastAsia="仿宋" w:cs="仿宋"/>
                <w:sz w:val="24"/>
                <w:szCs w:val="24"/>
              </w:rPr>
              <w:t>采购标的需执行的国家相关标准、行业标准、地方标准或其它标准、规范</w:t>
            </w:r>
          </w:p>
        </w:tc>
        <w:tc>
          <w:tcPr>
            <w:tcW w:w="1050" w:type="pct"/>
            <w:vAlign w:val="center"/>
          </w:tcPr>
          <w:p w14:paraId="056C3E8A">
            <w:pPr>
              <w:spacing w:line="400" w:lineRule="exact"/>
              <w:jc w:val="left"/>
              <w:rPr>
                <w:rFonts w:hint="eastAsia" w:ascii="仿宋" w:hAnsi="仿宋" w:eastAsia="仿宋" w:cs="仿宋"/>
                <w:sz w:val="24"/>
                <w:szCs w:val="24"/>
              </w:rPr>
            </w:pPr>
          </w:p>
        </w:tc>
        <w:tc>
          <w:tcPr>
            <w:tcW w:w="967" w:type="pct"/>
            <w:vAlign w:val="center"/>
          </w:tcPr>
          <w:p w14:paraId="7C2E5237">
            <w:pPr>
              <w:spacing w:line="400" w:lineRule="exact"/>
              <w:jc w:val="left"/>
              <w:rPr>
                <w:rFonts w:hint="eastAsia" w:ascii="仿宋" w:hAnsi="仿宋" w:eastAsia="仿宋" w:cs="仿宋"/>
                <w:sz w:val="24"/>
                <w:szCs w:val="24"/>
              </w:rPr>
            </w:pPr>
          </w:p>
        </w:tc>
        <w:tc>
          <w:tcPr>
            <w:tcW w:w="848" w:type="pct"/>
            <w:vAlign w:val="center"/>
          </w:tcPr>
          <w:p w14:paraId="5309AD7C">
            <w:pPr>
              <w:keepNext w:val="0"/>
              <w:keepLines w:val="0"/>
              <w:widowControl/>
              <w:suppressLineNumbers w:val="0"/>
              <w:jc w:val="center"/>
              <w:rPr>
                <w:rFonts w:hint="eastAsia" w:ascii="仿宋" w:hAnsi="仿宋" w:eastAsia="仿宋" w:cs="仿宋"/>
                <w:sz w:val="24"/>
                <w:szCs w:val="24"/>
                <w:lang w:val="en-US" w:eastAsia="zh-CN"/>
              </w:rPr>
            </w:pPr>
            <w:r>
              <w:rPr>
                <w:rFonts w:hint="eastAsia" w:ascii="仿宋" w:hAnsi="仿宋" w:eastAsia="仿宋" w:cs="仿宋"/>
                <w:snapToGrid w:val="0"/>
                <w:color w:val="000000"/>
                <w:spacing w:val="-3"/>
                <w:kern w:val="0"/>
                <w:sz w:val="24"/>
                <w:szCs w:val="24"/>
                <w:lang w:val="en-US" w:eastAsia="zh-CN" w:bidi="ar"/>
              </w:rPr>
              <w:t>正/负/无</w:t>
            </w:r>
          </w:p>
        </w:tc>
        <w:tc>
          <w:tcPr>
            <w:tcW w:w="905" w:type="pct"/>
          </w:tcPr>
          <w:p w14:paraId="269FF9D6">
            <w:pPr>
              <w:spacing w:line="400" w:lineRule="exact"/>
              <w:rPr>
                <w:rFonts w:hint="eastAsia" w:ascii="仿宋" w:hAnsi="仿宋" w:eastAsia="仿宋" w:cs="仿宋"/>
                <w:sz w:val="24"/>
                <w:szCs w:val="24"/>
              </w:rPr>
            </w:pPr>
          </w:p>
        </w:tc>
      </w:tr>
      <w:tr w14:paraId="3940C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1DE2351E">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2</w:t>
            </w:r>
          </w:p>
        </w:tc>
        <w:tc>
          <w:tcPr>
            <w:tcW w:w="802" w:type="pct"/>
            <w:vAlign w:val="center"/>
          </w:tcPr>
          <w:p w14:paraId="0DECD10E">
            <w:pPr>
              <w:keepNext w:val="0"/>
              <w:keepLines w:val="0"/>
              <w:pageBreakBefore w:val="0"/>
              <w:tabs>
                <w:tab w:val="left" w:pos="0"/>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功能</w:t>
            </w:r>
            <w:r>
              <w:rPr>
                <w:rFonts w:hint="eastAsia" w:ascii="仿宋" w:hAnsi="仿宋" w:eastAsia="仿宋" w:cs="仿宋"/>
                <w:sz w:val="24"/>
                <w:szCs w:val="24"/>
                <w:lang w:val="en-US" w:eastAsia="zh-CN"/>
              </w:rPr>
              <w:t>定位</w:t>
            </w:r>
            <w:r>
              <w:rPr>
                <w:rFonts w:hint="eastAsia" w:ascii="仿宋" w:hAnsi="仿宋" w:eastAsia="仿宋" w:cs="仿宋"/>
                <w:sz w:val="24"/>
                <w:szCs w:val="24"/>
              </w:rPr>
              <w:t>与空间布局</w:t>
            </w:r>
          </w:p>
        </w:tc>
        <w:tc>
          <w:tcPr>
            <w:tcW w:w="1050" w:type="pct"/>
          </w:tcPr>
          <w:p w14:paraId="7E82587C">
            <w:pPr>
              <w:spacing w:line="400" w:lineRule="exact"/>
              <w:rPr>
                <w:rFonts w:hint="eastAsia" w:ascii="仿宋" w:hAnsi="仿宋" w:eastAsia="仿宋" w:cs="仿宋"/>
                <w:sz w:val="24"/>
                <w:szCs w:val="24"/>
              </w:rPr>
            </w:pPr>
          </w:p>
        </w:tc>
        <w:tc>
          <w:tcPr>
            <w:tcW w:w="967" w:type="pct"/>
          </w:tcPr>
          <w:p w14:paraId="77262F20">
            <w:pPr>
              <w:spacing w:line="400" w:lineRule="exact"/>
              <w:rPr>
                <w:rFonts w:hint="eastAsia" w:ascii="仿宋" w:hAnsi="仿宋" w:eastAsia="仿宋" w:cs="仿宋"/>
                <w:sz w:val="24"/>
                <w:szCs w:val="24"/>
              </w:rPr>
            </w:pPr>
          </w:p>
        </w:tc>
        <w:tc>
          <w:tcPr>
            <w:tcW w:w="848" w:type="pct"/>
          </w:tcPr>
          <w:p w14:paraId="00F8AF24">
            <w:pPr>
              <w:spacing w:line="400" w:lineRule="exact"/>
              <w:rPr>
                <w:rFonts w:hint="eastAsia" w:ascii="仿宋" w:hAnsi="仿宋" w:eastAsia="仿宋" w:cs="仿宋"/>
                <w:sz w:val="24"/>
                <w:szCs w:val="24"/>
              </w:rPr>
            </w:pPr>
          </w:p>
        </w:tc>
        <w:tc>
          <w:tcPr>
            <w:tcW w:w="905" w:type="pct"/>
          </w:tcPr>
          <w:p w14:paraId="70FBADA2">
            <w:pPr>
              <w:spacing w:line="400" w:lineRule="exact"/>
              <w:rPr>
                <w:rFonts w:hint="eastAsia" w:ascii="仿宋" w:hAnsi="仿宋" w:eastAsia="仿宋" w:cs="仿宋"/>
                <w:sz w:val="24"/>
                <w:szCs w:val="24"/>
              </w:rPr>
            </w:pPr>
          </w:p>
        </w:tc>
      </w:tr>
      <w:tr w14:paraId="174768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34F46EFF">
            <w:pPr>
              <w:pStyle w:val="5"/>
              <w:spacing w:before="78"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3</w:t>
            </w:r>
          </w:p>
        </w:tc>
        <w:tc>
          <w:tcPr>
            <w:tcW w:w="802" w:type="pct"/>
            <w:vAlign w:val="center"/>
          </w:tcPr>
          <w:p w14:paraId="2C1A9413">
            <w:pPr>
              <w:keepNext w:val="0"/>
              <w:keepLines w:val="0"/>
              <w:pageBreakBefore w:val="0"/>
              <w:widowControl/>
              <w:tabs>
                <w:tab w:val="left" w:pos="0"/>
              </w:tabs>
              <w:overflowPunct/>
              <w:topLinePunct w:val="0"/>
              <w:bidi w:val="0"/>
              <w:spacing w:line="360" w:lineRule="auto"/>
              <w:jc w:val="center"/>
              <w:rPr>
                <w:rFonts w:hint="default" w:ascii="仿宋" w:hAnsi="仿宋" w:eastAsia="仿宋" w:cs="仿宋"/>
                <w:sz w:val="24"/>
                <w:szCs w:val="24"/>
                <w:lang w:val="en-US" w:eastAsia="zh-CN"/>
              </w:rPr>
            </w:pPr>
            <w:r>
              <w:rPr>
                <w:rFonts w:hint="eastAsia" w:ascii="仿宋" w:hAnsi="仿宋" w:eastAsia="仿宋" w:cs="仿宋"/>
                <w:b w:val="0"/>
                <w:bCs/>
                <w:kern w:val="0"/>
                <w:sz w:val="24"/>
                <w:szCs w:val="24"/>
              </w:rPr>
              <w:t>展陈内容与形式</w:t>
            </w:r>
          </w:p>
        </w:tc>
        <w:tc>
          <w:tcPr>
            <w:tcW w:w="1050" w:type="pct"/>
          </w:tcPr>
          <w:p w14:paraId="09419C90">
            <w:pPr>
              <w:spacing w:line="400" w:lineRule="exact"/>
              <w:rPr>
                <w:rFonts w:hint="eastAsia" w:ascii="仿宋" w:hAnsi="仿宋" w:eastAsia="仿宋" w:cs="仿宋"/>
                <w:sz w:val="24"/>
                <w:szCs w:val="24"/>
              </w:rPr>
            </w:pPr>
          </w:p>
        </w:tc>
        <w:tc>
          <w:tcPr>
            <w:tcW w:w="967" w:type="pct"/>
          </w:tcPr>
          <w:p w14:paraId="106AB445">
            <w:pPr>
              <w:spacing w:line="400" w:lineRule="exact"/>
              <w:rPr>
                <w:rFonts w:hint="eastAsia" w:ascii="仿宋" w:hAnsi="仿宋" w:eastAsia="仿宋" w:cs="仿宋"/>
                <w:sz w:val="24"/>
                <w:szCs w:val="24"/>
              </w:rPr>
            </w:pPr>
          </w:p>
        </w:tc>
        <w:tc>
          <w:tcPr>
            <w:tcW w:w="848" w:type="pct"/>
          </w:tcPr>
          <w:p w14:paraId="12771F0E">
            <w:pPr>
              <w:spacing w:line="400" w:lineRule="exact"/>
              <w:rPr>
                <w:rFonts w:hint="eastAsia" w:ascii="仿宋" w:hAnsi="仿宋" w:eastAsia="仿宋" w:cs="仿宋"/>
                <w:sz w:val="24"/>
                <w:szCs w:val="24"/>
              </w:rPr>
            </w:pPr>
          </w:p>
        </w:tc>
        <w:tc>
          <w:tcPr>
            <w:tcW w:w="905" w:type="pct"/>
          </w:tcPr>
          <w:p w14:paraId="6E0B76A7">
            <w:pPr>
              <w:spacing w:line="400" w:lineRule="exact"/>
              <w:rPr>
                <w:rFonts w:hint="eastAsia" w:ascii="仿宋" w:hAnsi="仿宋" w:eastAsia="仿宋" w:cs="仿宋"/>
                <w:sz w:val="24"/>
                <w:szCs w:val="24"/>
              </w:rPr>
            </w:pPr>
          </w:p>
        </w:tc>
      </w:tr>
      <w:tr w14:paraId="41661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0D1B52B2">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4</w:t>
            </w:r>
          </w:p>
        </w:tc>
        <w:tc>
          <w:tcPr>
            <w:tcW w:w="802" w:type="pct"/>
            <w:vAlign w:val="center"/>
          </w:tcPr>
          <w:p w14:paraId="71F8876A">
            <w:pPr>
              <w:keepNext w:val="0"/>
              <w:keepLines w:val="0"/>
              <w:pageBreakBefore w:val="0"/>
              <w:tabs>
                <w:tab w:val="left" w:pos="0"/>
                <w:tab w:val="center" w:pos="4153"/>
                <w:tab w:val="right" w:pos="8306"/>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b w:val="0"/>
                <w:bCs/>
                <w:sz w:val="24"/>
                <w:szCs w:val="24"/>
              </w:rPr>
              <w:t>深化设计与施工图纸</w:t>
            </w:r>
          </w:p>
        </w:tc>
        <w:tc>
          <w:tcPr>
            <w:tcW w:w="1050" w:type="pct"/>
          </w:tcPr>
          <w:p w14:paraId="6F3F8913">
            <w:pPr>
              <w:spacing w:line="400" w:lineRule="exact"/>
              <w:rPr>
                <w:rFonts w:hint="eastAsia" w:ascii="仿宋" w:hAnsi="仿宋" w:eastAsia="仿宋" w:cs="仿宋"/>
                <w:sz w:val="24"/>
                <w:szCs w:val="24"/>
              </w:rPr>
            </w:pPr>
          </w:p>
        </w:tc>
        <w:tc>
          <w:tcPr>
            <w:tcW w:w="967" w:type="pct"/>
          </w:tcPr>
          <w:p w14:paraId="517A5B3A">
            <w:pPr>
              <w:spacing w:line="400" w:lineRule="exact"/>
              <w:rPr>
                <w:rFonts w:hint="eastAsia" w:ascii="仿宋" w:hAnsi="仿宋" w:eastAsia="仿宋" w:cs="仿宋"/>
                <w:sz w:val="24"/>
                <w:szCs w:val="24"/>
              </w:rPr>
            </w:pPr>
          </w:p>
        </w:tc>
        <w:tc>
          <w:tcPr>
            <w:tcW w:w="848" w:type="pct"/>
          </w:tcPr>
          <w:p w14:paraId="065D0C29">
            <w:pPr>
              <w:spacing w:line="400" w:lineRule="exact"/>
              <w:rPr>
                <w:rFonts w:hint="eastAsia" w:ascii="仿宋" w:hAnsi="仿宋" w:eastAsia="仿宋" w:cs="仿宋"/>
                <w:sz w:val="24"/>
                <w:szCs w:val="24"/>
              </w:rPr>
            </w:pPr>
          </w:p>
        </w:tc>
        <w:tc>
          <w:tcPr>
            <w:tcW w:w="905" w:type="pct"/>
          </w:tcPr>
          <w:p w14:paraId="7D77961A">
            <w:pPr>
              <w:spacing w:line="400" w:lineRule="exact"/>
              <w:rPr>
                <w:rFonts w:hint="eastAsia" w:ascii="仿宋" w:hAnsi="仿宋" w:eastAsia="仿宋" w:cs="仿宋"/>
                <w:sz w:val="24"/>
                <w:szCs w:val="24"/>
              </w:rPr>
            </w:pPr>
          </w:p>
        </w:tc>
      </w:tr>
      <w:tr w14:paraId="26038B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122E200C">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5</w:t>
            </w:r>
          </w:p>
        </w:tc>
        <w:tc>
          <w:tcPr>
            <w:tcW w:w="802" w:type="pct"/>
            <w:vAlign w:val="center"/>
          </w:tcPr>
          <w:p w14:paraId="2283D9DD">
            <w:pPr>
              <w:keepNext w:val="0"/>
              <w:keepLines w:val="0"/>
              <w:pageBreakBefore w:val="0"/>
              <w:widowControl/>
              <w:tabs>
                <w:tab w:val="left" w:pos="0"/>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bCs/>
                <w:sz w:val="24"/>
                <w:szCs w:val="24"/>
              </w:rPr>
              <w:t>成果交付与验收标准</w:t>
            </w:r>
          </w:p>
        </w:tc>
        <w:tc>
          <w:tcPr>
            <w:tcW w:w="1050" w:type="pct"/>
          </w:tcPr>
          <w:p w14:paraId="31D5B725">
            <w:pPr>
              <w:spacing w:line="400" w:lineRule="exact"/>
              <w:rPr>
                <w:rFonts w:hint="eastAsia" w:ascii="仿宋" w:hAnsi="仿宋" w:eastAsia="仿宋" w:cs="仿宋"/>
                <w:sz w:val="24"/>
                <w:szCs w:val="24"/>
              </w:rPr>
            </w:pPr>
          </w:p>
        </w:tc>
        <w:tc>
          <w:tcPr>
            <w:tcW w:w="967" w:type="pct"/>
          </w:tcPr>
          <w:p w14:paraId="704104A2">
            <w:pPr>
              <w:spacing w:line="400" w:lineRule="exact"/>
              <w:rPr>
                <w:rFonts w:hint="eastAsia" w:ascii="仿宋" w:hAnsi="仿宋" w:eastAsia="仿宋" w:cs="仿宋"/>
                <w:sz w:val="24"/>
                <w:szCs w:val="24"/>
              </w:rPr>
            </w:pPr>
          </w:p>
        </w:tc>
        <w:tc>
          <w:tcPr>
            <w:tcW w:w="848" w:type="pct"/>
          </w:tcPr>
          <w:p w14:paraId="576B802F">
            <w:pPr>
              <w:spacing w:line="400" w:lineRule="exact"/>
              <w:rPr>
                <w:rFonts w:hint="eastAsia" w:ascii="仿宋" w:hAnsi="仿宋" w:eastAsia="仿宋" w:cs="仿宋"/>
                <w:sz w:val="24"/>
                <w:szCs w:val="24"/>
              </w:rPr>
            </w:pPr>
          </w:p>
        </w:tc>
        <w:tc>
          <w:tcPr>
            <w:tcW w:w="905" w:type="pct"/>
          </w:tcPr>
          <w:p w14:paraId="4617954C">
            <w:pPr>
              <w:spacing w:line="400" w:lineRule="exact"/>
              <w:rPr>
                <w:rFonts w:hint="eastAsia" w:ascii="仿宋" w:hAnsi="仿宋" w:eastAsia="仿宋" w:cs="仿宋"/>
                <w:sz w:val="24"/>
                <w:szCs w:val="24"/>
              </w:rPr>
            </w:pPr>
          </w:p>
        </w:tc>
      </w:tr>
      <w:tr w14:paraId="3D8E5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8" w:hRule="atLeast"/>
        </w:trPr>
        <w:tc>
          <w:tcPr>
            <w:tcW w:w="424" w:type="pct"/>
            <w:vAlign w:val="center"/>
          </w:tcPr>
          <w:p w14:paraId="42B4EDA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6</w:t>
            </w:r>
          </w:p>
        </w:tc>
        <w:tc>
          <w:tcPr>
            <w:tcW w:w="802" w:type="pct"/>
            <w:vAlign w:val="center"/>
          </w:tcPr>
          <w:p w14:paraId="4AF4EE9B">
            <w:pPr>
              <w:keepNext w:val="0"/>
              <w:keepLines w:val="0"/>
              <w:pageBreakBefore w:val="0"/>
              <w:tabs>
                <w:tab w:val="left" w:pos="0"/>
                <w:tab w:val="center" w:pos="4153"/>
                <w:tab w:val="right" w:pos="8306"/>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施工要求</w:t>
            </w:r>
          </w:p>
        </w:tc>
        <w:tc>
          <w:tcPr>
            <w:tcW w:w="1050" w:type="pct"/>
          </w:tcPr>
          <w:p w14:paraId="4731A727">
            <w:pPr>
              <w:spacing w:line="400" w:lineRule="exact"/>
              <w:rPr>
                <w:rFonts w:hint="eastAsia" w:ascii="仿宋" w:hAnsi="仿宋" w:eastAsia="仿宋" w:cs="仿宋"/>
                <w:sz w:val="24"/>
                <w:szCs w:val="24"/>
              </w:rPr>
            </w:pPr>
          </w:p>
        </w:tc>
        <w:tc>
          <w:tcPr>
            <w:tcW w:w="967" w:type="pct"/>
          </w:tcPr>
          <w:p w14:paraId="0E82A177">
            <w:pPr>
              <w:spacing w:line="400" w:lineRule="exact"/>
              <w:rPr>
                <w:rFonts w:hint="eastAsia" w:ascii="仿宋" w:hAnsi="仿宋" w:eastAsia="仿宋" w:cs="仿宋"/>
                <w:sz w:val="24"/>
                <w:szCs w:val="24"/>
              </w:rPr>
            </w:pPr>
          </w:p>
        </w:tc>
        <w:tc>
          <w:tcPr>
            <w:tcW w:w="848" w:type="pct"/>
          </w:tcPr>
          <w:p w14:paraId="5C703FD4">
            <w:pPr>
              <w:spacing w:line="400" w:lineRule="exact"/>
              <w:rPr>
                <w:rFonts w:hint="eastAsia" w:ascii="仿宋" w:hAnsi="仿宋" w:eastAsia="仿宋" w:cs="仿宋"/>
                <w:sz w:val="24"/>
                <w:szCs w:val="24"/>
              </w:rPr>
            </w:pPr>
          </w:p>
        </w:tc>
        <w:tc>
          <w:tcPr>
            <w:tcW w:w="905" w:type="pct"/>
          </w:tcPr>
          <w:p w14:paraId="224AC43A">
            <w:pPr>
              <w:spacing w:line="400" w:lineRule="exact"/>
              <w:rPr>
                <w:rFonts w:hint="eastAsia" w:ascii="仿宋" w:hAnsi="仿宋" w:eastAsia="仿宋" w:cs="仿宋"/>
                <w:sz w:val="24"/>
                <w:szCs w:val="24"/>
              </w:rPr>
            </w:pPr>
          </w:p>
        </w:tc>
      </w:tr>
      <w:tr w14:paraId="572C76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424" w:type="pct"/>
            <w:vAlign w:val="center"/>
          </w:tcPr>
          <w:p w14:paraId="210C646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7</w:t>
            </w:r>
          </w:p>
        </w:tc>
        <w:tc>
          <w:tcPr>
            <w:tcW w:w="802" w:type="pct"/>
            <w:vAlign w:val="center"/>
          </w:tcPr>
          <w:p w14:paraId="69A590B2">
            <w:pPr>
              <w:keepNext w:val="0"/>
              <w:keepLines w:val="0"/>
              <w:pageBreakBefore w:val="0"/>
              <w:tabs>
                <w:tab w:val="left" w:pos="0"/>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b w:val="0"/>
                <w:bCs/>
                <w:sz w:val="24"/>
                <w:szCs w:val="24"/>
                <w:lang w:val="zh-CN" w:eastAsia="zh-CN"/>
              </w:rPr>
              <w:t>服务团队要求</w:t>
            </w:r>
          </w:p>
        </w:tc>
        <w:tc>
          <w:tcPr>
            <w:tcW w:w="1050" w:type="pct"/>
          </w:tcPr>
          <w:p w14:paraId="769393D2">
            <w:pPr>
              <w:spacing w:line="400" w:lineRule="exact"/>
              <w:rPr>
                <w:rFonts w:hint="eastAsia" w:ascii="仿宋" w:hAnsi="仿宋" w:eastAsia="仿宋" w:cs="仿宋"/>
                <w:sz w:val="24"/>
                <w:szCs w:val="24"/>
              </w:rPr>
            </w:pPr>
          </w:p>
        </w:tc>
        <w:tc>
          <w:tcPr>
            <w:tcW w:w="967" w:type="pct"/>
          </w:tcPr>
          <w:p w14:paraId="31E97DF8">
            <w:pPr>
              <w:spacing w:line="400" w:lineRule="exact"/>
              <w:rPr>
                <w:rFonts w:hint="eastAsia" w:ascii="仿宋" w:hAnsi="仿宋" w:eastAsia="仿宋" w:cs="仿宋"/>
                <w:sz w:val="24"/>
                <w:szCs w:val="24"/>
              </w:rPr>
            </w:pPr>
          </w:p>
        </w:tc>
        <w:tc>
          <w:tcPr>
            <w:tcW w:w="848" w:type="pct"/>
          </w:tcPr>
          <w:p w14:paraId="314C1332">
            <w:pPr>
              <w:spacing w:line="400" w:lineRule="exact"/>
              <w:rPr>
                <w:rFonts w:hint="eastAsia" w:ascii="仿宋" w:hAnsi="仿宋" w:eastAsia="仿宋" w:cs="仿宋"/>
                <w:sz w:val="24"/>
                <w:szCs w:val="24"/>
              </w:rPr>
            </w:pPr>
          </w:p>
        </w:tc>
        <w:tc>
          <w:tcPr>
            <w:tcW w:w="905" w:type="pct"/>
          </w:tcPr>
          <w:p w14:paraId="40C2358E">
            <w:pPr>
              <w:spacing w:line="400" w:lineRule="exact"/>
              <w:rPr>
                <w:rFonts w:hint="eastAsia" w:ascii="仿宋" w:hAnsi="仿宋" w:eastAsia="仿宋" w:cs="仿宋"/>
                <w:sz w:val="24"/>
                <w:szCs w:val="24"/>
              </w:rPr>
            </w:pPr>
          </w:p>
        </w:tc>
      </w:tr>
      <w:tr w14:paraId="113612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424" w:type="pct"/>
            <w:vAlign w:val="center"/>
          </w:tcPr>
          <w:p w14:paraId="16D3D5AD">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1"/>
                <w:szCs w:val="21"/>
                <w:lang w:val="en-US" w:eastAsia="zh-CN"/>
              </w:rPr>
              <w:t>8</w:t>
            </w:r>
          </w:p>
        </w:tc>
        <w:tc>
          <w:tcPr>
            <w:tcW w:w="802" w:type="pct"/>
            <w:vAlign w:val="center"/>
          </w:tcPr>
          <w:p w14:paraId="3A156686">
            <w:pPr>
              <w:keepNext w:val="0"/>
              <w:keepLines w:val="0"/>
              <w:pageBreakBefore w:val="0"/>
              <w:widowControl/>
              <w:tabs>
                <w:tab w:val="left" w:pos="0"/>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bCs/>
                <w:sz w:val="24"/>
                <w:szCs w:val="24"/>
              </w:rPr>
              <w:t>后续技术服务</w:t>
            </w:r>
          </w:p>
        </w:tc>
        <w:tc>
          <w:tcPr>
            <w:tcW w:w="1050" w:type="pct"/>
          </w:tcPr>
          <w:p w14:paraId="1D669D0F">
            <w:pPr>
              <w:spacing w:line="400" w:lineRule="exact"/>
              <w:rPr>
                <w:rFonts w:hint="eastAsia" w:ascii="仿宋" w:hAnsi="仿宋" w:eastAsia="仿宋" w:cs="仿宋"/>
                <w:sz w:val="24"/>
                <w:szCs w:val="24"/>
              </w:rPr>
            </w:pPr>
          </w:p>
        </w:tc>
        <w:tc>
          <w:tcPr>
            <w:tcW w:w="967" w:type="pct"/>
          </w:tcPr>
          <w:p w14:paraId="504D1CB3">
            <w:pPr>
              <w:spacing w:line="400" w:lineRule="exact"/>
              <w:rPr>
                <w:rFonts w:hint="eastAsia" w:ascii="仿宋" w:hAnsi="仿宋" w:eastAsia="仿宋" w:cs="仿宋"/>
                <w:sz w:val="24"/>
                <w:szCs w:val="24"/>
              </w:rPr>
            </w:pPr>
          </w:p>
        </w:tc>
        <w:tc>
          <w:tcPr>
            <w:tcW w:w="848" w:type="pct"/>
          </w:tcPr>
          <w:p w14:paraId="64587597">
            <w:pPr>
              <w:spacing w:line="400" w:lineRule="exact"/>
              <w:rPr>
                <w:rFonts w:hint="eastAsia" w:ascii="仿宋" w:hAnsi="仿宋" w:eastAsia="仿宋" w:cs="仿宋"/>
                <w:sz w:val="24"/>
                <w:szCs w:val="24"/>
              </w:rPr>
            </w:pPr>
          </w:p>
        </w:tc>
        <w:tc>
          <w:tcPr>
            <w:tcW w:w="905" w:type="pct"/>
          </w:tcPr>
          <w:p w14:paraId="552AA9E7">
            <w:pPr>
              <w:spacing w:line="400" w:lineRule="exact"/>
              <w:rPr>
                <w:rFonts w:hint="eastAsia" w:ascii="仿宋" w:hAnsi="仿宋" w:eastAsia="仿宋" w:cs="仿宋"/>
                <w:sz w:val="24"/>
                <w:szCs w:val="24"/>
              </w:rPr>
            </w:pPr>
          </w:p>
        </w:tc>
      </w:tr>
      <w:tr w14:paraId="1C615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424" w:type="pct"/>
            <w:vAlign w:val="center"/>
          </w:tcPr>
          <w:p w14:paraId="3D88E76F">
            <w:pPr>
              <w:spacing w:line="360" w:lineRule="auto"/>
              <w:jc w:val="center"/>
              <w:rPr>
                <w:rFonts w:hint="eastAsia" w:ascii="仿宋" w:hAnsi="仿宋" w:eastAsia="仿宋" w:cs="仿宋"/>
                <w:sz w:val="21"/>
                <w:szCs w:val="21"/>
                <w:lang w:val="en-US" w:eastAsia="zh-CN"/>
              </w:rPr>
            </w:pPr>
            <w:r>
              <w:rPr>
                <w:rFonts w:hint="eastAsia" w:ascii="仿宋" w:hAnsi="仿宋" w:eastAsia="仿宋" w:cs="仿宋"/>
                <w:b/>
                <w:bCs/>
                <w:spacing w:val="-10"/>
                <w:lang w:val="en-US" w:eastAsia="zh-CN"/>
              </w:rPr>
              <w:t>★</w:t>
            </w:r>
            <w:r>
              <w:rPr>
                <w:rFonts w:hint="eastAsia" w:ascii="仿宋" w:hAnsi="仿宋" w:eastAsia="仿宋" w:cs="仿宋"/>
                <w:sz w:val="24"/>
                <w:szCs w:val="24"/>
                <w:lang w:val="en-US" w:eastAsia="zh-CN"/>
              </w:rPr>
              <w:t>9</w:t>
            </w:r>
          </w:p>
        </w:tc>
        <w:tc>
          <w:tcPr>
            <w:tcW w:w="802" w:type="pct"/>
            <w:vAlign w:val="center"/>
          </w:tcPr>
          <w:p w14:paraId="0F00AA5C">
            <w:pPr>
              <w:keepNext w:val="0"/>
              <w:keepLines w:val="0"/>
              <w:pageBreakBefore w:val="0"/>
              <w:widowControl/>
              <w:tabs>
                <w:tab w:val="left" w:pos="0"/>
              </w:tabs>
              <w:overflowPunct/>
              <w:topLinePunct w:val="0"/>
              <w:bidi w:val="0"/>
              <w:spacing w:line="360" w:lineRule="auto"/>
              <w:jc w:val="center"/>
              <w:rPr>
                <w:rFonts w:hint="eastAsia" w:ascii="仿宋" w:hAnsi="仿宋" w:eastAsia="仿宋" w:cs="仿宋"/>
                <w:sz w:val="24"/>
                <w:szCs w:val="24"/>
                <w:lang w:val="en-US" w:eastAsia="zh-CN"/>
              </w:rPr>
            </w:pPr>
            <w:r>
              <w:rPr>
                <w:rFonts w:hint="eastAsia" w:ascii="仿宋" w:hAnsi="仿宋" w:eastAsia="仿宋" w:cs="仿宋"/>
                <w:bCs/>
                <w:sz w:val="24"/>
                <w:szCs w:val="24"/>
                <w:lang w:val="en-US" w:eastAsia="zh-CN"/>
              </w:rPr>
              <w:t>空气污染治理</w:t>
            </w:r>
          </w:p>
        </w:tc>
        <w:tc>
          <w:tcPr>
            <w:tcW w:w="1050" w:type="pct"/>
          </w:tcPr>
          <w:p w14:paraId="254EC649">
            <w:pPr>
              <w:spacing w:line="400" w:lineRule="exact"/>
              <w:rPr>
                <w:rFonts w:hint="eastAsia" w:ascii="仿宋" w:hAnsi="仿宋" w:eastAsia="仿宋" w:cs="仿宋"/>
                <w:sz w:val="24"/>
                <w:szCs w:val="24"/>
              </w:rPr>
            </w:pPr>
          </w:p>
        </w:tc>
        <w:tc>
          <w:tcPr>
            <w:tcW w:w="967" w:type="pct"/>
          </w:tcPr>
          <w:p w14:paraId="45A91CC2">
            <w:pPr>
              <w:spacing w:line="400" w:lineRule="exact"/>
              <w:rPr>
                <w:rFonts w:hint="eastAsia" w:ascii="仿宋" w:hAnsi="仿宋" w:eastAsia="仿宋" w:cs="仿宋"/>
                <w:sz w:val="24"/>
                <w:szCs w:val="24"/>
              </w:rPr>
            </w:pPr>
          </w:p>
        </w:tc>
        <w:tc>
          <w:tcPr>
            <w:tcW w:w="848" w:type="pct"/>
          </w:tcPr>
          <w:p w14:paraId="0E52A415">
            <w:pPr>
              <w:spacing w:line="400" w:lineRule="exact"/>
              <w:rPr>
                <w:rFonts w:hint="eastAsia" w:ascii="仿宋" w:hAnsi="仿宋" w:eastAsia="仿宋" w:cs="仿宋"/>
                <w:sz w:val="24"/>
                <w:szCs w:val="24"/>
              </w:rPr>
            </w:pPr>
          </w:p>
        </w:tc>
        <w:tc>
          <w:tcPr>
            <w:tcW w:w="905" w:type="pct"/>
          </w:tcPr>
          <w:p w14:paraId="2904AD94">
            <w:pPr>
              <w:spacing w:line="400" w:lineRule="exact"/>
              <w:rPr>
                <w:rFonts w:hint="eastAsia" w:ascii="仿宋" w:hAnsi="仿宋" w:eastAsia="仿宋" w:cs="仿宋"/>
                <w:sz w:val="24"/>
                <w:szCs w:val="24"/>
              </w:rPr>
            </w:pPr>
          </w:p>
        </w:tc>
      </w:tr>
      <w:tr w14:paraId="0D67E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424" w:type="pct"/>
            <w:vAlign w:val="center"/>
          </w:tcPr>
          <w:p w14:paraId="4986DB1D">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802" w:type="pct"/>
            <w:vAlign w:val="center"/>
          </w:tcPr>
          <w:p w14:paraId="694859D8">
            <w:pPr>
              <w:keepNext w:val="0"/>
              <w:keepLines w:val="0"/>
              <w:pageBreakBefore w:val="0"/>
              <w:widowControl/>
              <w:tabs>
                <w:tab w:val="left" w:pos="0"/>
              </w:tabs>
              <w:overflowPunct/>
              <w:topLinePunct w:val="0"/>
              <w:bidi w:val="0"/>
              <w:spacing w:line="360" w:lineRule="auto"/>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w:t>
            </w:r>
          </w:p>
        </w:tc>
        <w:tc>
          <w:tcPr>
            <w:tcW w:w="1050" w:type="pct"/>
          </w:tcPr>
          <w:p w14:paraId="2DDDCF54">
            <w:pPr>
              <w:spacing w:line="400" w:lineRule="exact"/>
              <w:rPr>
                <w:rFonts w:hint="eastAsia" w:ascii="仿宋" w:hAnsi="仿宋" w:eastAsia="仿宋" w:cs="仿宋"/>
                <w:sz w:val="24"/>
                <w:szCs w:val="24"/>
              </w:rPr>
            </w:pPr>
          </w:p>
        </w:tc>
        <w:tc>
          <w:tcPr>
            <w:tcW w:w="967" w:type="pct"/>
          </w:tcPr>
          <w:p w14:paraId="514D2267">
            <w:pPr>
              <w:spacing w:line="400" w:lineRule="exact"/>
              <w:rPr>
                <w:rFonts w:hint="eastAsia" w:ascii="仿宋" w:hAnsi="仿宋" w:eastAsia="仿宋" w:cs="仿宋"/>
                <w:sz w:val="24"/>
                <w:szCs w:val="24"/>
              </w:rPr>
            </w:pPr>
          </w:p>
        </w:tc>
        <w:tc>
          <w:tcPr>
            <w:tcW w:w="848" w:type="pct"/>
          </w:tcPr>
          <w:p w14:paraId="0D9E160F">
            <w:pPr>
              <w:spacing w:line="400" w:lineRule="exact"/>
              <w:rPr>
                <w:rFonts w:hint="eastAsia" w:ascii="仿宋" w:hAnsi="仿宋" w:eastAsia="仿宋" w:cs="仿宋"/>
                <w:sz w:val="24"/>
                <w:szCs w:val="24"/>
              </w:rPr>
            </w:pPr>
          </w:p>
        </w:tc>
        <w:tc>
          <w:tcPr>
            <w:tcW w:w="905" w:type="pct"/>
          </w:tcPr>
          <w:p w14:paraId="6AC520C6">
            <w:pPr>
              <w:spacing w:line="400" w:lineRule="exact"/>
              <w:rPr>
                <w:rFonts w:hint="eastAsia" w:ascii="仿宋" w:hAnsi="仿宋" w:eastAsia="仿宋" w:cs="仿宋"/>
                <w:sz w:val="24"/>
                <w:szCs w:val="24"/>
              </w:rPr>
            </w:pPr>
          </w:p>
        </w:tc>
      </w:tr>
    </w:tbl>
    <w:p w14:paraId="7C00E273">
      <w:pPr>
        <w:spacing w:after="240"/>
        <w:rPr>
          <w:rFonts w:hint="eastAsia" w:ascii="仿宋" w:hAnsi="仿宋" w:eastAsia="仿宋" w:cs="仿宋"/>
          <w:sz w:val="24"/>
          <w:szCs w:val="24"/>
        </w:rPr>
      </w:pPr>
    </w:p>
    <w:p w14:paraId="1FA07DEF">
      <w:pPr>
        <w:pStyle w:val="2"/>
        <w:spacing w:before="79" w:line="360" w:lineRule="auto"/>
        <w:ind w:firstLine="7956" w:firstLineChars="3900"/>
        <w:rPr>
          <w:rFonts w:hint="eastAsia" w:ascii="仿宋" w:hAnsi="仿宋" w:eastAsia="仿宋" w:cs="仿宋"/>
          <w:sz w:val="24"/>
          <w:szCs w:val="24"/>
        </w:rPr>
      </w:pPr>
      <w:r>
        <w:rPr>
          <w:rFonts w:hint="eastAsia" w:ascii="仿宋" w:hAnsi="仿宋" w:eastAsia="仿宋" w:cs="仿宋"/>
          <w:spacing w:val="-18"/>
          <w:sz w:val="24"/>
          <w:szCs w:val="24"/>
        </w:rPr>
        <w:t>供应商（盖章</w:t>
      </w:r>
      <w:r>
        <w:rPr>
          <w:rFonts w:hint="eastAsia" w:ascii="仿宋" w:hAnsi="仿宋" w:eastAsia="仿宋" w:cs="仿宋"/>
          <w:spacing w:val="-34"/>
          <w:sz w:val="24"/>
          <w:szCs w:val="24"/>
        </w:rPr>
        <w:t>）：</w:t>
      </w:r>
      <w:r>
        <w:rPr>
          <w:rFonts w:hint="eastAsia" w:ascii="仿宋" w:hAnsi="仿宋" w:eastAsia="仿宋" w:cs="仿宋"/>
          <w:spacing w:val="-72"/>
          <w:sz w:val="24"/>
          <w:szCs w:val="24"/>
        </w:rPr>
        <w:t xml:space="preserve"> </w:t>
      </w:r>
      <w:r>
        <w:rPr>
          <w:rFonts w:hint="eastAsia" w:ascii="仿宋" w:hAnsi="仿宋" w:eastAsia="仿宋" w:cs="仿宋"/>
          <w:sz w:val="24"/>
          <w:szCs w:val="24"/>
          <w:u w:val="single" w:color="auto"/>
        </w:rPr>
        <w:t xml:space="preserve">                                 </w:t>
      </w:r>
    </w:p>
    <w:p w14:paraId="0F28B7A0">
      <w:pPr>
        <w:pStyle w:val="2"/>
        <w:spacing w:before="78" w:line="360" w:lineRule="auto"/>
        <w:ind w:left="2643" w:leftChars="0" w:firstLine="5335" w:firstLineChars="2722"/>
        <w:rPr>
          <w:rFonts w:hint="eastAsia" w:ascii="仿宋" w:hAnsi="仿宋" w:eastAsia="仿宋" w:cs="仿宋"/>
          <w:sz w:val="24"/>
          <w:szCs w:val="24"/>
        </w:rPr>
      </w:pPr>
      <w:r>
        <w:rPr>
          <w:rFonts w:hint="eastAsia" w:ascii="仿宋" w:hAnsi="仿宋" w:eastAsia="仿宋" w:cs="仿宋"/>
          <w:spacing w:val="-22"/>
          <w:sz w:val="24"/>
          <w:szCs w:val="24"/>
        </w:rPr>
        <w:t xml:space="preserve">日      </w:t>
      </w:r>
      <w:r>
        <w:rPr>
          <w:rFonts w:hint="eastAsia" w:ascii="仿宋" w:hAnsi="仿宋" w:eastAsia="仿宋" w:cs="仿宋"/>
          <w:spacing w:val="-22"/>
          <w:sz w:val="24"/>
          <w:szCs w:val="24"/>
          <w:lang w:val="en-US" w:eastAsia="zh-CN"/>
        </w:rPr>
        <w:t xml:space="preserve">  </w:t>
      </w:r>
      <w:r>
        <w:rPr>
          <w:rFonts w:hint="eastAsia" w:ascii="仿宋" w:hAnsi="仿宋" w:eastAsia="仿宋" w:cs="仿宋"/>
          <w:spacing w:val="-22"/>
          <w:sz w:val="24"/>
          <w:szCs w:val="24"/>
        </w:rPr>
        <w:t xml:space="preserve">   期：</w:t>
      </w:r>
      <w:r>
        <w:rPr>
          <w:rFonts w:hint="eastAsia" w:ascii="仿宋" w:hAnsi="仿宋" w:eastAsia="仿宋" w:cs="仿宋"/>
          <w:spacing w:val="-73"/>
          <w:sz w:val="24"/>
          <w:szCs w:val="24"/>
        </w:rPr>
        <w:t xml:space="preserve"> </w:t>
      </w:r>
      <w:r>
        <w:rPr>
          <w:rFonts w:hint="eastAsia" w:ascii="仿宋" w:hAnsi="仿宋" w:eastAsia="仿宋" w:cs="仿宋"/>
          <w:sz w:val="24"/>
          <w:szCs w:val="24"/>
          <w:u w:val="single" w:color="auto"/>
        </w:rPr>
        <w:t xml:space="preserve">                            </w:t>
      </w:r>
      <w:r>
        <w:rPr>
          <w:rFonts w:hint="eastAsia"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p>
    <w:p w14:paraId="2F93C8CF">
      <w:pPr>
        <w:spacing w:line="360" w:lineRule="auto"/>
        <w:rPr>
          <w:rFonts w:hint="eastAsia" w:ascii="仿宋" w:hAnsi="仿宋" w:eastAsia="仿宋" w:cs="仿宋"/>
          <w:spacing w:val="-1"/>
          <w:sz w:val="24"/>
          <w:szCs w:val="24"/>
        </w:rPr>
      </w:pPr>
    </w:p>
    <w:p w14:paraId="629808DB">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rPr>
        <w:t>注：</w:t>
      </w:r>
    </w:p>
    <w:p w14:paraId="14758A5A">
      <w:pPr>
        <w:numPr>
          <w:ilvl w:val="0"/>
          <w:numId w:val="0"/>
        </w:numPr>
        <w:spacing w:line="360" w:lineRule="auto"/>
        <w:rPr>
          <w:rFonts w:hint="eastAsia" w:ascii="仿宋" w:hAnsi="仿宋" w:eastAsia="仿宋" w:cs="仿宋"/>
          <w:spacing w:val="-1"/>
          <w:sz w:val="24"/>
          <w:szCs w:val="24"/>
        </w:rPr>
      </w:pPr>
      <w:r>
        <w:rPr>
          <w:rFonts w:hint="eastAsia" w:ascii="仿宋" w:hAnsi="仿宋" w:eastAsia="仿宋" w:cs="仿宋"/>
          <w:snapToGrid w:val="0"/>
          <w:color w:val="000000"/>
          <w:spacing w:val="-1"/>
          <w:kern w:val="0"/>
          <w:sz w:val="24"/>
          <w:szCs w:val="24"/>
          <w:lang w:val="en-US" w:eastAsia="en-US" w:bidi="ar-SA"/>
        </w:rPr>
        <w:t>1.</w:t>
      </w:r>
      <w:r>
        <w:rPr>
          <w:rFonts w:hint="eastAsia" w:ascii="仿宋" w:hAnsi="仿宋" w:eastAsia="仿宋" w:cs="仿宋"/>
          <w:spacing w:val="-1"/>
          <w:sz w:val="24"/>
          <w:szCs w:val="24"/>
        </w:rPr>
        <w:t>供应商根据本</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文件的供应商须知</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第三章除商务要求外的内容</w:t>
      </w:r>
      <w:r>
        <w:rPr>
          <w:rFonts w:hint="eastAsia" w:ascii="仿宋" w:hAnsi="仿宋" w:eastAsia="仿宋" w:cs="仿宋"/>
          <w:spacing w:val="-1"/>
          <w:sz w:val="24"/>
          <w:szCs w:val="24"/>
        </w:rPr>
        <w:t>填写本表；</w:t>
      </w:r>
    </w:p>
    <w:p w14:paraId="1B1EFA37">
      <w:pPr>
        <w:numPr>
          <w:ilvl w:val="0"/>
          <w:numId w:val="0"/>
        </w:num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lang w:val="en-US" w:eastAsia="zh-CN"/>
        </w:rPr>
        <w:t>2</w:t>
      </w:r>
      <w:r>
        <w:rPr>
          <w:rFonts w:hint="eastAsia" w:ascii="仿宋" w:hAnsi="仿宋" w:eastAsia="仿宋" w:cs="仿宋"/>
          <w:spacing w:val="-1"/>
          <w:sz w:val="24"/>
          <w:szCs w:val="24"/>
        </w:rPr>
        <w:t>.对完全响应的条目在本表相应列中标注“</w:t>
      </w:r>
      <w:r>
        <w:rPr>
          <w:rFonts w:hint="eastAsia" w:ascii="仿宋" w:hAnsi="仿宋" w:eastAsia="仿宋" w:cs="仿宋"/>
          <w:spacing w:val="-1"/>
          <w:sz w:val="24"/>
          <w:szCs w:val="24"/>
          <w:lang w:val="en-US" w:eastAsia="zh-CN"/>
        </w:rPr>
        <w:t>无偏离</w:t>
      </w:r>
      <w:r>
        <w:rPr>
          <w:rFonts w:hint="eastAsia" w:ascii="仿宋" w:hAnsi="仿宋" w:eastAsia="仿宋" w:cs="仿宋"/>
          <w:spacing w:val="-1"/>
          <w:sz w:val="24"/>
          <w:szCs w:val="24"/>
        </w:rPr>
        <w:t>”。对有偏离的条目在本表相应列中标注“正偏离”或“负偏离”。</w:t>
      </w:r>
    </w:p>
    <w:p w14:paraId="3B467AEC">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lang w:val="en-US" w:eastAsia="zh-CN"/>
        </w:rPr>
        <w:t>3</w:t>
      </w:r>
      <w:r>
        <w:rPr>
          <w:rFonts w:hint="eastAsia" w:ascii="仿宋" w:hAnsi="仿宋" w:eastAsia="仿宋" w:cs="仿宋"/>
          <w:spacing w:val="-1"/>
          <w:sz w:val="24"/>
          <w:szCs w:val="24"/>
        </w:rPr>
        <w:t>.正偏离是指应答的条件高于</w:t>
      </w:r>
      <w:r>
        <w:rPr>
          <w:rFonts w:hint="eastAsia" w:ascii="仿宋" w:hAnsi="仿宋" w:eastAsia="仿宋" w:cs="仿宋"/>
          <w:spacing w:val="-1"/>
          <w:sz w:val="24"/>
          <w:szCs w:val="24"/>
          <w:lang w:val="en-US" w:eastAsia="zh-CN"/>
        </w:rPr>
        <w:t>招标</w:t>
      </w:r>
      <w:r>
        <w:rPr>
          <w:rFonts w:hint="eastAsia" w:ascii="仿宋" w:hAnsi="仿宋" w:eastAsia="仿宋" w:cs="仿宋"/>
          <w:spacing w:val="-1"/>
          <w:sz w:val="24"/>
          <w:szCs w:val="24"/>
        </w:rPr>
        <w:t>文件要求，负偏离是指应答的条件低于</w:t>
      </w:r>
      <w:r>
        <w:rPr>
          <w:rFonts w:hint="eastAsia" w:ascii="仿宋" w:hAnsi="仿宋" w:eastAsia="仿宋" w:cs="仿宋"/>
          <w:spacing w:val="-1"/>
          <w:sz w:val="24"/>
          <w:szCs w:val="24"/>
          <w:lang w:eastAsia="zh-CN"/>
        </w:rPr>
        <w:t>招标文件</w:t>
      </w:r>
      <w:r>
        <w:rPr>
          <w:rFonts w:hint="eastAsia" w:ascii="仿宋" w:hAnsi="仿宋" w:eastAsia="仿宋" w:cs="仿宋"/>
          <w:spacing w:val="-1"/>
          <w:sz w:val="24"/>
          <w:szCs w:val="24"/>
        </w:rPr>
        <w:t>要求，正偏离项目不作扣分处理。</w:t>
      </w:r>
    </w:p>
    <w:p w14:paraId="317BFCBF">
      <w:pPr>
        <w:spacing w:line="360" w:lineRule="auto"/>
        <w:rPr>
          <w:rFonts w:hint="eastAsia" w:ascii="仿宋" w:hAnsi="仿宋" w:eastAsia="仿宋" w:cs="仿宋"/>
          <w:spacing w:val="-1"/>
          <w:sz w:val="24"/>
          <w:szCs w:val="24"/>
        </w:rPr>
      </w:pPr>
      <w:r>
        <w:rPr>
          <w:rFonts w:hint="eastAsia" w:ascii="仿宋" w:hAnsi="仿宋" w:eastAsia="仿宋" w:cs="仿宋"/>
          <w:spacing w:val="-1"/>
          <w:sz w:val="24"/>
          <w:szCs w:val="24"/>
          <w:lang w:val="en-US" w:eastAsia="zh-CN"/>
        </w:rPr>
        <w:t>4</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供应商须按照用户需求书逐条完整填写响应表。如果未完整填写响应表的各项内容则视作供应商已经对</w:t>
      </w:r>
      <w:r>
        <w:rPr>
          <w:rFonts w:hint="eastAsia" w:ascii="仿宋" w:hAnsi="仿宋" w:eastAsia="仿宋" w:cs="仿宋"/>
          <w:spacing w:val="-1"/>
          <w:sz w:val="24"/>
          <w:szCs w:val="24"/>
          <w:lang w:eastAsia="zh-CN"/>
        </w:rPr>
        <w:t>招标文件</w:t>
      </w:r>
      <w:r>
        <w:rPr>
          <w:rFonts w:hint="eastAsia" w:ascii="仿宋" w:hAnsi="仿宋" w:eastAsia="仿宋" w:cs="仿宋"/>
          <w:spacing w:val="-1"/>
          <w:sz w:val="24"/>
          <w:szCs w:val="24"/>
        </w:rPr>
        <w:t>相关要求和内容完全理解并同意，其报价为在此基础上的完全价格。</w:t>
      </w:r>
    </w:p>
    <w:p w14:paraId="47350D7A">
      <w:pPr>
        <w:spacing w:line="360" w:lineRule="auto"/>
        <w:rPr>
          <w:rFonts w:hint="eastAsia" w:eastAsia="仿宋"/>
          <w:sz w:val="24"/>
          <w:szCs w:val="24"/>
          <w:lang w:val="en-US" w:eastAsia="zh-CN"/>
        </w:rPr>
      </w:pPr>
      <w:r>
        <w:rPr>
          <w:rFonts w:hint="eastAsia" w:ascii="仿宋" w:hAnsi="仿宋" w:eastAsia="仿宋" w:cs="仿宋"/>
          <w:spacing w:val="-1"/>
          <w:sz w:val="24"/>
          <w:szCs w:val="24"/>
          <w:lang w:val="en-US" w:eastAsia="zh-CN"/>
        </w:rPr>
        <w:t>5</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在采购人与</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签订合同时，如</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未在响应文件“响应表”中列出偏离说明，无论即将发生或已发生任何情形，均视为完全符合</w:t>
      </w:r>
      <w:r>
        <w:rPr>
          <w:rFonts w:hint="eastAsia" w:ascii="仿宋" w:hAnsi="仿宋" w:eastAsia="仿宋" w:cs="仿宋"/>
          <w:spacing w:val="-1"/>
          <w:sz w:val="24"/>
          <w:szCs w:val="24"/>
          <w:lang w:eastAsia="zh-CN"/>
        </w:rPr>
        <w:t>招标文件</w:t>
      </w:r>
      <w:r>
        <w:rPr>
          <w:rFonts w:hint="eastAsia" w:ascii="仿宋" w:hAnsi="仿宋" w:eastAsia="仿宋" w:cs="仿宋"/>
          <w:spacing w:val="-1"/>
          <w:sz w:val="24"/>
          <w:szCs w:val="24"/>
        </w:rPr>
        <w:t>要求，并写入合同。若</w:t>
      </w:r>
      <w:r>
        <w:rPr>
          <w:rFonts w:hint="eastAsia" w:ascii="仿宋" w:hAnsi="仿宋" w:eastAsia="仿宋" w:cs="仿宋"/>
          <w:spacing w:val="-1"/>
          <w:sz w:val="24"/>
          <w:szCs w:val="24"/>
          <w:lang w:eastAsia="zh-CN"/>
        </w:rPr>
        <w:t>中标供应商</w:t>
      </w:r>
      <w:r>
        <w:rPr>
          <w:rFonts w:hint="eastAsia" w:ascii="仿宋" w:hAnsi="仿宋" w:eastAsia="仿宋" w:cs="仿宋"/>
          <w:spacing w:val="-1"/>
          <w:sz w:val="24"/>
          <w:szCs w:val="24"/>
        </w:rPr>
        <w:t>在合同签订前，以上述事项为借口而不履行合同签订手续及执行合同，则视作拒绝与采购人签订合同</w:t>
      </w:r>
      <w:r>
        <w:rPr>
          <w:rFonts w:hint="eastAsia" w:ascii="仿宋" w:hAnsi="仿宋" w:eastAsia="仿宋" w:cs="仿宋"/>
          <w:spacing w:val="-1"/>
          <w:sz w:val="24"/>
          <w:szCs w:val="24"/>
          <w:lang w:eastAsia="zh-CN"/>
        </w:rPr>
        <w:t>。</w:t>
      </w:r>
    </w:p>
    <w:sectPr>
      <w:pgSz w:w="16838" w:h="11906" w:orient="landscape"/>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EA18CC"/>
    <w:rsid w:val="031C2553"/>
    <w:rsid w:val="04710913"/>
    <w:rsid w:val="10127B73"/>
    <w:rsid w:val="15BE50E8"/>
    <w:rsid w:val="1B5C4117"/>
    <w:rsid w:val="1C0E26F1"/>
    <w:rsid w:val="29AE0629"/>
    <w:rsid w:val="2EE43FBD"/>
    <w:rsid w:val="42C93621"/>
    <w:rsid w:val="54E070F1"/>
    <w:rsid w:val="54EA18CC"/>
    <w:rsid w:val="6AA23DFF"/>
    <w:rsid w:val="6FAA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customStyle="1" w:styleId="5">
    <w:name w:val="Table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2607</Words>
  <Characters>2670</Characters>
  <Lines>0</Lines>
  <Paragraphs>0</Paragraphs>
  <TotalTime>3</TotalTime>
  <ScaleCrop>false</ScaleCrop>
  <LinksUpToDate>false</LinksUpToDate>
  <CharactersWithSpaces>2749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2026-04-02T10:30:00Z</dcterms:created>
  <dc:creator>DU.</dc:creator>
  <cp:lastModifiedBy>肖肖</cp:lastModifiedBy>
  <dcterms:modified xsi:type="dcterms:W3CDTF">2026-06-01T07:36:57Z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E282FD78745A44D08DF9069D7C161B88_11</vt:lpwstr>
  </property>
  <property fmtid="{D5CDD505-2E9C-101B-9397-08002B2CF9AE}" pid="4" name="KSOTemplateDocerSaveRecord">
    <vt:lpwstr>eyJoZGlkIjoiMjRmYjg0N2M1ODc3ODUwZjJhZjcwZDM5MTYzMGM2OWIiLCJ1c2VySWQiOiI0MzM4MTU0MzAifQ==</vt:lpwstr>
  </property>
</Properties>
</file>