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版本号：YAZBTC2026-013.1B120260728001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铜川市颗粒物激光雷达和走航车系统监测运维服务项目(二次)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YAZBTC2026-013.1B1</w:t>
      </w:r>
      <w:r>
        <w:br/>
      </w:r>
      <w:r>
        <w:br/>
      </w:r>
      <w:r>
        <w:br/>
      </w:r>
    </w:p>
    <w:p>
      <w:pPr>
        <w:pStyle w:val="null3"/>
        <w:jc w:val="center"/>
        <w:outlineLvl w:val="2"/>
      </w:pPr>
      <w:r>
        <w:rPr>
          <w:rFonts w:ascii="仿宋_GB2312" w:hAnsi="仿宋_GB2312" w:cs="仿宋_GB2312" w:eastAsia="仿宋_GB2312"/>
          <w:sz w:val="28"/>
          <w:b/>
        </w:rPr>
        <w:t>铜川市生态环境局</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铜川市生态环境局</w:t>
      </w:r>
      <w:r>
        <w:rPr>
          <w:rFonts w:ascii="仿宋_GB2312" w:hAnsi="仿宋_GB2312" w:cs="仿宋_GB2312" w:eastAsia="仿宋_GB2312"/>
        </w:rPr>
        <w:t>委托，拟对</w:t>
      </w:r>
      <w:r>
        <w:rPr>
          <w:rFonts w:ascii="仿宋_GB2312" w:hAnsi="仿宋_GB2312" w:cs="仿宋_GB2312" w:eastAsia="仿宋_GB2312"/>
        </w:rPr>
        <w:t>铜川市颗粒物激光雷达和走航车系统监测运维服务项目(二次)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YAZBTC2026-013.1B1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铜川市颗粒物激光雷达和走航车系统监测运维服务项目(二次)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聚焦于5套颗粒物激光雷达及1台走航监测车系统的运维与数据分析服务。在项目运维服务期间，将全方位保障设备的稳定运行与数据的精准可靠，深度挖掘数据价值，为区域大气污染防治工作提供持续、高效的助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采购包1（铜川市颗粒物激光雷达和走航车系统监测运维服务项目）：属于专门面向中小企业采购。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1、供应商是法⼈或其他组织的应提供营业执照等证明⽂件：供应商具有独⽴承担⺠事责任能⼒的法⼈、其他组织或⾃然⼈，并出具合法有效的营业执 照或事业单位法⼈证书等国家规定的相关证明，⾃然⼈参与的提供其⾝份证明；</w:t>
      </w:r>
    </w:p>
    <w:p>
      <w:pPr>
        <w:pStyle w:val="null3"/>
      </w:pPr>
      <w:r>
        <w:rPr>
          <w:rFonts w:ascii="仿宋_GB2312" w:hAnsi="仿宋_GB2312" w:cs="仿宋_GB2312" w:eastAsia="仿宋_GB2312"/>
        </w:rPr>
        <w:t>2、财务状况报告：供应商提供具有财务审计资质单位出具的2024或2025年度财务报告或磋商前六个⽉内 其基本账⼾银⾏出具的资信证明或政府采购信⽤担保机构出具的磋商担保函；</w:t>
      </w:r>
    </w:p>
    <w:p>
      <w:pPr>
        <w:pStyle w:val="null3"/>
      </w:pPr>
      <w:r>
        <w:rPr>
          <w:rFonts w:ascii="仿宋_GB2312" w:hAnsi="仿宋_GB2312" w:cs="仿宋_GB2312" w:eastAsia="仿宋_GB2312"/>
        </w:rPr>
        <w:t>3、税收交纳证明：供应商提供响应⽂件提交截⽌时间前六个⽉内任意⼆个⽉的缴费凭据；（依法免税的供应 商应提 供相关⽂件证明）；</w:t>
      </w:r>
    </w:p>
    <w:p>
      <w:pPr>
        <w:pStyle w:val="null3"/>
      </w:pPr>
      <w:r>
        <w:rPr>
          <w:rFonts w:ascii="仿宋_GB2312" w:hAnsi="仿宋_GB2312" w:cs="仿宋_GB2312" w:eastAsia="仿宋_GB2312"/>
        </w:rPr>
        <w:t>4、社会保障资⾦交纳证明：供应商提供响应⽂件递交截⽌时间前六个⽉内任意⼆个⽉的社保缴费凭据或社保机构开具 的社会 保险参保缴费情况证明；（依法不需要交纳社会保障资⾦的供应商应提供相关证明 ）；</w:t>
      </w:r>
    </w:p>
    <w:p>
      <w:pPr>
        <w:pStyle w:val="null3"/>
      </w:pPr>
      <w:r>
        <w:rPr>
          <w:rFonts w:ascii="仿宋_GB2312" w:hAnsi="仿宋_GB2312" w:cs="仿宋_GB2312" w:eastAsia="仿宋_GB2312"/>
        </w:rPr>
        <w:t>5、承诺、说明及书⾯声明：1、提供具有履⾏本合同所必需的设备和专业技术能⼒的说明及承诺； 2、提供参加政府 采购活动前三年内在经营活动中没有重⼤违法记录的书⾯声明；</w:t>
      </w:r>
    </w:p>
    <w:p>
      <w:pPr>
        <w:pStyle w:val="null3"/>
      </w:pPr>
      <w:r>
        <w:rPr>
          <w:rFonts w:ascii="仿宋_GB2312" w:hAnsi="仿宋_GB2312" w:cs="仿宋_GB2312" w:eastAsia="仿宋_GB2312"/>
        </w:rPr>
        <w:t>6、法定代表⼈授权书/ 法定代表⼈⾝份证明：法定代表⼈参与磋商时需提供法定代表⼈⾝份证明；被授权⼈参与磋商时需提供法定代表⼈授权委托书；</w:t>
      </w:r>
    </w:p>
    <w:p>
      <w:pPr>
        <w:pStyle w:val="null3"/>
      </w:pPr>
      <w:r>
        <w:rPr>
          <w:rFonts w:ascii="仿宋_GB2312" w:hAnsi="仿宋_GB2312" w:cs="仿宋_GB2312" w:eastAsia="仿宋_GB2312"/>
        </w:rPr>
        <w:t>7、信⽤查询：供应商不得为“信⽤中国(www.creditchina.gov.cn)”中列⼊失信被执⾏⼈名单的供应商 ，不得为“中国政府采购⽹(www.ccgp.gov.cn)”政府采购严重违法失信⾏为记录名单中 被财政部⻔禁⽌参加政府采购活动的供应商。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铜川市新区齐庆璐4号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铜川市生态环境局经办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18309197806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代理服务费收费标准：按国家计委颁布的《招标代理服务收费管理暂行办法》（计 价格[2002]1980 号）及发改办价格[2003]857 号文件标准下浮 3%收取计取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铜川市生态环境局</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铜川市生态环境局</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双⽅签订合同时具体约定。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于5套颗粒物激光雷达及1台走航监测车系统的运维与数据分析服务。在项目运维服务期间，将全方位保障设备的稳定运行与数据的精准可靠，深度挖掘数据价值，为区域大气污染防治工作提供持续、高效的助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铜川市颗粒物激光雷达和走航车系统监测运维服务项目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标的名称：铜川市颗粒物激光雷达和走航车系统监测运维服务项目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本项目聚焦于</w:t>
            </w:r>
            <w:r>
              <w:rPr>
                <w:rFonts w:ascii="仿宋_GB2312" w:hAnsi="仿宋_GB2312" w:cs="仿宋_GB2312" w:eastAsia="仿宋_GB2312"/>
                <w:sz w:val="24"/>
              </w:rPr>
              <w:t>5套颗粒物激光雷达及1台走航监测车系统的运维与数据分析服务。在项目运维服务期间，将全方位保障设备的稳定运行与数据的精准可靠，深度挖掘数据价值，为区域大气污染防治工作提供持续、高效的助力。</w:t>
            </w:r>
          </w:p>
          <w:p>
            <w:pPr>
              <w:pStyle w:val="null3"/>
              <w:jc w:val="both"/>
            </w:pPr>
            <w:r>
              <w:rPr>
                <w:rFonts w:ascii="仿宋_GB2312" w:hAnsi="仿宋_GB2312" w:cs="仿宋_GB2312" w:eastAsia="仿宋_GB2312"/>
                <w:sz w:val="24"/>
              </w:rPr>
              <w:t>二、技术要求：</w:t>
            </w:r>
          </w:p>
          <w:p>
            <w:pPr>
              <w:pStyle w:val="null3"/>
              <w:ind w:firstLine="480"/>
              <w:jc w:val="both"/>
            </w:pPr>
            <w:r>
              <w:rPr>
                <w:rFonts w:ascii="仿宋_GB2312" w:hAnsi="仿宋_GB2312" w:cs="仿宋_GB2312" w:eastAsia="仿宋_GB2312"/>
                <w:sz w:val="24"/>
              </w:rPr>
              <w:t>1、颗粒物激光雷达运维服务：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保障设备稳定运行，每周清洁设备，每日检测供电与网络，每半月检查消防器材，每月测试安全设施；维护后如实记录，定期培训考核。每月校准雷达、更新固件软件，搭建数据质量监管系统，操作人员须经专业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2）保障数据准确性，建立备件耗材库存系统，严格质检、先进先出；定期巡查环境与设备状态；每月多点校准并比对周边站点数据，确保准确。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每日查看设备状态，定期巡检关键参数；按需清洁窗口，每月清理散热风扇；每月备份数据并归档，每季度抄录电表并分析能耗；每周调整光路系统。建立应急响应预案，设24小时热线，1小时响应、1至3小时到场；实时监控并追溯异常数据，疑似污染立即应急监测并上报。在铜川设办事处，配备人员、工具及车辆，快速响应需求。</w:t>
            </w:r>
          </w:p>
          <w:p>
            <w:pPr>
              <w:pStyle w:val="null3"/>
              <w:ind w:firstLine="480"/>
              <w:jc w:val="both"/>
            </w:pPr>
            <w:r>
              <w:rPr>
                <w:rFonts w:ascii="仿宋_GB2312" w:hAnsi="仿宋_GB2312" w:cs="仿宋_GB2312" w:eastAsia="仿宋_GB2312"/>
                <w:sz w:val="24"/>
              </w:rPr>
              <w:t>2、走航监测车运维服务：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1）每次走航前检测电路、网络及通讯系统，查看设备面板信息，异常及时处理并记录。保持车内整洁，设备稳固、线缆牢固。制定车辆保养计划，定期维护并建立档案。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2）接到走航任务后2小时内完成准备，确认路线与点位。设备故障30分钟内响应，一般故障2小时解决，复杂故障8小时恢复关键功能、24小时修复。污染事故1小时内赶赴现场，30分钟内调试，及时上报。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3）运维工程师须配合开展各类走航监测，确保数据准确，及时处理并记录问题；任务结束后出具报告。建立问题反馈台账，定期分析总结，优化流程与服务。</w:t>
            </w:r>
          </w:p>
          <w:p>
            <w:pPr>
              <w:pStyle w:val="null3"/>
              <w:ind w:firstLine="480"/>
              <w:jc w:val="both"/>
            </w:pPr>
            <w:r>
              <w:rPr>
                <w:rFonts w:ascii="仿宋_GB2312" w:hAnsi="仿宋_GB2312" w:cs="仿宋_GB2312" w:eastAsia="仿宋_GB2312"/>
                <w:sz w:val="24"/>
              </w:rPr>
              <w:t>3、数据分析服务：</w:t>
            </w:r>
          </w:p>
          <w:p>
            <w:pPr>
              <w:pStyle w:val="null3"/>
              <w:ind w:firstLine="480"/>
              <w:jc w:val="both"/>
            </w:pPr>
            <w:r>
              <w:rPr>
                <w:rFonts w:ascii="仿宋_GB2312" w:hAnsi="仿宋_GB2312" w:cs="仿宋_GB2312" w:eastAsia="仿宋_GB2312"/>
                <w:sz w:val="24"/>
              </w:rPr>
              <w:t>结合大气污染防治需求，对激光雷达及外源数据进行融合分析，对典型污染过程开展时序变化分析，结合气象条件综合研判，服务期内按需提供污染过程成因分析报告。报告形式包括日报、月报及污染应急分析报告，采购人有权调整或增加内容。</w:t>
            </w:r>
          </w:p>
          <w:p>
            <w:pPr>
              <w:pStyle w:val="null3"/>
              <w:numPr>
                <w:ilvl w:val="0"/>
                <w:numId w:val="1"/>
              </w:numPr>
              <w:jc w:val="both"/>
            </w:pPr>
            <w:r>
              <w:rPr>
                <w:rFonts w:ascii="仿宋_GB2312" w:hAnsi="仿宋_GB2312" w:cs="仿宋_GB2312" w:eastAsia="仿宋_GB2312"/>
                <w:sz w:val="24"/>
              </w:rPr>
              <w:t>运维人员服务：</w:t>
            </w:r>
          </w:p>
          <w:p>
            <w:pPr>
              <w:pStyle w:val="null3"/>
              <w:ind w:firstLine="480"/>
              <w:jc w:val="both"/>
            </w:pPr>
            <w:r>
              <w:rPr>
                <w:rFonts w:ascii="仿宋_GB2312" w:hAnsi="仿宋_GB2312" w:cs="仿宋_GB2312" w:eastAsia="仿宋_GB2312"/>
                <w:sz w:val="24"/>
              </w:rPr>
              <w:t>为保障走航监测工作顺利开展，须落实服务团队。团队成员须熟悉本地路况，确保行车安全；工程师须负责设备运维、走航监测及报告编制等工作。同时须建立团队协作机制、</w:t>
            </w:r>
            <w:r>
              <w:rPr>
                <w:rFonts w:ascii="仿宋_GB2312" w:hAnsi="仿宋_GB2312" w:cs="仿宋_GB2312" w:eastAsia="仿宋_GB2312"/>
                <w:sz w:val="24"/>
              </w:rPr>
              <w:t>24小时值班制度及内部培训交流机制。</w:t>
            </w:r>
          </w:p>
          <w:p>
            <w:pPr>
              <w:pStyle w:val="null3"/>
              <w:numPr>
                <w:ilvl w:val="0"/>
                <w:numId w:val="1"/>
              </w:numPr>
              <w:jc w:val="both"/>
            </w:pPr>
            <w:r>
              <w:rPr>
                <w:rFonts w:ascii="仿宋_GB2312" w:hAnsi="仿宋_GB2312" w:cs="仿宋_GB2312" w:eastAsia="仿宋_GB2312"/>
                <w:sz w:val="24"/>
              </w:rPr>
              <w:t>服务响应：</w:t>
            </w:r>
          </w:p>
          <w:p>
            <w:pPr>
              <w:pStyle w:val="null3"/>
              <w:ind w:firstLine="480"/>
              <w:jc w:val="both"/>
            </w:pPr>
            <w:r>
              <w:rPr>
                <w:rFonts w:ascii="仿宋_GB2312" w:hAnsi="仿宋_GB2312" w:cs="仿宋_GB2312" w:eastAsia="仿宋_GB2312"/>
                <w:sz w:val="24"/>
              </w:rPr>
              <w:t>通过热线、微信提供即时技术咨询与解答；可远程进行故障处理或操作指导；每半个月进行一次定期巡检，评估系统运行状态并及时报告隐患；远程无法解决的故障，须在1-</w:t>
            </w:r>
            <w:r>
              <w:rPr>
                <w:rFonts w:ascii="仿宋_GB2312" w:hAnsi="仿宋_GB2312" w:cs="仿宋_GB2312" w:eastAsia="仿宋_GB2312"/>
                <w:sz w:val="24"/>
              </w:rPr>
              <w:t>2小时内到达现场处理。</w:t>
            </w:r>
          </w:p>
          <w:p>
            <w:pPr>
              <w:pStyle w:val="null3"/>
              <w:numPr>
                <w:ilvl w:val="0"/>
                <w:numId w:val="1"/>
              </w:numPr>
              <w:jc w:val="both"/>
            </w:pPr>
            <w:r>
              <w:rPr>
                <w:rFonts w:ascii="仿宋_GB2312" w:hAnsi="仿宋_GB2312" w:cs="仿宋_GB2312" w:eastAsia="仿宋_GB2312"/>
                <w:sz w:val="24"/>
              </w:rPr>
              <w:t>培训服务：</w:t>
            </w:r>
          </w:p>
          <w:p>
            <w:pPr>
              <w:pStyle w:val="null3"/>
              <w:ind w:firstLine="480"/>
              <w:jc w:val="both"/>
            </w:pPr>
            <w:r>
              <w:rPr>
                <w:rFonts w:ascii="仿宋_GB2312" w:hAnsi="仿宋_GB2312" w:cs="仿宋_GB2312" w:eastAsia="仿宋_GB2312"/>
                <w:sz w:val="24"/>
              </w:rPr>
              <w:t>须对平台及走航车操作人员提供培训。培训内容包括平台数据查看、扫描分析、污染源标绘，以及走航设备操作、软件使用、数据分析与热点标绘等。采用课堂讲解与实操相结合的方式，分阶段考核，根据效果安排二次或一对一培训，并提供远程指导。培训期间每日出具一份激光雷达总结报告，每月提供走航车监测月报、总结专报及次月走航计划。</w:t>
            </w:r>
          </w:p>
          <w:p>
            <w:pPr>
              <w:pStyle w:val="null3"/>
              <w:numPr>
                <w:ilvl w:val="0"/>
                <w:numId w:val="1"/>
              </w:numPr>
              <w:jc w:val="both"/>
            </w:pPr>
            <w:r>
              <w:rPr>
                <w:rFonts w:ascii="仿宋_GB2312" w:hAnsi="仿宋_GB2312" w:cs="仿宋_GB2312" w:eastAsia="仿宋_GB2312"/>
                <w:sz w:val="24"/>
              </w:rPr>
              <w:t>应急响应：</w:t>
            </w:r>
          </w:p>
          <w:p>
            <w:pPr>
              <w:pStyle w:val="null3"/>
              <w:ind w:firstLine="480"/>
              <w:jc w:val="both"/>
            </w:pPr>
            <w:r>
              <w:rPr>
                <w:rFonts w:ascii="仿宋_GB2312" w:hAnsi="仿宋_GB2312" w:cs="仿宋_GB2312" w:eastAsia="仿宋_GB2312"/>
                <w:sz w:val="24"/>
              </w:rPr>
              <w:t>须建立健全信息安全与设备故障应急响应机制。根据事件等级启动相应预案，实行预防预警与巡检监测，运维人员每周对服务器性能、数据库状态、操作系统日志、网络及安全设备运行情况等进行巡检，发现异常及时报告并部署应对措施。发生网络攻击、信息破坏、内容安全等事件时，立即报告采购人，断开网络、隔离系统、清除病毒、查找原因并恢复数据。发生网络、服务器、软件故障时，及时查清原因并尽快修复。激光雷达硬件故障须</w:t>
            </w:r>
            <w:r>
              <w:rPr>
                <w:rFonts w:ascii="仿宋_GB2312" w:hAnsi="仿宋_GB2312" w:cs="仿宋_GB2312" w:eastAsia="仿宋_GB2312"/>
                <w:sz w:val="24"/>
              </w:rPr>
              <w:t>2小时内到场，24小时内完成处理。</w:t>
            </w:r>
          </w:p>
          <w:p>
            <w:pPr>
              <w:pStyle w:val="null3"/>
              <w:ind w:firstLine="480"/>
              <w:jc w:val="both"/>
            </w:pPr>
            <w:r>
              <w:rPr>
                <w:rFonts w:ascii="仿宋_GB2312" w:hAnsi="仿宋_GB2312" w:cs="仿宋_GB2312" w:eastAsia="仿宋_GB2312"/>
                <w:sz w:val="24"/>
              </w:rPr>
              <w:t>三、付款方式：</w:t>
            </w:r>
          </w:p>
          <w:p>
            <w:pPr>
              <w:pStyle w:val="null3"/>
              <w:jc w:val="both"/>
            </w:pPr>
            <w:r>
              <w:rPr>
                <w:rFonts w:ascii="仿宋_GB2312" w:hAnsi="仿宋_GB2312" w:cs="仿宋_GB2312" w:eastAsia="仿宋_GB2312"/>
                <w:sz w:val="24"/>
              </w:rPr>
              <w:t xml:space="preserve">   1、 合同签订后(甲方支付乙方首年运维费)，达到付款条件起20个工作日内，支付合同总金额的45.0%</w:t>
            </w:r>
          </w:p>
          <w:p>
            <w:pPr>
              <w:pStyle w:val="null3"/>
              <w:jc w:val="both"/>
            </w:pPr>
            <w:r>
              <w:rPr>
                <w:rFonts w:ascii="仿宋_GB2312" w:hAnsi="仿宋_GB2312" w:cs="仿宋_GB2312" w:eastAsia="仿宋_GB2312"/>
                <w:sz w:val="24"/>
              </w:rPr>
              <w:t xml:space="preserve">   2、合同签订至运维期满12个月后，经甲方核查验收确认运维项目圆满完成且无任何遗留后(甲方支付乙方首年运维费)，达到付款条件起15个工作日内，支付合同总金额的55.0%；</w:t>
            </w:r>
          </w:p>
          <w:p>
            <w:pPr>
              <w:pStyle w:val="null3"/>
              <w:jc w:val="both"/>
            </w:pPr>
            <w:r>
              <w:rPr>
                <w:rFonts w:ascii="仿宋_GB2312" w:hAnsi="仿宋_GB2312" w:cs="仿宋_GB2312" w:eastAsia="仿宋_GB2312"/>
                <w:sz w:val="24"/>
              </w:rPr>
              <w:t xml:space="preserve">   3、第二年度的运维费按上述约定执行。</w:t>
            </w:r>
          </w:p>
          <w:p>
            <w:pPr>
              <w:pStyle w:val="null3"/>
              <w:ind w:firstLine="480"/>
              <w:jc w:val="both"/>
            </w:pPr>
            <w:r>
              <w:rPr>
                <w:rFonts w:ascii="仿宋_GB2312" w:hAnsi="仿宋_GB2312" w:cs="仿宋_GB2312" w:eastAsia="仿宋_GB2312"/>
                <w:sz w:val="24"/>
              </w:rPr>
              <w:t>四、服务期限</w:t>
            </w:r>
            <w:r>
              <w:rPr>
                <w:rFonts w:ascii="仿宋_GB2312" w:hAnsi="仿宋_GB2312" w:cs="仿宋_GB2312" w:eastAsia="仿宋_GB2312"/>
                <w:sz w:val="24"/>
              </w:rPr>
              <w:t>:2年（本项目采购预算金额为两年服务费用，属于一签多年，第二年通过续签合同的方式执行）。</w:t>
            </w:r>
          </w:p>
          <w:p>
            <w:pPr>
              <w:pStyle w:val="null3"/>
              <w:ind w:firstLine="480"/>
              <w:jc w:val="both"/>
            </w:pPr>
            <w:r>
              <w:rPr>
                <w:rFonts w:ascii="仿宋_GB2312" w:hAnsi="仿宋_GB2312" w:cs="仿宋_GB2312" w:eastAsia="仿宋_GB2312"/>
                <w:sz w:val="24"/>
              </w:rPr>
              <w:t>五、其他</w:t>
            </w:r>
          </w:p>
          <w:p>
            <w:pPr>
              <w:pStyle w:val="null3"/>
              <w:ind w:firstLine="480"/>
              <w:jc w:val="both"/>
            </w:pPr>
            <w:r>
              <w:rPr>
                <w:rFonts w:ascii="仿宋_GB2312" w:hAnsi="仿宋_GB2312" w:cs="仿宋_GB2312" w:eastAsia="仿宋_GB2312"/>
                <w:sz w:val="24"/>
              </w:rPr>
              <w:t>铜川激光雷达监测站点清单</w:t>
            </w:r>
          </w:p>
          <w:tbl>
            <w:tblPr>
              <w:tblBorders>
                <w:top w:val="none" w:color="000000" w:sz="4"/>
                <w:left w:val="none" w:color="000000" w:sz="4"/>
                <w:bottom w:val="none" w:color="000000" w:sz="4"/>
                <w:right w:val="none" w:color="000000" w:sz="4"/>
                <w:insideH w:val="none"/>
                <w:insideV w:val="none"/>
              </w:tblBorders>
            </w:tblPr>
            <w:tblGrid>
              <w:gridCol w:w="363"/>
              <w:gridCol w:w="2184"/>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站点名称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耀州区德馨佳苑小区站点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王益区大修厂小区站点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新区幸福里小区二期站点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印台区锦苑·华府小区站点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宜君县龙溪山语小区站点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2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激光雷达大气环境立体走航车</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服务期限:2年（本项目采购预算金额为两年服务费用，属于一签多年，第二年通过续签合同的方式执行）。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1.符合采购⼈与成交供应商签订的服务合同； 2.符合采购⽂件、采购需求的技术服务要 求、商务要求，以及符合供应商的响应⽂件及磋商结果； 3.符合产品原样本技术数据； 4.符合国家有关技术规范和标准； 5. 验收⽅式 甲⼄双⽅共同参照采购⽂件、响应⽂件、合同和承诺条款的有关内容、配置要求等，甲⽅在收到⼄⽅验收通知书及 相关验收资料后通知⼄⽅，甲⼄双⽅共同对系统进⾏验收，并由⼄⽅将验收报告提交甲⽅。 验收⼯作由甲⽅、财政部⻔及相 关专家共同完成，经相关负责⼈确认验收通过并签字、盖章，则视为甲⼄双⽅确认验收通过。验收过程和步骤应符合财政部⻔ 的有关规定，符合使⽤单位要求。除⾮甲⽅以书⾯⽅式同意予以免除，否则对于合同中约定的硬件产品，甲⽅均有权选择单 独，或要求⼄⽅协助对产品加电联通进⾏测试性运⾏或使⽤，以确定产品是否符合本合同约定。 7.甲⽅对交付成果提出异议的，⼄⽅应在接到异议之⽇起5个⼯作⽇内，选择以下⼀种或多种⽅式解决异议，相应的异议处理⽅式应经甲⽅认可： 1）上 ⻔修复、调试； 2）指定时间内免费更新到品质、性能更优良的软件系统。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进度款，合同签订后(甲方支付乙方首年运维费)，达到付款条件起20个工作日内，支付合同总金额的45.0%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进度款，合同签订至运维期满12个月后，经甲方核查验收确认运维项目圆满完成且无任何遗留后(甲方支付乙方首年运维费)，达到付款条件起15个工作日内，支付合同总金额的55.0%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合同执⾏中发⽣争议的，当事⼈双⽅应协解决。协商达不成⼀致时，可向同级⾏政 仲裁机关 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（1）服务期限:2年（本项目采购预算金额为两年服务费用，属于一签多年，第二年通过续签合同的方式执行）；（2）服务地点：采购人指定地点。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供应商是法⼈或其他组织的应提供营业执照等证明⽂件</w:t>
            </w:r>
          </w:p>
        </w:tc>
        <w:tc>
          <w:tcPr>
            <w:tcW w:type="dxa" w:w="3322"/>
          </w:tcPr>
          <w:p>
            <w:pPr>
              <w:pStyle w:val="null3"/>
            </w:pPr>
            <w:r>
              <w:rPr>
                <w:rFonts w:ascii="仿宋_GB2312" w:hAnsi="仿宋_GB2312" w:cs="仿宋_GB2312" w:eastAsia="仿宋_GB2312"/>
              </w:rPr>
              <w:t>供应商具有独⽴承担⺠事责任能⼒的法⼈、其他组织或⾃然⼈，并出具合法有效的营业执 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供应商提供具有财务审计资质单位出具的2024或2025年度财务报告或磋商前六个⽉内 其基本账⼾银⾏出具的资信证明或政府采购信⽤担保机构出具的磋商担保函；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供应商提供响应⽂件提交截⽌时间前六个⽉内任意⼆个⽉的缴费凭据；（依法免税的供应 商应提 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社会保障资⾦交纳证明</w:t>
            </w:r>
          </w:p>
        </w:tc>
        <w:tc>
          <w:tcPr>
            <w:tcW w:type="dxa" w:w="3322"/>
          </w:tcPr>
          <w:p>
            <w:pPr>
              <w:pStyle w:val="null3"/>
            </w:pPr>
            <w:r>
              <w:rPr>
                <w:rFonts w:ascii="仿宋_GB2312" w:hAnsi="仿宋_GB2312" w:cs="仿宋_GB2312" w:eastAsia="仿宋_GB2312"/>
              </w:rPr>
              <w:t>供应商提供响应⽂件递交截⽌时间前六个⽉内任意⼆个⽉的社保缴费凭据或社保机构开具 的社会 保险参保缴费情况证明；（依法不需要交纳社会保障资⾦的供应商应提供相关证明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承诺、说明及书⾯声明</w:t>
            </w:r>
          </w:p>
        </w:tc>
        <w:tc>
          <w:tcPr>
            <w:tcW w:type="dxa" w:w="3322"/>
          </w:tcPr>
          <w:p>
            <w:pPr>
              <w:pStyle w:val="null3"/>
            </w:pPr>
            <w:r>
              <w:rPr>
                <w:rFonts w:ascii="仿宋_GB2312" w:hAnsi="仿宋_GB2312" w:cs="仿宋_GB2312" w:eastAsia="仿宋_GB2312"/>
              </w:rPr>
              <w:t>1、提供具有履⾏本合同所必需的设备和专业技术能⼒的说明及承诺； 2、提供参加政府 采购活动前三年内在经营活动中没有重⼤违法记录的书⾯声明；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法定代表⼈授权书/ 法定代表⼈⾝份证明</w:t>
            </w:r>
          </w:p>
        </w:tc>
        <w:tc>
          <w:tcPr>
            <w:tcW w:type="dxa" w:w="3322"/>
          </w:tcPr>
          <w:p>
            <w:pPr>
              <w:pStyle w:val="null3"/>
            </w:pPr>
            <w:r>
              <w:rPr>
                <w:rFonts w:ascii="仿宋_GB2312" w:hAnsi="仿宋_GB2312" w:cs="仿宋_GB2312" w:eastAsia="仿宋_GB2312"/>
              </w:rPr>
              <w:t>法定代表⼈参与磋商时需提供法定代表⼈⾝份证明；被授权⼈参与磋商时需提供法定代表⼈授权委托书；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供应商不得为“信⽤中国(www.creditchina.gov.cn)”中列⼊失信被执⾏⼈名单的供应商 ，不得为“中国政府采购⽹(www.ccgp.gov.cn)”政府采购严重违法失信⾏为记录名单中 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法定代表人身份证明.docx 中小企业声明函 商务应答表 供应商应提交的相关资格证明材料 服务内容及服务要求应答表 报价表 响应文件封面 分项报价表.docx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 字盖章的，应签字盖章⻬全。</w:t>
            </w:r>
          </w:p>
        </w:tc>
        <w:tc>
          <w:tcPr>
            <w:tcW w:type="dxa" w:w="1661"/>
          </w:tcPr>
          <w:p>
            <w:pPr>
              <w:pStyle w:val="null3"/>
            </w:pPr>
            <w:r>
              <w:rPr>
                <w:rFonts w:ascii="仿宋_GB2312" w:hAnsi="仿宋_GB2312" w:cs="仿宋_GB2312" w:eastAsia="仿宋_GB2312"/>
              </w:rPr>
              <w:t>法定代表人身份证明.docx 中小企业声明函 商务应答表 供应商应提交的相关资格证明材料 服务内容及服务要求应答表 报价表 响应文件封面 分项报价表.docx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⼀、评审内容： 针对本项⽬的整体服务⽅案，要求⼯作业务流程符合国家相关标准、规范 ，并提供详细说明。内容包括 ①服务的具体内容； ②项目服务标准；③项目服务⽬标。 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9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⼀、评审内容： 针对本项⽬的运⾏维护⽅案，内容包含：①运维服务前期准备⽅案；②硬件维护⽅案；③现场/远程故障处理服务⽅案； ④培训服务⽅案；⑤应急演练及处置⽅案； ⑥运维档案记录。 ⼆、评分标准： ①完整性：⽅案必须全⾯，对评审内容中的各项要求 有详细描述；②可实施性：切合本项⽬实际情况，提出切实可⾏、合理的⽅案；③针对性 ：⽅案能够紧扣项⽬实际情况，内容科学合理。 三、赋分标准对项⽬评审内容理解准确，内容⻬全、结构完整、表述准确、条理清晰得18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⼀、评审内容： 针对本项⽬的质量保障⽅案，内容包含：①质量控制标准；②质量控制措施。 ⼆、评分标准： ①完整性：⽅案必须全⾯，对评审内容中的各项要求有详细描述；②可实施性：切合本项⽬实际情况，提出切实可⾏、合理的⽅案；③针对性：⽅案能够紧扣项⽬实际情况，内容科学合理。三、赋分标准对项⽬评审内容理解准确，内容⻬全、结构完整、表述准确、条理清晰得7分。评审标准每缺⼀项扣3.5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⼀、评审内容：供应商针对本次运维制定进度计划方案，内容包括：①项目实施进度②工作内容安排进度③进度保障措施。 ⼆、评分标准： ① 完整性：⽅案必须全⾯，对评审内容中的各项要求有详细描述；②可实施性：切合本项⽬ 实际情况，提出切实可⾏、合理的⽅案；③针对性：⽅案能够紧扣项⽬实际情况，内容科学合理。三、赋分标准对项⽬评审内容理解准确，内容⻬全、结构完整、表述准确、条理清晰得6分。评审标准每缺⼀项扣2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售后服务及履约保障承诺</w:t>
            </w:r>
          </w:p>
        </w:tc>
        <w:tc>
          <w:tcPr>
            <w:tcW w:type="dxa" w:w="2492"/>
          </w:tcPr>
          <w:p>
            <w:pPr>
              <w:pStyle w:val="null3"/>
            </w:pPr>
            <w:r>
              <w:rPr>
                <w:rFonts w:ascii="仿宋_GB2312" w:hAnsi="仿宋_GB2312" w:cs="仿宋_GB2312" w:eastAsia="仿宋_GB2312"/>
              </w:rPr>
              <w:t>评审内容:供应商需提供针对本项目的①履约承诺书;②售后技术服务承诺;③问题整改时效承诺。评审标准:每提供一项承诺得2分，最多得6分;每缺失一项承诺内容扣2分，无任何承诺文件不得分，扣完为止。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⼈员保障</w:t>
            </w:r>
          </w:p>
        </w:tc>
        <w:tc>
          <w:tcPr>
            <w:tcW w:type="dxa" w:w="2492"/>
          </w:tcPr>
          <w:p>
            <w:pPr>
              <w:pStyle w:val="null3"/>
            </w:pPr>
            <w:r>
              <w:rPr>
                <w:rFonts w:ascii="仿宋_GB2312" w:hAnsi="仿宋_GB2312" w:cs="仿宋_GB2312" w:eastAsia="仿宋_GB2312"/>
              </w:rPr>
              <w:t>1.项⽬负责⼈（6分）（1）有丰富的相关领域⼯作经验和曾担任过同类项⽬（提供证明材料，证明材料需体现项⽬负责⼈姓名），每提供⼀个计2分，满分6分。 注：项⽬负责⼈需为本单位⼈员，项⽬负责⼈需提磋商前6个⽉任意时间段缴纳社保的证明材料或劳动合同。 2.专业技术团队配置（6分） 团队⼈员配备合理，有针对本 项⽬的专项服务⼩组，⼯作⼈员分⼯明确，⼈员配备能够满⾜本项⽬系统运维的需要。 专业技术⼈员 拟派本项⽬专职技术⼈员（项⽬负责⼈除外）具备以下任意证书：具备特种作业操作证(低压电⼯作业) 或特种作业操作证(⾼压电⼯作业) 或特种作业操作证(⾼处安装、维护 、拆除作业)或⾼空作业⻋操作证（ 限⾮特种岗位） 赋分标准：每证书 +本单位近⼀年内任意1个⽉社保缴纳证明或劳动合同，满⾜得3分， 累计最⾼6分，未提供或提供不全不得分。 3.驻场运维专职人员（2 分） 承诺服务期内为本项目配置 1 名全职驻场运维人员，提供人员身份证、磋商前6个⽉任意时间段缴纳社保的证明材料或劳动合同和驻场服务承诺函，材料齐全有效得 2 分；未承诺驻场或佐证材料不全不得分。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专业运维工具设备</w:t>
            </w:r>
          </w:p>
        </w:tc>
        <w:tc>
          <w:tcPr>
            <w:tcW w:type="dxa" w:w="2492"/>
          </w:tcPr>
          <w:p>
            <w:pPr>
              <w:pStyle w:val="null3"/>
            </w:pPr>
            <w:r>
              <w:rPr>
                <w:rFonts w:ascii="仿宋_GB2312" w:hAnsi="仿宋_GB2312" w:cs="仿宋_GB2312" w:eastAsia="仿宋_GB2312"/>
              </w:rPr>
              <w:t>针对本项⽬配备光功率计、光纤熔接机、标签打印机、钳形电流表等与本项目相关的专业运维设备，每提供⼀项得2.5分，最⾼得10分。（供应商投入上述运维设备用于本项目，可提供自有设备凭证(发票/图片)或者设备租赁协议、合作使用协议，均可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2023年1⽉1⽇起⾄今，具有类似项⽬业绩（以合同或协议签订⽇期为准，响应⽂件中附加盖公章的合同或协议复印件，否则不作为评审依据），每提供⼀份有效业绩得3分， 最多得15分。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磋商报价采⽤低价优先法计算，即满⾜竞争性磋商⽂件要求且最后磋商报价最低的报价 为评审基准价，其价格分为满分。其他供应商的价格分统⼀按照下列公式计算： 磋商报 价得分=（评审基准价/最后磋商报价）×15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