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版本号：LTZB-20260625.11B220260724001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汉中市镇巴县2026年大巴山北麓和汉江谷地水土保持与水源涵养项目(三次)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LTZB-20260625.11B2</w:t>
      </w:r>
      <w:r>
        <w:br/>
      </w:r>
      <w:r>
        <w:br/>
      </w:r>
      <w:r>
        <w:br/>
      </w:r>
    </w:p>
    <w:p>
      <w:pPr>
        <w:pStyle w:val="null3"/>
        <w:jc w:val="center"/>
        <w:outlineLvl w:val="2"/>
      </w:pPr>
      <w:r>
        <w:rPr>
          <w:rFonts w:ascii="仿宋_GB2312" w:hAnsi="仿宋_GB2312" w:cs="仿宋_GB2312" w:eastAsia="仿宋_GB2312"/>
          <w:sz w:val="28"/>
          <w:b/>
        </w:rPr>
        <w:t>镇巴县林业局</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镇巴县林业局</w:t>
      </w:r>
      <w:r>
        <w:rPr>
          <w:rFonts w:ascii="仿宋_GB2312" w:hAnsi="仿宋_GB2312" w:cs="仿宋_GB2312" w:eastAsia="仿宋_GB2312"/>
        </w:rPr>
        <w:t>委托，拟对</w:t>
      </w:r>
      <w:r>
        <w:rPr>
          <w:rFonts w:ascii="仿宋_GB2312" w:hAnsi="仿宋_GB2312" w:cs="仿宋_GB2312" w:eastAsia="仿宋_GB2312"/>
        </w:rPr>
        <w:t>汉中市镇巴县2026年大巴山北麓和汉江谷地水土保持与水源涵养项目(三次)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LTZB-20260625.11B2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汉中市镇巴县2026年大巴山北麓和汉江谷地水土保持与水源涵养项目(三次)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汉中市秦巴生态保护中心《关于下达陕西省汉中市大巴山北麓和汉江谷地水土保持与水源涵养项目》（汉市秦巴中心发〔2026〕1号）和汉中市林业局关于2026年大巴山北麓和汉江谷地水士保持与水源涵养项目西乡县、镇巴县作业设计的批复）汉林函〔2026〕100号）精神，上级下达我县2026年大巴山北麓和汉江谷地水土保持与水源涵养项目中央预算内投资1263万元，主要实施封山育林50000亩，退化林修复10000亩。</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采购包1（十一标段）：属于专门面向中小企业采购。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09166712085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陕西省西安市碑林区陕西省西安市碑林区红缨路9号豪盛大厦A座10604室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镇巴县林业局</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按验收方案执行。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联系电话：19916164724</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汉中市秦巴生态保护中心《关于下达陕西省汉中市大巴山北麓和汉江谷地水土保持与水源涵养项目》（汉市秦巴中心发〔2026〕1号）和汉中市林业局关于2026年大巴山北麓和汉江谷地水士保持与水源涵养项目西乡县、镇巴县作业设计的批复）汉林函〔2026〕100号）精神，上级下达我县2026年大巴山北麓和汉江谷地水土保持与水源涵养项目中央预算内投资1263万元，主要实施封山育林50000亩，退化林修复10000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十一标段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标的名称：十一标段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707"/>
              <w:jc w:val="both"/>
            </w:pPr>
            <w:r>
              <w:rPr>
                <w:rFonts w:ascii="仿宋_GB2312" w:hAnsi="仿宋_GB2312" w:cs="仿宋_GB2312" w:eastAsia="仿宋_GB2312"/>
                <w:sz w:val="21"/>
              </w:rPr>
              <w:t>一、服务内容</w:t>
            </w:r>
          </w:p>
          <w:p>
            <w:pPr>
              <w:pStyle w:val="null3"/>
            </w:pPr>
            <w:r>
              <w:rPr>
                <w:rFonts w:ascii="仿宋_GB2312" w:hAnsi="仿宋_GB2312" w:cs="仿宋_GB2312" w:eastAsia="仿宋_GB2312"/>
                <w:sz w:val="21"/>
              </w:rPr>
              <w:t>1.安排足够的监理人员全程参与项目外业施工，检查、督促做好开工前的一切准备工作，核实施工队伍、施工机械的进场情况；</w:t>
            </w:r>
          </w:p>
          <w:p>
            <w:pPr>
              <w:pStyle w:val="null3"/>
            </w:pPr>
            <w:r>
              <w:rPr>
                <w:rFonts w:ascii="仿宋_GB2312" w:hAnsi="仿宋_GB2312" w:cs="仿宋_GB2312" w:eastAsia="仿宋_GB2312"/>
                <w:sz w:val="21"/>
              </w:rPr>
              <w:t>2.严格审查施工单位提出的施工组织设计、施工技术方案、专项方案和施工进度计划，提出修改意见，并切实按计划组织施工；</w:t>
            </w:r>
          </w:p>
          <w:p>
            <w:pPr>
              <w:pStyle w:val="null3"/>
            </w:pPr>
            <w:r>
              <w:rPr>
                <w:rFonts w:ascii="仿宋_GB2312" w:hAnsi="仿宋_GB2312" w:cs="仿宋_GB2312" w:eastAsia="仿宋_GB2312"/>
                <w:sz w:val="21"/>
              </w:rPr>
              <w:t>3.审查施工单位的进场物料及其规格与质量，并对进场物料进行验收、核查；</w:t>
            </w:r>
          </w:p>
          <w:p>
            <w:pPr>
              <w:pStyle w:val="null3"/>
            </w:pPr>
            <w:r>
              <w:rPr>
                <w:rFonts w:ascii="仿宋_GB2312" w:hAnsi="仿宋_GB2312" w:cs="仿宋_GB2312" w:eastAsia="仿宋_GB2312"/>
                <w:sz w:val="21"/>
              </w:rPr>
              <w:t>4.督查施工单位执行合同约定和技术标准、规范；</w:t>
            </w:r>
          </w:p>
          <w:p>
            <w:pPr>
              <w:pStyle w:val="null3"/>
            </w:pPr>
            <w:r>
              <w:rPr>
                <w:rFonts w:ascii="仿宋_GB2312" w:hAnsi="仿宋_GB2312" w:cs="仿宋_GB2312" w:eastAsia="仿宋_GB2312"/>
                <w:sz w:val="21"/>
              </w:rPr>
              <w:t>5.检查施工进度和施工质量，验收分部、分项工程；</w:t>
            </w:r>
          </w:p>
          <w:p>
            <w:pPr>
              <w:pStyle w:val="null3"/>
            </w:pPr>
            <w:r>
              <w:rPr>
                <w:rFonts w:ascii="仿宋_GB2312" w:hAnsi="仿宋_GB2312" w:cs="仿宋_GB2312" w:eastAsia="仿宋_GB2312"/>
                <w:sz w:val="21"/>
              </w:rPr>
              <w:t>6.督促施工单位合理安排施工顺序，控制工程质量；</w:t>
            </w:r>
          </w:p>
          <w:p>
            <w:pPr>
              <w:pStyle w:val="null3"/>
            </w:pPr>
            <w:r>
              <w:rPr>
                <w:rFonts w:ascii="仿宋_GB2312" w:hAnsi="仿宋_GB2312" w:cs="仿宋_GB2312" w:eastAsia="仿宋_GB2312"/>
                <w:sz w:val="21"/>
              </w:rPr>
              <w:t>7.监督施工单位建立安全生产责任制，责任到人，严格落实；</w:t>
            </w:r>
          </w:p>
          <w:p>
            <w:pPr>
              <w:pStyle w:val="null3"/>
            </w:pPr>
            <w:r>
              <w:rPr>
                <w:rFonts w:ascii="仿宋_GB2312" w:hAnsi="仿宋_GB2312" w:cs="仿宋_GB2312" w:eastAsia="仿宋_GB2312"/>
                <w:sz w:val="21"/>
              </w:rPr>
              <w:t>8.监督施工单位落实安全防护措施，严格按施工组织设计中的安全操作方案进行施工，并进行层层交底；</w:t>
            </w:r>
          </w:p>
          <w:p>
            <w:pPr>
              <w:pStyle w:val="null3"/>
            </w:pPr>
            <w:r>
              <w:rPr>
                <w:rFonts w:ascii="仿宋_GB2312" w:hAnsi="仿宋_GB2312" w:cs="仿宋_GB2312" w:eastAsia="仿宋_GB2312"/>
                <w:sz w:val="21"/>
              </w:rPr>
              <w:t>9.监督施工单位对各种施工机械实行专人管理。</w:t>
            </w:r>
          </w:p>
          <w:p>
            <w:pPr>
              <w:pStyle w:val="null3"/>
            </w:pPr>
            <w:r>
              <w:rPr>
                <w:rFonts w:ascii="仿宋_GB2312" w:hAnsi="仿宋_GB2312" w:cs="仿宋_GB2312" w:eastAsia="仿宋_GB2312"/>
                <w:sz w:val="21"/>
              </w:rPr>
              <w:t>10.监督施工单位做好文明施工，保持环境整洁，排水通畅，材料堆放有序，"五小"设施清洁卫生；</w:t>
            </w:r>
          </w:p>
          <w:p>
            <w:pPr>
              <w:pStyle w:val="null3"/>
            </w:pPr>
            <w:r>
              <w:rPr>
                <w:rFonts w:ascii="仿宋_GB2312" w:hAnsi="仿宋_GB2312" w:cs="仿宋_GB2312" w:eastAsia="仿宋_GB2312"/>
                <w:sz w:val="21"/>
              </w:rPr>
              <w:t>11.协助编制资金拨付申请，复核已完工作量，行使付款签证；</w:t>
            </w:r>
          </w:p>
          <w:p>
            <w:pPr>
              <w:pStyle w:val="null3"/>
            </w:pPr>
            <w:r>
              <w:rPr>
                <w:rFonts w:ascii="仿宋_GB2312" w:hAnsi="仿宋_GB2312" w:cs="仿宋_GB2312" w:eastAsia="仿宋_GB2312"/>
                <w:sz w:val="21"/>
              </w:rPr>
              <w:t>12.督促施工单位执行承包合同，协助处理建设单位和施工单位间的合同纠纷与争议，组织处理索赔事宜；</w:t>
            </w:r>
          </w:p>
          <w:p>
            <w:pPr>
              <w:pStyle w:val="null3"/>
            </w:pPr>
            <w:r>
              <w:rPr>
                <w:rFonts w:ascii="仿宋_GB2312" w:hAnsi="仿宋_GB2312" w:cs="仿宋_GB2312" w:eastAsia="仿宋_GB2312"/>
                <w:sz w:val="21"/>
              </w:rPr>
              <w:t>13.督促建设单位和施工单位整理合同文件，收集施工全过程资料；</w:t>
            </w:r>
          </w:p>
          <w:p>
            <w:pPr>
              <w:pStyle w:val="null3"/>
            </w:pPr>
            <w:r>
              <w:rPr>
                <w:rFonts w:ascii="仿宋_GB2312" w:hAnsi="仿宋_GB2312" w:cs="仿宋_GB2312" w:eastAsia="仿宋_GB2312"/>
                <w:sz w:val="21"/>
              </w:rPr>
              <w:t>14.工程结束后，协助开展项目验收。</w:t>
            </w:r>
          </w:p>
          <w:p>
            <w:pPr>
              <w:pStyle w:val="null3"/>
            </w:pPr>
            <w:r>
              <w:rPr>
                <w:rFonts w:ascii="仿宋_GB2312" w:hAnsi="仿宋_GB2312" w:cs="仿宋_GB2312" w:eastAsia="仿宋_GB2312"/>
                <w:sz w:val="21"/>
              </w:rPr>
              <w:t>二、成果交付</w:t>
            </w:r>
          </w:p>
          <w:p>
            <w:pPr>
              <w:pStyle w:val="null3"/>
            </w:pPr>
            <w:r>
              <w:rPr>
                <w:rFonts w:ascii="仿宋_GB2312" w:hAnsi="仿宋_GB2312" w:cs="仿宋_GB2312" w:eastAsia="仿宋_GB2312"/>
                <w:sz w:val="21"/>
              </w:rPr>
              <w:t>1.监理结束后，向发包方各提供1份不低于10分钟的封山育林和退化林修复作业全过程视频资料，视频内容包含作业区拨交、开工培训、施工监管、物资核验、作业过程、检查验收等，确保能真实客观反映项目实施情况。</w:t>
            </w:r>
          </w:p>
          <w:p>
            <w:pPr>
              <w:pStyle w:val="null3"/>
            </w:pPr>
            <w:r>
              <w:rPr>
                <w:rFonts w:ascii="仿宋_GB2312" w:hAnsi="仿宋_GB2312" w:cs="仿宋_GB2312" w:eastAsia="仿宋_GB2312"/>
                <w:sz w:val="21"/>
              </w:rPr>
              <w:t>2.工程竣工后参与竣工验收，出具监理日志、监理报告，负责指导施工企业做好施工资料并向发包方提供。</w:t>
            </w:r>
          </w:p>
          <w:p>
            <w:pPr>
              <w:pStyle w:val="null3"/>
            </w:pPr>
            <w:r>
              <w:rPr>
                <w:rFonts w:ascii="仿宋_GB2312" w:hAnsi="仿宋_GB2312" w:cs="仿宋_GB2312" w:eastAsia="仿宋_GB2312"/>
                <w:sz w:val="21"/>
              </w:rPr>
              <w:t>3.对监理资料、施工资料的准确性、真实性负责。</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督促施工方必须按时按质量要求完成建设任务，如未按时按质量要求完成建设任务的(因自然灾害、瘟疫、战争等特殊情况除外)，发包方将根据未完成工程量情况，双倍扣减其工程款，同时将其记入征信记录，其后果由施工方自行负责。 2.发生争议后，双方协商解决;解决不了的，向项目所在地人民法院提起诉讼。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监理工作目标</w:t>
            </w:r>
          </w:p>
        </w:tc>
        <w:tc>
          <w:tcPr>
            <w:tcW w:type="dxa" w:w="2492"/>
          </w:tcPr>
          <w:p>
            <w:pPr>
              <w:pStyle w:val="null3"/>
            </w:pPr>
            <w:r>
              <w:rPr>
                <w:rFonts w:ascii="仿宋_GB2312" w:hAnsi="仿宋_GB2312" w:cs="仿宋_GB2312" w:eastAsia="仿宋_GB2312"/>
              </w:rPr>
              <w:t>评审内容： ①工作目标；②进度目标；③投资控制目标；④安全控制目标；⑤信息管理目标；⑥合同管理目标；⑦协调工作目标。 评审依据： 每一项内容描述详细，内容切实可行符合项目实际内容得1.0分，①～⑦项合计得7.0分。 内容①～⑦项任意一项缺项扣1.0分，扣完为止； 内容①～⑦项里有一项内容缺陷（缺陷是指：内容不详细具体、条理不清晰、描述过于简单、与项目特点不匹配、凭空编造、出现常识性错误、不可能实现的夸大情形、存在不适用项目实际情况的情形等）扣0.5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监理工作质量控制</w:t>
            </w:r>
          </w:p>
        </w:tc>
        <w:tc>
          <w:tcPr>
            <w:tcW w:type="dxa" w:w="2492"/>
          </w:tcPr>
          <w:p>
            <w:pPr>
              <w:pStyle w:val="null3"/>
            </w:pPr>
            <w:r>
              <w:rPr>
                <w:rFonts w:ascii="仿宋_GB2312" w:hAnsi="仿宋_GB2312" w:cs="仿宋_GB2312" w:eastAsia="仿宋_GB2312"/>
              </w:rPr>
              <w:t>评审内容： ①质量管理控制的基本流程；②工程质量控制的原则；③项目各阶段的质量控制措施。 评审依据： 每一项内容描述详细，全面，内容符合项目实际得2.0分，①～③项合计得6.0分。 内容①～③项任意一项缺项扣2.0分，扣完为止；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监理工作进度计划安排及保障措施</w:t>
            </w:r>
          </w:p>
        </w:tc>
        <w:tc>
          <w:tcPr>
            <w:tcW w:type="dxa" w:w="2492"/>
          </w:tcPr>
          <w:p>
            <w:pPr>
              <w:pStyle w:val="null3"/>
            </w:pPr>
            <w:r>
              <w:rPr>
                <w:rFonts w:ascii="仿宋_GB2312" w:hAnsi="仿宋_GB2312" w:cs="仿宋_GB2312" w:eastAsia="仿宋_GB2312"/>
              </w:rPr>
              <w:t>评审内容： ①监理工作进度计划安排；②监理工作进度计划保障措施。 评审依据： 每一项内容描述详细，计划内容全面，内容符合项目实际得3分，①～②项合计得6分。 内容①～②项任意一项缺项扣3分，扣完为止；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评审内容：①现场监理工作制度；②内部工作制度；③相关服务工作制度。 评审依据： 每一项内容描述详细内容全面，得2.0分，①～③项合计得6.0分。 内容①～③项任意一项缺项扣2.0分，扣完为止；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监理资料与档案管理措施</w:t>
            </w:r>
          </w:p>
        </w:tc>
        <w:tc>
          <w:tcPr>
            <w:tcW w:type="dxa" w:w="2492"/>
          </w:tcPr>
          <w:p>
            <w:pPr>
              <w:pStyle w:val="null3"/>
            </w:pPr>
            <w:r>
              <w:rPr>
                <w:rFonts w:ascii="仿宋_GB2312" w:hAnsi="仿宋_GB2312" w:cs="仿宋_GB2312" w:eastAsia="仿宋_GB2312"/>
              </w:rPr>
              <w:t>评审内容： ①监理资料与档案存放管理制度；②监理资料与档案保管人员安排；③监理资料与档案移交措施。 评审依据： 每一项内容描述详细，内容全面，得2分，①～③项合计得6分。 内容①～③项任意一项缺项扣2分，扣完为止；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监理工作重点、 难点分析及对策</w:t>
            </w:r>
          </w:p>
        </w:tc>
        <w:tc>
          <w:tcPr>
            <w:tcW w:type="dxa" w:w="2492"/>
          </w:tcPr>
          <w:p>
            <w:pPr>
              <w:pStyle w:val="null3"/>
            </w:pPr>
            <w:r>
              <w:rPr>
                <w:rFonts w:ascii="仿宋_GB2312" w:hAnsi="仿宋_GB2312" w:cs="仿宋_GB2312" w:eastAsia="仿宋_GB2312"/>
              </w:rPr>
              <w:t>评审内容： ①针对本项目的重点、难点分析；②针对本项目的重点、难点的对策。 评审依据：每一项内容描述详细，内容全面，得4分，①～②项合计得8分。 内容①～②项任意一项缺项扣4分，扣完为止；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监理组织协调工作方法措施</w:t>
            </w:r>
          </w:p>
        </w:tc>
        <w:tc>
          <w:tcPr>
            <w:tcW w:type="dxa" w:w="2492"/>
          </w:tcPr>
          <w:p>
            <w:pPr>
              <w:pStyle w:val="null3"/>
            </w:pPr>
            <w:r>
              <w:rPr>
                <w:rFonts w:ascii="仿宋_GB2312" w:hAnsi="仿宋_GB2312" w:cs="仿宋_GB2312" w:eastAsia="仿宋_GB2312"/>
              </w:rPr>
              <w:t>评审内容： ①项目监理内部协调方法措施；②项目监理对外组织协调方法措施。 评审依据：每一项内容描述详细，内容全面，得2.5分，①～②项合计得5分。 内容①～②项任意一项缺项扣2.5分，扣完为止；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①服务质量承诺；②服务周期承诺；③保修阶段质量服务承诺。 评审依据：每一项内容描述详细，内容全面，得2分，①～③项合计得6分。 内容①～③项任意一项缺项扣2分，扣完为止；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拟派项目监理部组成</w:t>
            </w:r>
          </w:p>
        </w:tc>
        <w:tc>
          <w:tcPr>
            <w:tcW w:type="dxa" w:w="2492"/>
          </w:tcPr>
          <w:p>
            <w:pPr>
              <w:pStyle w:val="null3"/>
            </w:pPr>
            <w:r>
              <w:rPr>
                <w:rFonts w:ascii="仿宋_GB2312" w:hAnsi="仿宋_GB2312" w:cs="仿宋_GB2312" w:eastAsia="仿宋_GB2312"/>
              </w:rPr>
              <w:t>①拟派本项目监理人员至少配备1名专业人员；不满足基本要求该项不得分，满足上述基本要求得5分；②满足基本要求且每增加1名专业人员加2分，最高增加10分。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供应商提供2023年1月1日（以合同签订时间为准）至本项目磋商响应文件递交截止时间止类似项目业绩，磋商响应文件中附有合同复印件或扫描件，每提供一个得5分，满15分。 注：以加盖公章的合同协议书的复印件为准。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详见附件：合同式样.docx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